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76D93">
      <w:pPr>
        <w:jc w:val="center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140363C4">
      <w:pPr>
        <w:rPr>
          <w:sz w:val="24"/>
        </w:rPr>
      </w:pPr>
      <w:r>
        <w:rPr>
          <w:rFonts w:hint="eastAsia"/>
          <w:sz w:val="24"/>
        </w:rPr>
        <w:t>论文题目：第三方诉讼融资制度中国本土化建构论</w:t>
      </w:r>
    </w:p>
    <w:p w14:paraId="6117207E">
      <w:pPr>
        <w:rPr>
          <w:sz w:val="24"/>
        </w:rPr>
      </w:pPr>
      <w:r>
        <w:rPr>
          <w:rFonts w:hint="eastAsia"/>
          <w:sz w:val="24"/>
        </w:rPr>
        <w:t xml:space="preserve">论文作者：                                  学生编辑： </w:t>
      </w:r>
    </w:p>
    <w:tbl>
      <w:tblPr>
        <w:tblStyle w:val="5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4E28F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649" w:type="dxa"/>
          </w:tcPr>
          <w:p w14:paraId="4F46728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5CA3903C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09E131AE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1F3B988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4C58703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77D554F4">
            <w:pPr>
              <w:rPr>
                <w:b/>
                <w:sz w:val="18"/>
                <w:szCs w:val="18"/>
              </w:rPr>
            </w:pPr>
          </w:p>
        </w:tc>
      </w:tr>
      <w:tr w14:paraId="6C24A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49" w:type="dxa"/>
            <w:vMerge w:val="restart"/>
          </w:tcPr>
          <w:p w14:paraId="153A6073">
            <w:pPr>
              <w:jc w:val="center"/>
              <w:rPr>
                <w:sz w:val="18"/>
                <w:szCs w:val="18"/>
              </w:rPr>
            </w:pPr>
          </w:p>
          <w:p w14:paraId="7B92CBB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901" w:type="dxa"/>
            <w:vMerge w:val="restart"/>
          </w:tcPr>
          <w:p w14:paraId="499EA85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6ADD3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3589363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BF1894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  <w:vMerge w:val="restart"/>
          </w:tcPr>
          <w:p w14:paraId="2E963A6B">
            <w:pPr>
              <w:jc w:val="center"/>
              <w:rPr>
                <w:rFonts w:hint="eastAsia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8</w:t>
            </w:r>
          </w:p>
        </w:tc>
      </w:tr>
      <w:tr w14:paraId="331F0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49" w:type="dxa"/>
            <w:vMerge w:val="continue"/>
          </w:tcPr>
          <w:p w14:paraId="54F5C04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2DD841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72201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  <w:vMerge w:val="continue"/>
          </w:tcPr>
          <w:p w14:paraId="2EA961F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EF2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48BA9C1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A0380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353DD5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  <w:vMerge w:val="continue"/>
          </w:tcPr>
          <w:p w14:paraId="0ECD24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7E8E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649" w:type="dxa"/>
            <w:vMerge w:val="restart"/>
          </w:tcPr>
          <w:p w14:paraId="609448AB">
            <w:pPr>
              <w:rPr>
                <w:b/>
                <w:sz w:val="18"/>
                <w:szCs w:val="18"/>
              </w:rPr>
            </w:pPr>
          </w:p>
          <w:p w14:paraId="33B4BD3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37CC7C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restart"/>
          </w:tcPr>
          <w:p w14:paraId="3AE2E5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2D809F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A68BCD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F21AFB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  <w:vMerge w:val="restart"/>
          </w:tcPr>
          <w:p w14:paraId="24954746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7</w:t>
            </w:r>
          </w:p>
        </w:tc>
      </w:tr>
      <w:tr w14:paraId="6C359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5E1436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488BA8D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0D9274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  <w:vMerge w:val="continue"/>
          </w:tcPr>
          <w:p w14:paraId="3AF5366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59E2B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49" w:type="dxa"/>
            <w:vMerge w:val="continue"/>
          </w:tcPr>
          <w:p w14:paraId="5E189AF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FD37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45AC3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  <w:vMerge w:val="continue"/>
          </w:tcPr>
          <w:p w14:paraId="1B7E5DD7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F7F5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restart"/>
          </w:tcPr>
          <w:p w14:paraId="6919CB18">
            <w:pPr>
              <w:rPr>
                <w:b/>
                <w:sz w:val="18"/>
                <w:szCs w:val="18"/>
              </w:rPr>
            </w:pPr>
          </w:p>
          <w:p w14:paraId="1D9133F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901" w:type="dxa"/>
            <w:vMerge w:val="restart"/>
          </w:tcPr>
          <w:p w14:paraId="6683087B">
            <w:pPr>
              <w:jc w:val="center"/>
              <w:rPr>
                <w:sz w:val="18"/>
                <w:szCs w:val="18"/>
              </w:rPr>
            </w:pPr>
          </w:p>
          <w:p w14:paraId="4BE945A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F21F1E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644939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826376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  <w:vMerge w:val="restart"/>
          </w:tcPr>
          <w:p w14:paraId="3AFE1F87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30</w:t>
            </w:r>
          </w:p>
        </w:tc>
      </w:tr>
      <w:tr w14:paraId="613B6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724EFEB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B8E7B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42BD44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  <w:vMerge w:val="continue"/>
          </w:tcPr>
          <w:p w14:paraId="0F44E615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4D514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3F0EE70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9C2FCD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86BC95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  <w:vMerge w:val="continue"/>
          </w:tcPr>
          <w:p w14:paraId="0CD11C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3C6D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42CD65C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CC6442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327E1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  <w:vMerge w:val="continue"/>
          </w:tcPr>
          <w:p w14:paraId="2F9149BF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01EE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649" w:type="dxa"/>
            <w:vMerge w:val="restart"/>
          </w:tcPr>
          <w:p w14:paraId="2F7C1DA3">
            <w:pPr>
              <w:jc w:val="center"/>
              <w:rPr>
                <w:b/>
                <w:sz w:val="18"/>
                <w:szCs w:val="18"/>
              </w:rPr>
            </w:pPr>
          </w:p>
          <w:p w14:paraId="4789CD3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901" w:type="dxa"/>
            <w:vMerge w:val="restart"/>
          </w:tcPr>
          <w:p w14:paraId="0C923FA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1A1860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C9F542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76CD41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  <w:vMerge w:val="restart"/>
          </w:tcPr>
          <w:p w14:paraId="4223861E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10</w:t>
            </w:r>
          </w:p>
        </w:tc>
      </w:tr>
      <w:tr w14:paraId="713B3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649" w:type="dxa"/>
            <w:vMerge w:val="continue"/>
          </w:tcPr>
          <w:p w14:paraId="1C5650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66AE1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57B4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  <w:vMerge w:val="continue"/>
          </w:tcPr>
          <w:p w14:paraId="090A751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4DC27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649" w:type="dxa"/>
            <w:vMerge w:val="restart"/>
          </w:tcPr>
          <w:p w14:paraId="07B0F29F">
            <w:pPr>
              <w:jc w:val="center"/>
              <w:rPr>
                <w:b/>
                <w:sz w:val="18"/>
                <w:szCs w:val="18"/>
              </w:rPr>
            </w:pPr>
          </w:p>
          <w:p w14:paraId="2A58632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</w:tcPr>
          <w:p w14:paraId="1BE09B2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12ACBB5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  <w:vMerge w:val="restart"/>
          </w:tcPr>
          <w:p w14:paraId="681A2320">
            <w:pPr>
              <w:jc w:val="distribute"/>
              <w:rPr>
                <w:rFonts w:hint="eastAsia" w:eastAsia="宋体"/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9</w:t>
            </w:r>
          </w:p>
        </w:tc>
      </w:tr>
      <w:tr w14:paraId="7F4A3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649" w:type="dxa"/>
            <w:vMerge w:val="continue"/>
          </w:tcPr>
          <w:p w14:paraId="37EB8A2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2204C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C31B1C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  <w:vMerge w:val="continue"/>
          </w:tcPr>
          <w:p w14:paraId="3BE946B4">
            <w:pPr>
              <w:jc w:val="distribute"/>
              <w:rPr>
                <w:b/>
                <w:sz w:val="18"/>
                <w:szCs w:val="18"/>
              </w:rPr>
            </w:pPr>
          </w:p>
        </w:tc>
      </w:tr>
      <w:tr w14:paraId="3ABF8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649" w:type="dxa"/>
            <w:vMerge w:val="restart"/>
          </w:tcPr>
          <w:p w14:paraId="5C3442F2">
            <w:pPr>
              <w:jc w:val="center"/>
              <w:rPr>
                <w:b/>
                <w:sz w:val="18"/>
                <w:szCs w:val="18"/>
              </w:rPr>
            </w:pPr>
          </w:p>
          <w:p w14:paraId="5BF915A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901" w:type="dxa"/>
            <w:vMerge w:val="restart"/>
          </w:tcPr>
          <w:p w14:paraId="7DC09C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13D1B7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0053B4C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  <w:vMerge w:val="restart"/>
          </w:tcPr>
          <w:p w14:paraId="6C961272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8</w:t>
            </w:r>
          </w:p>
        </w:tc>
      </w:tr>
      <w:tr w14:paraId="7458C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604583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5E318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42B0FB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  <w:vMerge w:val="continue"/>
          </w:tcPr>
          <w:p w14:paraId="5CC7B4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E1D4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649" w:type="dxa"/>
            <w:vMerge w:val="continue"/>
          </w:tcPr>
          <w:p w14:paraId="0C6A95F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06FC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71DB5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  <w:vMerge w:val="continue"/>
          </w:tcPr>
          <w:p w14:paraId="29CC4FC7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5BB71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64C6B05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5676C6B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72</w:t>
            </w:r>
          </w:p>
        </w:tc>
      </w:tr>
      <w:tr w14:paraId="3D86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B4FFBB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6678A60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退稿</w:t>
            </w:r>
          </w:p>
        </w:tc>
      </w:tr>
      <w:tr w14:paraId="021FE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5B5181E4">
            <w:pPr>
              <w:jc w:val="center"/>
              <w:rPr>
                <w:sz w:val="18"/>
                <w:szCs w:val="18"/>
              </w:rPr>
            </w:pPr>
          </w:p>
          <w:p w14:paraId="13507755">
            <w:pPr>
              <w:jc w:val="center"/>
              <w:rPr>
                <w:sz w:val="18"/>
                <w:szCs w:val="18"/>
              </w:rPr>
            </w:pPr>
          </w:p>
          <w:p w14:paraId="15738E8F">
            <w:pPr>
              <w:jc w:val="center"/>
              <w:rPr>
                <w:sz w:val="18"/>
                <w:szCs w:val="18"/>
              </w:rPr>
            </w:pPr>
          </w:p>
          <w:p w14:paraId="24F3347D">
            <w:pPr>
              <w:jc w:val="center"/>
              <w:rPr>
                <w:sz w:val="18"/>
                <w:szCs w:val="18"/>
              </w:rPr>
            </w:pPr>
          </w:p>
          <w:p w14:paraId="01CBE083">
            <w:pPr>
              <w:jc w:val="center"/>
              <w:rPr>
                <w:sz w:val="18"/>
                <w:szCs w:val="18"/>
              </w:rPr>
            </w:pPr>
          </w:p>
          <w:p w14:paraId="50A855CC">
            <w:pPr>
              <w:jc w:val="center"/>
              <w:rPr>
                <w:sz w:val="18"/>
                <w:szCs w:val="18"/>
              </w:rPr>
            </w:pPr>
          </w:p>
          <w:p w14:paraId="72291768">
            <w:pPr>
              <w:jc w:val="center"/>
              <w:rPr>
                <w:sz w:val="18"/>
                <w:szCs w:val="18"/>
              </w:rPr>
            </w:pPr>
          </w:p>
          <w:p w14:paraId="54F099B5">
            <w:pPr>
              <w:jc w:val="center"/>
              <w:rPr>
                <w:sz w:val="18"/>
                <w:szCs w:val="18"/>
              </w:rPr>
            </w:pPr>
          </w:p>
          <w:p w14:paraId="59FD113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6EF21257">
            <w:pPr>
              <w:ind w:firstLine="360" w:firstLineChars="20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文章修改后各方面有了一定提升，但并未完全解决一审中存在的问题，具体如下：</w:t>
            </w:r>
          </w:p>
          <w:p w14:paraId="01FF320D">
            <w:pPr>
              <w:ind w:firstLine="360" w:firstLineChars="20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关于一审中的问题2.（</w:t>
            </w:r>
            <w:r>
              <w:rPr>
                <w:rFonts w:hint="eastAsia"/>
                <w:sz w:val="18"/>
                <w:szCs w:val="18"/>
              </w:rPr>
              <w:t>文章还需要着重说明，为什么我国要引入一个在国外运行备受争议的制度？在国外运行得有争议，在我国会运行好吗？</w:t>
            </w:r>
            <w:r>
              <w:rPr>
                <w:rFonts w:hint="eastAsia"/>
                <w:sz w:val="18"/>
                <w:szCs w:val="18"/>
                <w:lang w:eastAsia="zh-CN"/>
              </w:rPr>
              <w:t>）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：首先，文章第二章在结构上存在一定问题。本章是要论证必要性和可行性，</w:t>
            </w:r>
            <w:r>
              <w:rPr>
                <w:rFonts w:hint="default"/>
                <w:sz w:val="18"/>
                <w:szCs w:val="18"/>
              </w:rPr>
              <w:t>第一节是域外争议不构成引入阻碍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default"/>
                <w:sz w:val="18"/>
                <w:szCs w:val="18"/>
              </w:rPr>
              <w:t>这本质上属于回应反对意见，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更偏向可行性范畴，</w:t>
            </w:r>
            <w:r>
              <w:rPr>
                <w:rFonts w:hint="default"/>
                <w:sz w:val="18"/>
                <w:szCs w:val="18"/>
              </w:rPr>
              <w:t>容易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使人</w:t>
            </w:r>
            <w:r>
              <w:rPr>
                <w:rFonts w:hint="default"/>
                <w:sz w:val="18"/>
                <w:szCs w:val="18"/>
              </w:rPr>
              <w:t>感到论证起点模糊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更合理的排布是先明确第三方诉讼融资制度的性质，比如融资本质上是私法行为还是民事法律行为；再论证“（二）中国存在引入第三方诉讼融资制度的现实必要”（也可将性质放在必要性中，但必须明确该制度的性质，否则论证过于松散）；最后再回应争议，论证制度可行性。其次，第二章论证上也存在一定问题。文章引用上海二中院判决（2021）沪02民终10224号作为质疑，但未对该判决进行详细分析，仅批判其推理方式，论证力度不足。论证引入第三方融资制度的必要性的时候，仅堆叠了法条而没有一个案例，同样缺乏说服力。</w:t>
            </w:r>
          </w:p>
          <w:p w14:paraId="579CBEBA">
            <w:pPr>
              <w:ind w:firstLine="360" w:firstLineChars="20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关于一审中的问题3.（</w:t>
            </w:r>
            <w:r>
              <w:rPr>
                <w:rFonts w:hint="eastAsia"/>
                <w:sz w:val="18"/>
                <w:szCs w:val="18"/>
              </w:rPr>
              <w:t>第三章立法构想较为宏观，作为立法论的文章，应当给出具体的方案并论证可行性。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）：经过修改后立法构想具体了很多，但是可操作性仍然</w:t>
            </w:r>
            <w:r>
              <w:rPr>
                <w:rFonts w:hint="eastAsia"/>
                <w:sz w:val="18"/>
                <w:szCs w:val="18"/>
              </w:rPr>
              <w:t>较弱，本土化设计落地难度高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</w:rPr>
              <w:t>五项措施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也</w:t>
            </w:r>
            <w:r>
              <w:rPr>
                <w:rFonts w:hint="eastAsia"/>
                <w:sz w:val="18"/>
                <w:szCs w:val="18"/>
              </w:rPr>
              <w:t>缺乏层次和关联说明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受限于选题</w:t>
            </w:r>
            <w:bookmarkStart w:id="0" w:name="_GoBack"/>
            <w:bookmarkEnd w:id="0"/>
            <w:r>
              <w:rPr>
                <w:rFonts w:hint="eastAsia"/>
                <w:sz w:val="18"/>
                <w:szCs w:val="18"/>
                <w:lang w:val="en-US" w:eastAsia="zh-CN"/>
              </w:rPr>
              <w:t>和篇幅，这是难以避免的问题，但不解决该问题文章就缺乏足够的创新性，作者可以通过</w:t>
            </w:r>
            <w:r>
              <w:rPr>
                <w:rFonts w:hint="eastAsia"/>
                <w:sz w:val="18"/>
                <w:szCs w:val="18"/>
              </w:rPr>
              <w:t>明确监管权责划分、处罚幅度、案件类型界定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等</w:t>
            </w:r>
            <w:r>
              <w:rPr>
                <w:rFonts w:hint="eastAsia"/>
                <w:sz w:val="18"/>
                <w:szCs w:val="18"/>
              </w:rPr>
              <w:t>提升制度落地性。</w:t>
            </w:r>
          </w:p>
          <w:p w14:paraId="691D878A">
            <w:pPr>
              <w:ind w:firstLine="360" w:firstLineChars="20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</w:p>
          <w:p w14:paraId="0A783D77">
            <w:pPr>
              <w:jc w:val="both"/>
              <w:rPr>
                <w:sz w:val="18"/>
                <w:szCs w:val="18"/>
              </w:rPr>
            </w:pPr>
          </w:p>
          <w:p w14:paraId="104ECC86">
            <w:pPr>
              <w:jc w:val="both"/>
              <w:rPr>
                <w:sz w:val="18"/>
                <w:szCs w:val="18"/>
              </w:rPr>
            </w:pPr>
          </w:p>
          <w:p w14:paraId="3A08E402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624B1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F8"/>
    <w:rsid w:val="00BB4F5D"/>
    <w:rsid w:val="00C17DEA"/>
    <w:rsid w:val="00C2247E"/>
    <w:rsid w:val="00C749F8"/>
    <w:rsid w:val="00CF60D9"/>
    <w:rsid w:val="00DD4CD6"/>
    <w:rsid w:val="274441F8"/>
    <w:rsid w:val="31C309A1"/>
    <w:rsid w:val="33B743BD"/>
    <w:rsid w:val="73993B10"/>
    <w:rsid w:val="7C1F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1086</Words>
  <Characters>1105</Characters>
  <Lines>5</Lines>
  <Paragraphs>1</Paragraphs>
  <TotalTime>9</TotalTime>
  <ScaleCrop>false</ScaleCrop>
  <LinksUpToDate>false</LinksUpToDate>
  <CharactersWithSpaces>1140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2024-01-10T00:17:00Z</dcterms:created>
  <dc:creator>admin</dc:creator>
  <cp:lastModifiedBy>杨铮</cp:lastModifiedBy>
  <dcterms:modified xsi:type="dcterms:W3CDTF">2026-05-17T10:37:12Z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eyJoZGlkIjoiZThhMzU5ZDVkN2NlM2MyNzE2NjgzOGYwMTVhNDgwZDkiLCJ1c2VySWQiOiI0MTI5NzIyMTMifQ==</vt:lpwstr>
  </property>
  <property fmtid="{D5CDD505-2E9C-101B-9397-08002B2CF9AE}" pid="3" name="KSOProductBuildVer">
    <vt:lpwstr>2052-12.1.0.21915</vt:lpwstr>
  </property>
  <property fmtid="{D5CDD505-2E9C-101B-9397-08002B2CF9AE}" pid="4" name="ICV">
    <vt:lpwstr>B88F1CD3EA5C4756B648277EE9846DDA_12</vt:lpwstr>
  </property>
</Properties>
</file>