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0587"/>
    <w:bookmarkStart w:id="1" w:name="_Toc14522"/>
    <w:commentRangeStart w:id="2"/>
    <w:p w14:paraId="27B040DF" w14:textId="77777777" w:rsidR="00844F3D" w:rsidRDefault="00000000">
      <w:pPr>
        <w:spacing w:line="360" w:lineRule="auto"/>
        <w:jc w:val="center"/>
        <w:rPr>
          <w:rFonts w:ascii="黑体" w:eastAsia="黑体" w:hAnsi="黑体" w:cs="黑体" w:hint="eastAsia"/>
          <w:sz w:val="32"/>
          <w:szCs w:val="32"/>
        </w:rPr>
      </w:pPr>
      <w:r>
        <w:rPr>
          <w:noProof/>
          <w:sz w:val="32"/>
        </w:rPr>
        <mc:AlternateContent>
          <mc:Choice Requires="wpi">
            <w:drawing>
              <wp:anchor distT="0" distB="0" distL="114300" distR="114300" simplePos="0" relativeHeight="251659264" behindDoc="0" locked="0" layoutInCell="1" allowOverlap="1" wp14:anchorId="76866861" wp14:editId="1D5F36D8">
                <wp:simplePos x="0" y="0"/>
                <wp:positionH relativeFrom="column">
                  <wp:posOffset>914400</wp:posOffset>
                </wp:positionH>
                <wp:positionV relativeFrom="paragraph">
                  <wp:posOffset>257175</wp:posOffset>
                </wp:positionV>
                <wp:extent cx="635" cy="635"/>
                <wp:effectExtent l="16510" t="16510" r="20955" b="20955"/>
                <wp:wrapNone/>
                <wp:docPr id="2" name="墨迹 2"/>
                <wp:cNvGraphicFramePr/>
                <a:graphic xmlns:a="http://schemas.openxmlformats.org/drawingml/2006/main">
                  <a:graphicData uri="http://schemas.microsoft.com/office/word/2010/wordprocessingInk">
                    <w14:contentPart bwMode="clr" r:id="rId10">
                      <w14:nvContentPartPr>
                        <w14:cNvContentPartPr/>
                      </w14:nvContentPartPr>
                      <w14:xfrm>
                        <a:off x="2057400" y="1171575"/>
                        <a:ext cx="635" cy="635"/>
                      </w14:xfrm>
                    </w14:contentPart>
                  </a:graphicData>
                </a:graphic>
              </wp:anchor>
            </w:drawing>
          </mc:Choice>
          <mc:Fallback>
            <w:pict>
              <v:shapetype w14:anchorId="27AB1B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2" o:spid="_x0000_s1026" type="#_x0000_t75" style="position:absolute;margin-left:1in;margin-top:20.25pt;width:164.4pt;height:94.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">
                <v:imagedata r:id="rId11" o:title="" croptop="-1213429f" cropleft="-2155932f"/>
              </v:shape>
            </w:pict>
          </mc:Fallback>
        </mc:AlternateContent>
      </w:r>
      <w:r>
        <w:rPr>
          <w:rFonts w:ascii="黑体" w:eastAsia="黑体" w:hAnsi="黑体" w:cs="黑体" w:hint="eastAsia"/>
          <w:sz w:val="32"/>
          <w:szCs w:val="32"/>
        </w:rPr>
        <w:t>第三方诉讼融资制度中国本土化建构论</w:t>
      </w:r>
      <w:commentRangeEnd w:id="2"/>
      <w:r w:rsidR="00771AAC">
        <w:rPr>
          <w:rStyle w:val="af1"/>
        </w:rPr>
        <w:commentReference w:id="2"/>
      </w:r>
    </w:p>
    <w:p w14:paraId="2FB57352" w14:textId="77777777" w:rsidR="00844F3D" w:rsidRDefault="00844F3D">
      <w:pPr>
        <w:widowControl/>
        <w:ind w:firstLineChars="200" w:firstLine="420"/>
        <w:jc w:val="left"/>
        <w:rPr>
          <w:rFonts w:ascii="华文仿宋" w:eastAsia="华文仿宋" w:hAnsi="华文仿宋" w:cs="Times New Roman" w:hint="eastAsia"/>
          <w:bCs/>
          <w:szCs w:val="22"/>
        </w:rPr>
      </w:pPr>
    </w:p>
    <w:p w14:paraId="5F15CF21" w14:textId="77777777" w:rsidR="00844F3D" w:rsidRDefault="00000000">
      <w:pPr>
        <w:ind w:firstLineChars="200" w:firstLine="420"/>
        <w:rPr>
          <w:rFonts w:ascii="华文仿宋" w:eastAsia="华文仿宋" w:hAnsi="华文仿宋" w:cs="Times New Roman" w:hint="eastAsia"/>
          <w:bCs/>
          <w:szCs w:val="22"/>
        </w:rPr>
      </w:pPr>
      <w:r>
        <w:rPr>
          <w:rFonts w:ascii="华文仿宋" w:eastAsia="华文仿宋" w:hAnsi="华文仿宋" w:cs="Times New Roman" w:hint="eastAsia"/>
          <w:bCs/>
          <w:szCs w:val="22"/>
        </w:rPr>
        <w:t>【摘  要】在中国的司法实践中，高额的诉讼费用作为阻碍公众获得司法救济的主要障碍在一定程度上制约了诉讼制度维护社会正义功能的充分发挥。中国在法律上所设计的诉讼费用的“减免缓”与法律援助制度等措施并未能从根本上解决多数诉讼主体所面临的经济负担问题。针对这一现实困境，中国可以从域外发展较为成熟的第三方诉讼融资制度中寻找解决方案。当前，第三方诉讼融资制度在中国已具备引进的现实需求与实践基础，而存在于其上的潜在风险并非其自身固有缺陷，可以通过规范体系的适当设计实现规避。因此，需要在引进过程之中吸纳域外经验并结合我国法律现实构建起具有中国特色的规范体系，进而为当前诉讼费用转移机制的完善提供参考。</w:t>
      </w:r>
    </w:p>
    <w:p w14:paraId="62B8039F" w14:textId="77777777" w:rsidR="00844F3D" w:rsidRDefault="00000000">
      <w:pPr>
        <w:ind w:firstLineChars="200" w:firstLine="420"/>
        <w:rPr>
          <w:rFonts w:ascii="华文仿宋" w:eastAsia="华文仿宋" w:hAnsi="华文仿宋" w:cs="Times New Roman" w:hint="eastAsia"/>
          <w:bCs/>
          <w:szCs w:val="22"/>
        </w:rPr>
      </w:pPr>
      <w:r>
        <w:rPr>
          <w:rFonts w:ascii="华文仿宋" w:eastAsia="华文仿宋" w:hAnsi="华文仿宋" w:cs="Times New Roman" w:hint="eastAsia"/>
          <w:bCs/>
          <w:szCs w:val="22"/>
        </w:rPr>
        <w:t>【关键词】第三方诉讼融资；必要性；可行性；本土化</w:t>
      </w:r>
    </w:p>
    <w:p w14:paraId="486FD469" w14:textId="77777777" w:rsidR="00844F3D" w:rsidRDefault="00844F3D">
      <w:pPr>
        <w:spacing w:line="360" w:lineRule="auto"/>
        <w:ind w:firstLineChars="200" w:firstLine="480"/>
        <w:rPr>
          <w:rFonts w:asciiTheme="minorEastAsia" w:hAnsiTheme="minorEastAsia" w:cs="黑体" w:hint="eastAsia"/>
          <w:sz w:val="24"/>
        </w:rPr>
      </w:pPr>
    </w:p>
    <w:p w14:paraId="05349E55" w14:textId="77777777" w:rsidR="00844F3D" w:rsidRDefault="00000000">
      <w:pPr>
        <w:outlineLvl w:val="0"/>
        <w:rPr>
          <w:rFonts w:ascii="黑体" w:eastAsia="黑体" w:hAnsi="黑体" w:hint="eastAsia"/>
          <w:sz w:val="28"/>
          <w:szCs w:val="28"/>
        </w:rPr>
      </w:pPr>
      <w:bookmarkStart w:id="3" w:name="_Toc11716"/>
      <w:bookmarkStart w:id="4" w:name="_Toc30001"/>
      <w:r>
        <w:rPr>
          <w:rFonts w:ascii="黑体" w:eastAsia="黑体" w:hAnsi="黑体" w:hint="eastAsia"/>
          <w:sz w:val="28"/>
          <w:szCs w:val="28"/>
        </w:rPr>
        <w:t>问题的提出</w:t>
      </w:r>
      <w:bookmarkEnd w:id="3"/>
      <w:bookmarkEnd w:id="4"/>
    </w:p>
    <w:p w14:paraId="4EAAE2B8"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诉讼作为实现社会正义的重要途径，其功能的充分发挥对保障人民群众的合法权益具有至关重要的作用。然而，将目光聚焦现实不难看出“诉讼难”是中国诉讼现状的突出问题，而“诉讼难”根源于诉讼成本高。尽管，中国已在法律中设计了诉讼费用的“减免缓”制度和法律援助制度试图降低诉讼成本，然而，杯水车薪，绝大多数诉讼主体仍然独自面对诉讼费用的重压。面对这样的现实困境，域外发展较为成熟的第三方诉讼融资制度作为一种创新的诉讼费用转移机制，为中国提供了新的解决方案。该制度通过为诉讼当事人提供必要的资金支持，使得他们能够克服经济障碍从而顺利启动或继续诉讼，进而有效维护其自身合法权益。中国正积极探索和完善多元化的诉讼费用转移机制，第三方诉讼融资制度无疑能为这一领域的改革与发展注入新的活力。</w:t>
      </w:r>
    </w:p>
    <w:p w14:paraId="0CC87D65"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大约十年前，第三方诉讼融资制度传入中国后迅速在金融界与法律界引起了广泛的关注与讨论。众多具有前瞻眼光的投资者把目光对准这一新型投资领域，很快便涌现出一批专注于第三方诉讼融资业务的法律服务企业：赢火虫、帮瀛、鼎颂……正当人们满怀期待地认为第三方诉讼融资制度将在中国市场迎来蓬勃发展之际，上海市第二中级人民法院的一纸判决，却以该制度违反公序良俗为由对该制度在中国的正当性提出了质疑。</w:t>
      </w:r>
      <w:r>
        <w:rPr>
          <w:rStyle w:val="af0"/>
          <w:sz w:val="21"/>
          <w:szCs w:val="21"/>
        </w:rPr>
        <w:footnoteReference w:id="1"/>
      </w:r>
      <w:r>
        <w:rPr>
          <w:rFonts w:ascii="宋体" w:eastAsia="宋体" w:hAnsi="宋体" w:cs="Times New Roman" w:hint="eastAsia"/>
          <w:szCs w:val="21"/>
        </w:rPr>
        <w:t>尽管法院在以公序良俗为由对融资协议作出无效裁决时未能秉持谦抑原则做好底线性论证，有先确定判决结果，再在法律之下寻找论证路径，进行“被倒置的法律推理”之嫌。然而该判决反映出的对于第三方诉讼融资制度的忧虑不无道理，这也引发了人们对该制度在中国未来发展道路的思考。处于法律灰色地带的第三方诉讼融资是否合法、是否应当从法律层面明确其合法性、若承认其合法性应当如何对其进行规范等问题亟待解决。</w:t>
      </w:r>
    </w:p>
    <w:p w14:paraId="027F4949" w14:textId="77777777" w:rsidR="00844F3D" w:rsidRDefault="00844F3D">
      <w:pPr>
        <w:rPr>
          <w:rFonts w:ascii="宋体" w:eastAsia="宋体" w:hAnsi="宋体" w:cs="Times New Roman" w:hint="eastAsia"/>
          <w:szCs w:val="21"/>
        </w:rPr>
      </w:pPr>
    </w:p>
    <w:p w14:paraId="682B34D5" w14:textId="77777777" w:rsidR="00844F3D" w:rsidRDefault="00000000">
      <w:pPr>
        <w:outlineLvl w:val="0"/>
        <w:rPr>
          <w:rFonts w:ascii="黑体" w:eastAsia="黑体" w:hAnsi="黑体" w:hint="eastAsia"/>
          <w:sz w:val="28"/>
          <w:szCs w:val="28"/>
        </w:rPr>
      </w:pPr>
      <w:bookmarkStart w:id="5" w:name="_Toc21270"/>
      <w:bookmarkStart w:id="6" w:name="_Toc22972"/>
      <w:bookmarkStart w:id="7" w:name="_Toc25282"/>
      <w:bookmarkStart w:id="8" w:name="_Toc29892"/>
      <w:r>
        <w:rPr>
          <w:rFonts w:ascii="黑体" w:eastAsia="黑体" w:hAnsi="黑体" w:hint="eastAsia"/>
          <w:sz w:val="28"/>
          <w:szCs w:val="28"/>
        </w:rPr>
        <w:t>一、第三方诉讼融资制度的内涵及其</w:t>
      </w:r>
      <w:bookmarkEnd w:id="5"/>
      <w:bookmarkEnd w:id="6"/>
      <w:r>
        <w:rPr>
          <w:rFonts w:ascii="黑体" w:eastAsia="黑体" w:hAnsi="黑体" w:hint="eastAsia"/>
          <w:sz w:val="28"/>
          <w:szCs w:val="28"/>
        </w:rPr>
        <w:t>争议</w:t>
      </w:r>
      <w:bookmarkEnd w:id="7"/>
      <w:bookmarkEnd w:id="8"/>
    </w:p>
    <w:p w14:paraId="5C96BBE0" w14:textId="77777777" w:rsidR="00844F3D" w:rsidRDefault="00000000">
      <w:pPr>
        <w:ind w:firstLineChars="200" w:firstLine="480"/>
        <w:outlineLvl w:val="1"/>
        <w:rPr>
          <w:rFonts w:ascii="华文楷体" w:eastAsia="华文楷体" w:hAnsi="华文楷体" w:hint="eastAsia"/>
          <w:sz w:val="24"/>
        </w:rPr>
      </w:pPr>
      <w:bookmarkStart w:id="9" w:name="_Toc29784"/>
      <w:bookmarkStart w:id="10" w:name="_Toc27980"/>
      <w:bookmarkStart w:id="11" w:name="_Toc25000"/>
      <w:bookmarkStart w:id="12" w:name="_Toc11430"/>
      <w:r>
        <w:rPr>
          <w:rFonts w:ascii="华文楷体" w:eastAsia="华文楷体" w:hAnsi="华文楷体" w:hint="eastAsia"/>
          <w:sz w:val="24"/>
        </w:rPr>
        <w:t>（一）第三方诉讼融资的内涵</w:t>
      </w:r>
      <w:bookmarkEnd w:id="9"/>
      <w:bookmarkEnd w:id="10"/>
      <w:bookmarkEnd w:id="11"/>
      <w:bookmarkEnd w:id="12"/>
    </w:p>
    <w:p w14:paraId="1DB271D2"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第三方诉讼融资（</w:t>
      </w:r>
      <w:r>
        <w:rPr>
          <w:rFonts w:ascii="Times New Roman" w:eastAsia="宋体" w:hAnsi="Times New Roman" w:cs="Times New Roman"/>
          <w:szCs w:val="21"/>
        </w:rPr>
        <w:t>Third-Party Litigation Funding</w:t>
      </w:r>
      <w:r>
        <w:rPr>
          <w:rFonts w:ascii="宋体" w:eastAsia="宋体" w:hAnsi="宋体" w:cs="Times New Roman" w:hint="eastAsia"/>
          <w:szCs w:val="21"/>
        </w:rPr>
        <w:t>），又称第三方诉讼资助或第三方诉讼投资，是指与诉讼无关的第三方主体为诉讼当事人提供资金支持，从而换取其最终</w:t>
      </w:r>
      <w:r>
        <w:rPr>
          <w:rFonts w:ascii="宋体" w:eastAsia="宋体" w:hAnsi="宋体" w:cs="Times New Roman"/>
          <w:szCs w:val="21"/>
        </w:rPr>
        <w:t>胜诉所得</w:t>
      </w:r>
      <w:r>
        <w:rPr>
          <w:rFonts w:ascii="宋体" w:eastAsia="宋体" w:hAnsi="宋体" w:cs="Times New Roman"/>
          <w:szCs w:val="21"/>
        </w:rPr>
        <w:lastRenderedPageBreak/>
        <w:t>部分款项的</w:t>
      </w:r>
      <w:r>
        <w:rPr>
          <w:rFonts w:ascii="宋体" w:eastAsia="宋体" w:hAnsi="宋体" w:cs="Times New Roman" w:hint="eastAsia"/>
          <w:szCs w:val="21"/>
        </w:rPr>
        <w:t>融资</w:t>
      </w:r>
      <w:r>
        <w:rPr>
          <w:rFonts w:ascii="宋体" w:eastAsia="宋体" w:hAnsi="宋体" w:cs="Times New Roman"/>
          <w:szCs w:val="21"/>
        </w:rPr>
        <w:t>行为</w:t>
      </w:r>
      <w:r>
        <w:rPr>
          <w:rFonts w:ascii="宋体" w:eastAsia="宋体" w:hAnsi="宋体" w:cs="Times New Roman" w:hint="eastAsia"/>
          <w:szCs w:val="21"/>
        </w:rPr>
        <w:t>。</w:t>
      </w:r>
      <w:r>
        <w:rPr>
          <w:rStyle w:val="af0"/>
          <w:sz w:val="21"/>
          <w:szCs w:val="21"/>
        </w:rPr>
        <w:footnoteReference w:id="2"/>
      </w:r>
      <w:r>
        <w:rPr>
          <w:rFonts w:ascii="宋体" w:eastAsia="宋体" w:hAnsi="宋体" w:cs="Times New Roman" w:hint="eastAsia"/>
          <w:szCs w:val="21"/>
        </w:rPr>
        <w:t>具体而言：诉讼当事人以外的第三方主体通过与诉讼当事人签订协议的方式承担诉讼过程中产生的费用。若诉讼当事人获得胜诉或其他有利诉讼结果，第三方依据协议条款获得相应的经济利益；若诉讼当事人败诉或未能实现预期诉讼效果，第三方则无法从中获益，之前投入的资金亦无法收回。</w:t>
      </w:r>
      <w:r>
        <w:rPr>
          <w:rStyle w:val="af0"/>
          <w:sz w:val="21"/>
          <w:szCs w:val="21"/>
        </w:rPr>
        <w:footnoteReference w:id="3"/>
      </w:r>
    </w:p>
    <w:p w14:paraId="61C538EA"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提供第三方诉讼融资服务的企业开展诉讼融资业务的过程兼具专业性与系统性：在相关企业成立之初会组建一支由具备专业知识与实践经验的法律、金融等领域的专业人士组成的投资团队，并通过当事人自主申请或律师事务所推荐等渠道获得投资案源；获得投资案源后由投资团队对案件进行调查评估，内容包括但不限于案件可能耗费的时间、对方当事人的财务状况以及代理律师的专业能力等，以决定是否对案件进行投资；投资决定作出后企业将遵循内部审批流程，与受资助的诉讼当事人协商签订融资协议，并在资金投入之后持续跟踪案件的进展情况，并在必要时参与和解协商过程，以确保其投资效益最大化。第三方诉讼融资的运作可以通过图表概括如下：</w:t>
      </w:r>
    </w:p>
    <w:p w14:paraId="6625489D" w14:textId="77777777" w:rsidR="00844F3D" w:rsidRDefault="00000000">
      <w:pPr>
        <w:spacing w:line="360" w:lineRule="auto"/>
        <w:jc w:val="left"/>
        <w:rPr>
          <w:rFonts w:ascii="宋体" w:eastAsia="宋体" w:hAnsi="宋体" w:cs="宋体" w:hint="eastAsia"/>
          <w:sz w:val="24"/>
        </w:rPr>
      </w:pPr>
      <w:r>
        <w:rPr>
          <w:rFonts w:ascii="宋体" w:eastAsia="宋体" w:hAnsi="宋体" w:cs="宋体" w:hint="eastAsia"/>
          <w:noProof/>
          <w:sz w:val="24"/>
        </w:rPr>
        <w:drawing>
          <wp:inline distT="0" distB="0" distL="114300" distR="114300" wp14:anchorId="68C7BBA2" wp14:editId="51761469">
            <wp:extent cx="5261610" cy="3691890"/>
            <wp:effectExtent l="0" t="0" r="0" b="0"/>
            <wp:docPr id="3" name="图片 3" descr="流程图、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流程图、时序图"/>
                    <pic:cNvPicPr>
                      <a:picLocks noChangeAspect="1"/>
                    </pic:cNvPicPr>
                  </pic:nvPicPr>
                  <pic:blipFill>
                    <a:blip r:embed="rId16"/>
                    <a:stretch>
                      <a:fillRect/>
                    </a:stretch>
                  </pic:blipFill>
                  <pic:spPr>
                    <a:xfrm>
                      <a:off x="0" y="0"/>
                      <a:ext cx="5261610" cy="3691890"/>
                    </a:xfrm>
                    <a:prstGeom prst="rect">
                      <a:avLst/>
                    </a:prstGeom>
                  </pic:spPr>
                </pic:pic>
              </a:graphicData>
            </a:graphic>
          </wp:inline>
        </w:drawing>
      </w:r>
    </w:p>
    <w:p w14:paraId="3F5FA68C" w14:textId="77777777" w:rsidR="00844F3D" w:rsidRDefault="00000000">
      <w:pPr>
        <w:jc w:val="center"/>
        <w:rPr>
          <w:rFonts w:ascii="宋体" w:eastAsia="宋体" w:hAnsi="宋体" w:cs="Times New Roman" w:hint="eastAsia"/>
          <w:szCs w:val="21"/>
        </w:rPr>
      </w:pPr>
      <w:r>
        <w:rPr>
          <w:rFonts w:ascii="宋体" w:eastAsia="宋体" w:hAnsi="宋体" w:cs="Times New Roman" w:hint="eastAsia"/>
          <w:szCs w:val="21"/>
        </w:rPr>
        <w:t>图</w:t>
      </w:r>
      <w:r>
        <w:rPr>
          <w:rFonts w:ascii="Times New Roman" w:eastAsia="宋体" w:hAnsi="Times New Roman" w:cs="Times New Roman"/>
          <w:szCs w:val="21"/>
        </w:rPr>
        <w:t xml:space="preserve">1 </w:t>
      </w:r>
      <w:r>
        <w:rPr>
          <w:rFonts w:ascii="宋体" w:eastAsia="宋体" w:hAnsi="宋体" w:cs="Times New Roman" w:hint="eastAsia"/>
          <w:szCs w:val="21"/>
        </w:rPr>
        <w:t>第三方诉讼融资运作机理</w:t>
      </w:r>
    </w:p>
    <w:p w14:paraId="538517D5" w14:textId="77777777" w:rsidR="00844F3D" w:rsidRDefault="00000000">
      <w:pPr>
        <w:ind w:firstLineChars="200" w:firstLine="480"/>
        <w:outlineLvl w:val="1"/>
        <w:rPr>
          <w:rFonts w:ascii="华文楷体" w:eastAsia="华文楷体" w:hAnsi="华文楷体" w:hint="eastAsia"/>
          <w:sz w:val="24"/>
        </w:rPr>
      </w:pPr>
      <w:bookmarkStart w:id="13" w:name="_Toc413"/>
      <w:bookmarkStart w:id="14" w:name="_Toc3020"/>
      <w:bookmarkStart w:id="15" w:name="_Toc26645"/>
      <w:bookmarkStart w:id="16" w:name="_Toc5420"/>
      <w:bookmarkStart w:id="17" w:name="_Toc2026"/>
      <w:bookmarkStart w:id="18" w:name="_Toc21249"/>
      <w:r>
        <w:rPr>
          <w:rFonts w:ascii="华文楷体" w:eastAsia="华文楷体" w:hAnsi="华文楷体" w:hint="eastAsia"/>
          <w:sz w:val="24"/>
        </w:rPr>
        <w:t>（二）</w:t>
      </w:r>
      <w:bookmarkEnd w:id="13"/>
      <w:bookmarkEnd w:id="14"/>
      <w:r>
        <w:rPr>
          <w:rFonts w:ascii="华文楷体" w:eastAsia="华文楷体" w:hAnsi="华文楷体" w:hint="eastAsia"/>
          <w:sz w:val="24"/>
        </w:rPr>
        <w:t>第三方诉讼融资的</w:t>
      </w:r>
      <w:bookmarkEnd w:id="15"/>
      <w:r>
        <w:rPr>
          <w:rFonts w:ascii="华文楷体" w:eastAsia="华文楷体" w:hAnsi="华文楷体" w:hint="eastAsia"/>
          <w:sz w:val="24"/>
        </w:rPr>
        <w:t>实践</w:t>
      </w:r>
      <w:bookmarkEnd w:id="16"/>
      <w:r>
        <w:rPr>
          <w:rFonts w:ascii="华文楷体" w:eastAsia="华文楷体" w:hAnsi="华文楷体" w:hint="eastAsia"/>
          <w:sz w:val="24"/>
        </w:rPr>
        <w:t>发展争议</w:t>
      </w:r>
      <w:bookmarkEnd w:id="17"/>
      <w:bookmarkEnd w:id="18"/>
    </w:p>
    <w:p w14:paraId="33F03174" w14:textId="77777777" w:rsidR="00844F3D" w:rsidRDefault="00000000">
      <w:pPr>
        <w:ind w:firstLineChars="200" w:firstLine="420"/>
        <w:rPr>
          <w:rFonts w:ascii="宋体" w:eastAsia="宋体" w:hAnsi="宋体" w:cs="Times New Roman" w:hint="eastAsia"/>
          <w:szCs w:val="21"/>
        </w:rPr>
      </w:pPr>
      <w:r>
        <w:rPr>
          <w:rFonts w:ascii="Times New Roman" w:eastAsia="宋体" w:hAnsi="Times New Roman" w:cs="Times New Roman" w:hint="eastAsia"/>
          <w:szCs w:val="21"/>
        </w:rPr>
        <w:t>20</w:t>
      </w:r>
      <w:r>
        <w:rPr>
          <w:rFonts w:ascii="宋体" w:eastAsia="宋体" w:hAnsi="宋体" w:cs="Times New Roman" w:hint="eastAsia"/>
          <w:szCs w:val="21"/>
        </w:rPr>
        <w:t>世纪末，在经济发展带来的诉讼需求量激增、诉讼费用高昂等多种原因的作用下，人们也顾不得历史上“助讼”（</w:t>
      </w:r>
      <w:r>
        <w:rPr>
          <w:rFonts w:ascii="Times New Roman" w:eastAsia="宋体" w:hAnsi="Times New Roman" w:cs="Times New Roman"/>
          <w:szCs w:val="21"/>
        </w:rPr>
        <w:t>maintenance</w:t>
      </w:r>
      <w:r>
        <w:rPr>
          <w:rFonts w:ascii="宋体" w:eastAsia="宋体" w:hAnsi="宋体" w:cs="Times New Roman" w:hint="eastAsia"/>
          <w:szCs w:val="21"/>
        </w:rPr>
        <w:t>）与“帮讼”（</w:t>
      </w:r>
      <w:r>
        <w:rPr>
          <w:rFonts w:ascii="Times New Roman" w:eastAsia="宋体" w:hAnsi="Times New Roman" w:cs="Times New Roman"/>
          <w:szCs w:val="21"/>
        </w:rPr>
        <w:t>champerty</w:t>
      </w:r>
      <w:r>
        <w:rPr>
          <w:rFonts w:ascii="宋体" w:eastAsia="宋体" w:hAnsi="宋体" w:cs="Times New Roman" w:hint="eastAsia"/>
          <w:szCs w:val="21"/>
        </w:rPr>
        <w:t>）的双重禁令，使得第三方诉讼融资这样违反传统法律原则的制度产生并发展。该制度在诞生之初主要应用于破产案件的处理，随着时间的推移，这一制度在从澳大利亚走向世界的同时进一步拓展了其适用的案件类型</w:t>
      </w:r>
      <w:bookmarkStart w:id="19" w:name="_Toc20786"/>
      <w:r>
        <w:rPr>
          <w:rFonts w:ascii="宋体" w:eastAsia="宋体" w:hAnsi="宋体" w:cs="Times New Roman" w:hint="eastAsia"/>
          <w:szCs w:val="21"/>
        </w:rPr>
        <w:t>，然而发展过程中存在于该制度之上的各种争议不绝于耳。</w:t>
      </w:r>
    </w:p>
    <w:p w14:paraId="20A5F846"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支持者认为该制度对受资助的诉讼当事人及其代理律师存在诸多好处，如该制度为原告</w:t>
      </w:r>
      <w:r>
        <w:rPr>
          <w:rFonts w:ascii="宋体" w:eastAsia="宋体" w:hAnsi="宋体" w:cs="Times New Roman" w:hint="eastAsia"/>
          <w:szCs w:val="21"/>
        </w:rPr>
        <w:lastRenderedPageBreak/>
        <w:t>及</w:t>
      </w:r>
      <w:r>
        <w:rPr>
          <w:rFonts w:ascii="宋体" w:eastAsia="宋体" w:hAnsi="宋体" w:cs="Times New Roman"/>
          <w:szCs w:val="21"/>
        </w:rPr>
        <w:t>其代理律师</w:t>
      </w:r>
      <w:r>
        <w:rPr>
          <w:rFonts w:ascii="宋体" w:eastAsia="宋体" w:hAnsi="宋体" w:cs="Times New Roman" w:hint="eastAsia"/>
          <w:szCs w:val="21"/>
        </w:rPr>
        <w:t>提供了必要的诉讼资金</w:t>
      </w:r>
      <w:r>
        <w:rPr>
          <w:rFonts w:ascii="宋体" w:eastAsia="宋体" w:hAnsi="宋体" w:cs="Times New Roman"/>
          <w:szCs w:val="21"/>
        </w:rPr>
        <w:t>与被告抗衡</w:t>
      </w:r>
      <w:r>
        <w:rPr>
          <w:rFonts w:ascii="宋体" w:eastAsia="宋体" w:hAnsi="宋体" w:cs="Times New Roman" w:hint="eastAsia"/>
          <w:szCs w:val="21"/>
        </w:rPr>
        <w:t>；律师事务所代理案件风险也因投资</w:t>
      </w:r>
      <w:r>
        <w:rPr>
          <w:rFonts w:ascii="宋体" w:eastAsia="宋体" w:hAnsi="宋体" w:cs="Times New Roman"/>
          <w:szCs w:val="21"/>
        </w:rPr>
        <w:t>方</w:t>
      </w:r>
      <w:r>
        <w:rPr>
          <w:rFonts w:ascii="宋体" w:eastAsia="宋体" w:hAnsi="宋体" w:cs="Times New Roman" w:hint="eastAsia"/>
          <w:szCs w:val="21"/>
        </w:rPr>
        <w:t>的存在而实现分散</w:t>
      </w:r>
      <w:r>
        <w:rPr>
          <w:rFonts w:ascii="宋体" w:eastAsia="宋体" w:hAnsi="宋体" w:cs="Times New Roman"/>
          <w:szCs w:val="21"/>
        </w:rPr>
        <w:t>，</w:t>
      </w:r>
      <w:r>
        <w:rPr>
          <w:rFonts w:ascii="宋体" w:eastAsia="宋体" w:hAnsi="宋体" w:cs="Times New Roman" w:hint="eastAsia"/>
          <w:szCs w:val="21"/>
        </w:rPr>
        <w:t>使其能够</w:t>
      </w:r>
      <w:r>
        <w:rPr>
          <w:rFonts w:ascii="宋体" w:eastAsia="宋体" w:hAnsi="宋体" w:cs="Times New Roman"/>
          <w:szCs w:val="21"/>
        </w:rPr>
        <w:t>代理更多案件</w:t>
      </w:r>
      <w:r>
        <w:rPr>
          <w:rFonts w:ascii="宋体" w:eastAsia="宋体" w:hAnsi="宋体" w:cs="Times New Roman" w:hint="eastAsia"/>
          <w:szCs w:val="21"/>
        </w:rPr>
        <w:t>。此外，支持者亦秉持着对“助讼”与“帮讼”禁令的批判思维，认为此种禁令实为中世纪基督残余，</w:t>
      </w:r>
      <w:r>
        <w:rPr>
          <w:rFonts w:ascii="宋体" w:eastAsia="宋体" w:hAnsi="宋体" w:cs="Times New Roman"/>
          <w:szCs w:val="21"/>
        </w:rPr>
        <w:t>如今已无存在意义</w:t>
      </w:r>
      <w:r>
        <w:rPr>
          <w:rFonts w:ascii="宋体" w:eastAsia="宋体" w:hAnsi="宋体" w:cs="Times New Roman" w:hint="eastAsia"/>
          <w:szCs w:val="21"/>
        </w:rPr>
        <w:t>。</w:t>
      </w:r>
      <w:r>
        <w:rPr>
          <w:rStyle w:val="af0"/>
          <w:sz w:val="21"/>
          <w:szCs w:val="21"/>
        </w:rPr>
        <w:footnoteReference w:id="4"/>
      </w:r>
      <w:r>
        <w:rPr>
          <w:rFonts w:ascii="宋体" w:eastAsia="宋体" w:hAnsi="宋体" w:cs="Times New Roman"/>
          <w:szCs w:val="21"/>
        </w:rPr>
        <w:t>反对者</w:t>
      </w:r>
      <w:r>
        <w:rPr>
          <w:rFonts w:ascii="宋体" w:eastAsia="宋体" w:hAnsi="宋体" w:cs="Times New Roman" w:hint="eastAsia"/>
          <w:szCs w:val="21"/>
        </w:rPr>
        <w:t>的思考角度则聚焦于宏观层面，对于</w:t>
      </w:r>
      <w:r>
        <w:rPr>
          <w:rFonts w:ascii="宋体" w:eastAsia="宋体" w:hAnsi="宋体" w:cs="Times New Roman"/>
          <w:szCs w:val="21"/>
        </w:rPr>
        <w:t>第三方诉讼</w:t>
      </w:r>
      <w:r>
        <w:rPr>
          <w:rFonts w:ascii="宋体" w:eastAsia="宋体" w:hAnsi="宋体" w:cs="Times New Roman" w:hint="eastAsia"/>
          <w:szCs w:val="21"/>
        </w:rPr>
        <w:t>融资</w:t>
      </w:r>
      <w:r>
        <w:rPr>
          <w:rFonts w:ascii="宋体" w:eastAsia="宋体" w:hAnsi="宋体" w:cs="Times New Roman"/>
          <w:szCs w:val="21"/>
        </w:rPr>
        <w:t>缺乏透明度</w:t>
      </w:r>
      <w:r>
        <w:rPr>
          <w:rFonts w:ascii="宋体" w:eastAsia="宋体" w:hAnsi="宋体" w:cs="Times New Roman" w:hint="eastAsia"/>
          <w:szCs w:val="21"/>
        </w:rPr>
        <w:t>进而可能导致滥诉问题表示了担忧，并认为投资</w:t>
      </w:r>
      <w:r>
        <w:rPr>
          <w:rFonts w:ascii="宋体" w:eastAsia="宋体" w:hAnsi="宋体" w:cs="Times New Roman"/>
          <w:szCs w:val="21"/>
        </w:rPr>
        <w:t>方</w:t>
      </w:r>
      <w:r>
        <w:rPr>
          <w:rFonts w:ascii="宋体" w:eastAsia="宋体" w:hAnsi="宋体" w:cs="Times New Roman" w:hint="eastAsia"/>
          <w:szCs w:val="21"/>
        </w:rPr>
        <w:t>与诉讼当事人之间的利益冲突也会使得投资方</w:t>
      </w:r>
      <w:r>
        <w:rPr>
          <w:rFonts w:ascii="宋体" w:eastAsia="宋体" w:hAnsi="宋体" w:cs="Times New Roman"/>
          <w:szCs w:val="21"/>
        </w:rPr>
        <w:t>对诉讼策略及和解谈判施加不当影响</w:t>
      </w:r>
      <w:r>
        <w:rPr>
          <w:rFonts w:ascii="宋体" w:eastAsia="宋体" w:hAnsi="宋体" w:cs="Times New Roman" w:hint="eastAsia"/>
          <w:szCs w:val="21"/>
        </w:rPr>
        <w:t>的可能性增大</w:t>
      </w:r>
      <w:r>
        <w:rPr>
          <w:rFonts w:ascii="宋体" w:eastAsia="宋体" w:hAnsi="宋体" w:cs="Times New Roman"/>
          <w:szCs w:val="21"/>
        </w:rPr>
        <w:t>。无论对第三方诉讼</w:t>
      </w:r>
      <w:r>
        <w:rPr>
          <w:rFonts w:ascii="宋体" w:eastAsia="宋体" w:hAnsi="宋体" w:cs="Times New Roman" w:hint="eastAsia"/>
          <w:szCs w:val="21"/>
        </w:rPr>
        <w:t>融资</w:t>
      </w:r>
      <w:r>
        <w:rPr>
          <w:rFonts w:ascii="宋体" w:eastAsia="宋体" w:hAnsi="宋体" w:cs="Times New Roman"/>
          <w:szCs w:val="21"/>
        </w:rPr>
        <w:t>持何种观点，</w:t>
      </w:r>
      <w:r>
        <w:rPr>
          <w:rFonts w:ascii="宋体" w:eastAsia="宋体" w:hAnsi="宋体" w:cs="Times New Roman" w:hint="eastAsia"/>
          <w:szCs w:val="21"/>
        </w:rPr>
        <w:t>也无法阻止其已</w:t>
      </w:r>
      <w:r>
        <w:rPr>
          <w:rFonts w:ascii="宋体" w:eastAsia="宋体" w:hAnsi="宋体" w:cs="Times New Roman"/>
          <w:szCs w:val="21"/>
        </w:rPr>
        <w:t>发展成为一个规模达数十亿美元的新兴行业</w:t>
      </w:r>
      <w:r>
        <w:rPr>
          <w:rFonts w:ascii="宋体" w:eastAsia="宋体" w:hAnsi="宋体" w:cs="Times New Roman" w:hint="eastAsia"/>
          <w:szCs w:val="21"/>
        </w:rPr>
        <w:t>（仅美国一国</w:t>
      </w:r>
      <w:r>
        <w:rPr>
          <w:rFonts w:ascii="宋体" w:eastAsia="宋体" w:hAnsi="宋体" w:cs="Times New Roman"/>
          <w:szCs w:val="21"/>
        </w:rPr>
        <w:t>诉讼融资行业的市场规模就已达</w:t>
      </w:r>
      <w:r>
        <w:rPr>
          <w:rFonts w:ascii="Times New Roman" w:eastAsia="宋体" w:hAnsi="Times New Roman" w:cs="Times New Roman"/>
          <w:szCs w:val="21"/>
        </w:rPr>
        <w:t>50</w:t>
      </w:r>
      <w:r>
        <w:rPr>
          <w:rFonts w:ascii="宋体" w:eastAsia="宋体" w:hAnsi="宋体" w:cs="Times New Roman"/>
          <w:szCs w:val="21"/>
        </w:rPr>
        <w:t>亿美元</w:t>
      </w:r>
      <w:r>
        <w:rPr>
          <w:rFonts w:ascii="宋体" w:eastAsia="宋体" w:hAnsi="宋体" w:cs="Times New Roman" w:hint="eastAsia"/>
          <w:szCs w:val="21"/>
        </w:rPr>
        <w:t>）</w:t>
      </w:r>
      <w:r>
        <w:rPr>
          <w:rFonts w:ascii="宋体" w:eastAsia="宋体" w:hAnsi="宋体" w:cs="Times New Roman"/>
          <w:szCs w:val="21"/>
        </w:rPr>
        <w:t>并在全球范围内重塑诉讼格局</w:t>
      </w:r>
      <w:r>
        <w:rPr>
          <w:rFonts w:ascii="宋体" w:eastAsia="宋体" w:hAnsi="宋体" w:cs="Times New Roman" w:hint="eastAsia"/>
          <w:szCs w:val="21"/>
        </w:rPr>
        <w:t>。</w:t>
      </w:r>
      <w:r>
        <w:rPr>
          <w:rStyle w:val="af0"/>
          <w:sz w:val="21"/>
          <w:szCs w:val="21"/>
        </w:rPr>
        <w:footnoteReference w:id="5"/>
      </w:r>
    </w:p>
    <w:p w14:paraId="1A3253B3" w14:textId="77777777" w:rsidR="00844F3D" w:rsidRDefault="00844F3D">
      <w:pPr>
        <w:rPr>
          <w:rFonts w:ascii="宋体" w:eastAsia="宋体" w:hAnsi="宋体" w:cs="Times New Roman" w:hint="eastAsia"/>
          <w:szCs w:val="21"/>
        </w:rPr>
      </w:pPr>
    </w:p>
    <w:p w14:paraId="17C1AB55" w14:textId="77777777" w:rsidR="00844F3D" w:rsidRDefault="00000000">
      <w:pPr>
        <w:numPr>
          <w:ilvl w:val="0"/>
          <w:numId w:val="1"/>
        </w:numPr>
        <w:outlineLvl w:val="0"/>
        <w:rPr>
          <w:rFonts w:ascii="黑体" w:eastAsia="黑体" w:hAnsi="黑体" w:hint="eastAsia"/>
          <w:sz w:val="28"/>
          <w:szCs w:val="28"/>
        </w:rPr>
      </w:pPr>
      <w:bookmarkStart w:id="20" w:name="_Toc14723"/>
      <w:bookmarkStart w:id="21" w:name="_Toc19186"/>
      <w:bookmarkStart w:id="22" w:name="_Toc16045"/>
      <w:bookmarkStart w:id="23" w:name="_Toc11663"/>
      <w:bookmarkStart w:id="24" w:name="_Toc23739"/>
      <w:bookmarkStart w:id="25" w:name="_Toc7639"/>
      <w:bookmarkEnd w:id="0"/>
      <w:bookmarkEnd w:id="1"/>
      <w:bookmarkEnd w:id="19"/>
      <w:r>
        <w:rPr>
          <w:rFonts w:ascii="黑体" w:eastAsia="黑体" w:hAnsi="黑体" w:hint="eastAsia"/>
          <w:sz w:val="28"/>
          <w:szCs w:val="28"/>
        </w:rPr>
        <w:t>中国引入第三方诉讼融资制度的必要性与可行性</w:t>
      </w:r>
      <w:bookmarkEnd w:id="20"/>
      <w:bookmarkEnd w:id="21"/>
      <w:bookmarkEnd w:id="22"/>
      <w:bookmarkEnd w:id="23"/>
      <w:bookmarkEnd w:id="24"/>
      <w:bookmarkEnd w:id="25"/>
    </w:p>
    <w:p w14:paraId="7BD6A348" w14:textId="77777777" w:rsidR="00844F3D" w:rsidRDefault="00000000">
      <w:pPr>
        <w:numPr>
          <w:ilvl w:val="255"/>
          <w:numId w:val="0"/>
        </w:numPr>
        <w:ind w:firstLineChars="200" w:firstLine="480"/>
        <w:outlineLvl w:val="1"/>
        <w:rPr>
          <w:rFonts w:ascii="华文楷体" w:eastAsia="华文楷体" w:hAnsi="华文楷体" w:hint="eastAsia"/>
          <w:sz w:val="24"/>
        </w:rPr>
      </w:pPr>
      <w:r>
        <w:rPr>
          <w:rFonts w:ascii="华文楷体" w:eastAsia="华文楷体" w:hAnsi="华文楷体" w:hint="eastAsia"/>
          <w:sz w:val="24"/>
        </w:rPr>
        <w:t>（一）第三方诉讼融资之上的域外争议不构成引入阻碍</w:t>
      </w:r>
    </w:p>
    <w:p w14:paraId="74430554"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凡存在于世上的制度必会有争议存在于其上，第三方诉讼融资制度亦不例外，故对于第三方诉讼融资制度不可因其存在于其上的诸多争议便将其视为洪水猛兽。存在争议并非判断一个制度是否应当引入的核心，了解争议核心之处从而判断争议是否真实以及争议是否可解决才是在引入过程中所应当重视的。由于第三方诉讼融资制度涉及金融与法律这两个传统行业，故存在于其上的争议自然也集中于此：是否会对金融与法律原有的公序良俗造成冲击、是否会对诉讼当事人以及社会造成潜在影响等问题随之而生。</w:t>
      </w:r>
    </w:p>
    <w:p w14:paraId="4A30513D" w14:textId="77777777" w:rsidR="00844F3D" w:rsidRDefault="00000000">
      <w:pPr>
        <w:ind w:firstLineChars="200" w:firstLine="420"/>
        <w:outlineLvl w:val="2"/>
        <w:rPr>
          <w:rFonts w:ascii="宋体" w:eastAsia="宋体" w:hAnsi="宋体" w:cs="Times New Roman" w:hint="eastAsia"/>
          <w:szCs w:val="21"/>
        </w:rPr>
      </w:pPr>
      <w:r>
        <w:rPr>
          <w:rFonts w:ascii="Times New Roman" w:eastAsia="宋体" w:hAnsi="Times New Roman" w:cs="Times New Roman" w:hint="eastAsia"/>
          <w:szCs w:val="21"/>
        </w:rPr>
        <w:t>1</w:t>
      </w:r>
      <w:r>
        <w:rPr>
          <w:rFonts w:ascii="宋体" w:eastAsia="宋体" w:hAnsi="宋体" w:cs="Times New Roman" w:hint="eastAsia"/>
          <w:szCs w:val="21"/>
        </w:rPr>
        <w:t>.第三方诉讼融资制度实践无损公序良俗</w:t>
      </w:r>
    </w:p>
    <w:p w14:paraId="3AA97664" w14:textId="77777777" w:rsidR="00844F3D" w:rsidRDefault="00000000">
      <w:pPr>
        <w:ind w:firstLineChars="200" w:firstLine="420"/>
        <w:outlineLvl w:val="3"/>
        <w:rPr>
          <w:rFonts w:ascii="宋体" w:eastAsia="宋体" w:hAnsi="宋体" w:cs="Times New Roman" w:hint="eastAsia"/>
          <w:szCs w:val="21"/>
        </w:rPr>
      </w:pPr>
      <w:r>
        <w:rPr>
          <w:rFonts w:ascii="宋体" w:eastAsia="宋体" w:hAnsi="宋体" w:cs="Times New Roman" w:hint="eastAsia"/>
          <w:szCs w:val="21"/>
        </w:rPr>
        <w:t>（</w:t>
      </w:r>
      <w:r>
        <w:rPr>
          <w:rFonts w:ascii="Times New Roman" w:eastAsia="宋体" w:hAnsi="Times New Roman" w:cs="Times New Roman" w:hint="eastAsia"/>
          <w:szCs w:val="21"/>
        </w:rPr>
        <w:t>1</w:t>
      </w:r>
      <w:r>
        <w:rPr>
          <w:rFonts w:ascii="宋体" w:eastAsia="宋体" w:hAnsi="宋体" w:cs="Times New Roman" w:hint="eastAsia"/>
          <w:szCs w:val="21"/>
        </w:rPr>
        <w:t>）第三方诉讼融资无关市场秩序</w:t>
      </w:r>
    </w:p>
    <w:p w14:paraId="122F9D04"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市场经济秩序方面的质疑主要因第三方诉讼融资所存在的金融属性而产生。金融是虚拟经济的重要组成部分，而虚拟经济对市场经济秩序的冲击的阴影仍留存在人们的心中。</w:t>
      </w:r>
      <w:r>
        <w:rPr>
          <w:rFonts w:ascii="Times New Roman" w:eastAsia="宋体" w:hAnsi="Times New Roman" w:cs="Times New Roman" w:hint="eastAsia"/>
          <w:szCs w:val="21"/>
        </w:rPr>
        <w:t>2008</w:t>
      </w:r>
      <w:r>
        <w:rPr>
          <w:rFonts w:ascii="宋体" w:eastAsia="宋体" w:hAnsi="宋体" w:cs="Times New Roman" w:hint="eastAsia"/>
          <w:szCs w:val="21"/>
        </w:rPr>
        <w:t>年国际金融危机后，虚拟经济的负面影响逐渐被人们发现与重视，“脱实向虚”被看作是积聚金融风险、抑制实体经济发展甚至扭曲经济未来发展方向的一种不良倾向。</w:t>
      </w:r>
      <w:r>
        <w:rPr>
          <w:rStyle w:val="af0"/>
          <w:sz w:val="21"/>
          <w:szCs w:val="21"/>
        </w:rPr>
        <w:footnoteReference w:id="6"/>
      </w:r>
      <w:r>
        <w:rPr>
          <w:rFonts w:ascii="宋体" w:eastAsia="宋体" w:hAnsi="宋体" w:cs="Times New Roman" w:hint="eastAsia"/>
          <w:szCs w:val="21"/>
        </w:rPr>
        <w:t>在这种思想的影响下，虚拟经济在大众心中的形象似乎走向了极端——市场经济秩序的破坏者。若将对虚拟经济的态度套用到第三方诉讼融资制度上，其似乎就有了破坏市场经济秩序的高度危险性。但事实上，这种套用是对虚拟经济在市场经济秩序混乱中运作机理的误解。金融作为受到规管的行业只是指向承载“信用工具”功能的产品，此类产品由于其资金反复流出流入极易引发系统性金融风险，而传统的第三方诉讼融资交易并不具有这个“危险”特征，其资金流向具有唯一性且资金融通的链条较短，不存在资金反复流入流出的情况，因而此种融资行为带来的危害极其有限。</w:t>
      </w:r>
      <w:r>
        <w:rPr>
          <w:rStyle w:val="af0"/>
          <w:sz w:val="21"/>
          <w:szCs w:val="21"/>
        </w:rPr>
        <w:footnoteReference w:id="7"/>
      </w:r>
      <w:r>
        <w:rPr>
          <w:rFonts w:ascii="宋体" w:eastAsia="宋体" w:hAnsi="宋体" w:cs="Times New Roman" w:hint="eastAsia"/>
          <w:szCs w:val="21"/>
        </w:rPr>
        <w:t>从内容上看，一份融资协议内容为投资者为诉讼当事人垫资支付诉讼费，在胜诉后获取一定的收益，这更类似于“风险代理”模式，通常情况下不会涉及货币在社会或经济流转层面的信用风险问题，因此这样的“商业模式”无关市场经济秩序问题，跟金融监管所要防范的系统性风险也并无干涉。</w:t>
      </w:r>
      <w:r>
        <w:rPr>
          <w:rStyle w:val="af0"/>
          <w:sz w:val="21"/>
          <w:szCs w:val="21"/>
        </w:rPr>
        <w:footnoteReference w:id="8"/>
      </w:r>
    </w:p>
    <w:p w14:paraId="47A76F41" w14:textId="77777777" w:rsidR="00844F3D" w:rsidRDefault="00000000">
      <w:pPr>
        <w:ind w:firstLineChars="200" w:firstLine="420"/>
        <w:outlineLvl w:val="3"/>
        <w:rPr>
          <w:rFonts w:ascii="宋体" w:eastAsia="宋体" w:hAnsi="宋体" w:cs="Times New Roman" w:hint="eastAsia"/>
          <w:szCs w:val="21"/>
        </w:rPr>
      </w:pPr>
      <w:r>
        <w:rPr>
          <w:rFonts w:ascii="宋体" w:eastAsia="宋体" w:hAnsi="宋体" w:cs="Times New Roman" w:hint="eastAsia"/>
          <w:szCs w:val="21"/>
        </w:rPr>
        <w:t>（</w:t>
      </w:r>
      <w:r>
        <w:rPr>
          <w:rFonts w:ascii="Times New Roman" w:eastAsia="宋体" w:hAnsi="Times New Roman" w:cs="Times New Roman" w:hint="eastAsia"/>
          <w:szCs w:val="21"/>
        </w:rPr>
        <w:t>2</w:t>
      </w:r>
      <w:r>
        <w:rPr>
          <w:rFonts w:ascii="宋体" w:eastAsia="宋体" w:hAnsi="宋体" w:cs="Times New Roman" w:hint="eastAsia"/>
          <w:szCs w:val="21"/>
        </w:rPr>
        <w:t>）第三方诉讼融资不会扰乱诉讼秩序</w:t>
      </w:r>
    </w:p>
    <w:p w14:paraId="7D63F16B"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lastRenderedPageBreak/>
        <w:t>至于诉讼秩序，由于第三方诉讼融资制度缓解诉讼当事人诉讼费用压力的功能在一定程度上打消了诉讼当事人提起诉讼的顾虑，使得进入法院的诉讼案件数量增加的可能性上升，滥诉问题便可能随之爆发。对于诉讼案件数量，且不论第三方诉讼融资制度是否必然导致诉讼案件数量增加，即便案件数量有所增加，直接将其与滥诉问题关联也并不妥当。滥诉行为是指当事人基于某种意图，在明确或理应意识到自己不满足提起诉讼的基本要求、所追求的利益无法通过法律程序得到有效维护、诉讼本身缺乏必要性的情况下，仍旧选择启动或继续诉讼的行为。</w:t>
      </w:r>
      <w:r>
        <w:rPr>
          <w:rStyle w:val="af0"/>
          <w:sz w:val="21"/>
          <w:szCs w:val="21"/>
        </w:rPr>
        <w:footnoteReference w:id="9"/>
      </w:r>
      <w:r>
        <w:rPr>
          <w:rFonts w:ascii="宋体" w:eastAsia="宋体" w:hAnsi="宋体" w:cs="Times New Roman" w:hint="eastAsia"/>
          <w:szCs w:val="21"/>
        </w:rPr>
        <w:t>通过分析其概念内涵可知，符合滥诉标准的案件通常还具有胜诉率低的特点，而这与投资者选择资助案件的标准背道而驰。投资者作为充满理性并在民商事活动中追求利益最大化的商事主体，他们往往将目光投向那些具有较高胜率和丰厚回报的案件。因此，胜率不高、预期回报率较低的滥诉案件很难获得他们的青睐。投资者在接到诉讼当事人的申请后，通常会组织专业的评估团队对标的案件进行细致评估，总的来说，目前仅胜诉率超过</w:t>
      </w:r>
      <w:r>
        <w:rPr>
          <w:rFonts w:ascii="Times New Roman" w:eastAsia="宋体" w:hAnsi="Times New Roman" w:cs="Times New Roman" w:hint="eastAsia"/>
          <w:szCs w:val="21"/>
        </w:rPr>
        <w:t>6</w:t>
      </w:r>
      <w:r>
        <w:rPr>
          <w:rFonts w:ascii="Times New Roman" w:eastAsia="宋体" w:hAnsi="Times New Roman" w:cs="Times New Roman"/>
          <w:szCs w:val="21"/>
        </w:rPr>
        <w:t>0%</w:t>
      </w:r>
      <w:r>
        <w:rPr>
          <w:rFonts w:ascii="宋体" w:eastAsia="宋体" w:hAnsi="宋体" w:cs="Times New Roman" w:hint="eastAsia"/>
          <w:szCs w:val="21"/>
        </w:rPr>
        <w:t>或更高的案件才有机会成为投资者资助的对象。</w:t>
      </w:r>
      <w:r>
        <w:rPr>
          <w:rStyle w:val="af0"/>
          <w:sz w:val="21"/>
          <w:szCs w:val="21"/>
        </w:rPr>
        <w:footnoteReference w:id="10"/>
      </w:r>
      <w:r>
        <w:rPr>
          <w:rFonts w:ascii="宋体" w:eastAsia="宋体" w:hAnsi="宋体" w:cs="Times New Roman" w:hint="eastAsia"/>
          <w:szCs w:val="21"/>
        </w:rPr>
        <w:t>因此，对于第三方诉讼融资制度可能带来滥诉问题这一担忧就似乎有些言之过甚。</w:t>
      </w:r>
    </w:p>
    <w:p w14:paraId="7E3189C8" w14:textId="77777777" w:rsidR="00844F3D" w:rsidRDefault="00000000">
      <w:pPr>
        <w:ind w:firstLineChars="200" w:firstLine="420"/>
        <w:outlineLvl w:val="3"/>
        <w:rPr>
          <w:rFonts w:ascii="宋体" w:eastAsia="宋体" w:hAnsi="宋体" w:cs="Times New Roman" w:hint="eastAsia"/>
          <w:szCs w:val="21"/>
        </w:rPr>
      </w:pPr>
      <w:r>
        <w:rPr>
          <w:rFonts w:ascii="宋体" w:eastAsia="宋体" w:hAnsi="宋体" w:cs="Times New Roman" w:hint="eastAsia"/>
          <w:szCs w:val="21"/>
        </w:rPr>
        <w:t>（</w:t>
      </w:r>
      <w:r>
        <w:rPr>
          <w:rFonts w:ascii="Times New Roman" w:eastAsia="宋体" w:hAnsi="Times New Roman" w:cs="Times New Roman" w:hint="eastAsia"/>
          <w:szCs w:val="21"/>
        </w:rPr>
        <w:t>3</w:t>
      </w:r>
      <w:r>
        <w:rPr>
          <w:rFonts w:ascii="宋体" w:eastAsia="宋体" w:hAnsi="宋体" w:cs="Times New Roman" w:hint="eastAsia"/>
          <w:szCs w:val="21"/>
        </w:rPr>
        <w:t>）第三方诉讼融资不构成对善良风俗的冲击</w:t>
      </w:r>
    </w:p>
    <w:p w14:paraId="4D7FBDDC"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对于善良风俗上的质疑主要集中于对司法公共属性的认识的冲击之上。</w:t>
      </w:r>
      <w:r>
        <w:rPr>
          <w:rStyle w:val="af0"/>
          <w:rFonts w:eastAsia="宋体"/>
          <w:sz w:val="21"/>
          <w:szCs w:val="21"/>
        </w:rPr>
        <w:footnoteReference w:id="11"/>
      </w:r>
      <w:r>
        <w:rPr>
          <w:rFonts w:ascii="宋体" w:eastAsia="宋体" w:hAnsi="宋体" w:cs="Times New Roman" w:hint="eastAsia"/>
          <w:szCs w:val="21"/>
        </w:rPr>
        <w:t>将第三方诉讼融资制度与冲击公众对于司法公共属性的认识进行关联，似乎在推理过程中存在着对于大前提内涵的误读。公众对于司法公共属性的认识根植于国家通过司法机关行使审判权来实现公力救济，是聚焦在法院依法行使审判权的这一过程，而非诉讼费用的来源抑或缴纳主体。第三方诉讼融资制度旨在缓解诉讼资金的筹集难题，鉴于投资者只提供诉讼费用而并不直接参与诉讼程序，其对法院的审判权行使、审判过程的中立性、法官的客观性以及案件的裁决结果，均不构成实质性影响，因而对司法公共属性产生异化之事无从谈起。</w:t>
      </w:r>
    </w:p>
    <w:p w14:paraId="38A372AB"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此外，第三方诉讼融资制度这一新兴融资模式对于公众与其说是观念的冲击，倒不如将其称之为观念的更新更为妥当。第三方诉讼融资制度的存在告诉我们，资本的适度介入有助于实现“接近正义”这一司法核心目标，诉讼费用和风险可以通过此种方式得到转嫁，当被侵害方无力承担高昂的诉讼费用时，该制度的出现帮助他们通过诉讼的方式接近正义。善良风俗本身并非一尘不变的教条，政治、经济、社会、文化等层面的不断发展都会促成善良风俗的变化，而第三方诉讼融资制度正是一种推动善良风俗更新的动力，而非对其进行解构。</w:t>
      </w:r>
    </w:p>
    <w:p w14:paraId="7172EA7A" w14:textId="77777777" w:rsidR="00844F3D" w:rsidRDefault="00000000">
      <w:pPr>
        <w:numPr>
          <w:ilvl w:val="0"/>
          <w:numId w:val="2"/>
        </w:numPr>
        <w:ind w:firstLineChars="200" w:firstLine="420"/>
        <w:outlineLvl w:val="2"/>
        <w:rPr>
          <w:rFonts w:ascii="宋体" w:eastAsia="宋体" w:hAnsi="宋体" w:cs="Times New Roman" w:hint="eastAsia"/>
          <w:szCs w:val="21"/>
        </w:rPr>
      </w:pPr>
      <w:r>
        <w:rPr>
          <w:rFonts w:ascii="宋体" w:eastAsia="宋体" w:hAnsi="宋体" w:cs="Times New Roman" w:hint="eastAsia"/>
          <w:szCs w:val="21"/>
        </w:rPr>
        <w:t>第三方诉讼融资制度对于诉讼当事人以及社会存在的潜在风险可控</w:t>
      </w:r>
    </w:p>
    <w:p w14:paraId="609A3AC9" w14:textId="77777777" w:rsidR="00844F3D" w:rsidRDefault="00000000">
      <w:pPr>
        <w:ind w:firstLineChars="200" w:firstLine="420"/>
        <w:outlineLvl w:val="3"/>
        <w:rPr>
          <w:rFonts w:ascii="宋体" w:eastAsia="宋体" w:hAnsi="宋体" w:cs="Times New Roman" w:hint="eastAsia"/>
          <w:szCs w:val="21"/>
        </w:rPr>
      </w:pPr>
      <w:r>
        <w:rPr>
          <w:rFonts w:ascii="宋体" w:eastAsia="宋体" w:hAnsi="宋体" w:cs="Times New Roman" w:hint="eastAsia"/>
          <w:szCs w:val="21"/>
        </w:rPr>
        <w:t>（</w:t>
      </w:r>
      <w:r>
        <w:rPr>
          <w:rFonts w:ascii="Times New Roman" w:eastAsia="宋体" w:hAnsi="Times New Roman" w:cs="Times New Roman" w:hint="eastAsia"/>
          <w:szCs w:val="21"/>
        </w:rPr>
        <w:t>1</w:t>
      </w:r>
      <w:r>
        <w:rPr>
          <w:rFonts w:ascii="宋体" w:eastAsia="宋体" w:hAnsi="宋体" w:cs="Times New Roman" w:hint="eastAsia"/>
          <w:szCs w:val="21"/>
        </w:rPr>
        <w:t>）当事人的诉讼权利不因第三方诉讼融资存在而有所减损</w:t>
      </w:r>
    </w:p>
    <w:p w14:paraId="17CE2396"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第三方诉讼融资企业作为案件的投资者，其自然对于投资案件有着利益最大化的期许，而诉讼当事人对于该案的期许亦如此。故由此可知，第三方诉讼融资企业和诉讼当事人在诉讼案件收益上具有利益一致性。诚然，此种利益一致性并非全然一致，融资企业与当事人之间因利益权衡重心各有不同——融资企业大多只关注投资回报率，而当事人则更多关注多方经济效益与社会效益的平衡——使得双方在诉讼策略的选择、赔偿款项、协商和解等方面的选择之上仍存在差异，</w:t>
      </w:r>
      <w:r>
        <w:rPr>
          <w:rStyle w:val="af0"/>
          <w:rFonts w:eastAsia="宋体"/>
          <w:sz w:val="21"/>
          <w:szCs w:val="21"/>
        </w:rPr>
        <w:footnoteReference w:id="12"/>
      </w:r>
      <w:r>
        <w:rPr>
          <w:rFonts w:ascii="宋体" w:eastAsia="宋体" w:hAnsi="宋体" w:cs="Times New Roman" w:hint="eastAsia"/>
          <w:szCs w:val="21"/>
        </w:rPr>
        <w:t>但差异的存在并不意味着当事人的诉讼权利便会当然产生不当的减损。</w:t>
      </w:r>
    </w:p>
    <w:p w14:paraId="5A3800EA"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判断当事人诉讼权利是否被不当减损的核心在于判断当事人是否丧失诉讼控制权，即诉讼控制权是否从当事人处转移至他人处。实际上，在整个诉讼融资进行的过程之中，融资企业仅作为参与案件讨论的浅度参与者与建议者，其在案件进程中的角色定位以及协议赋予其</w:t>
      </w:r>
      <w:r>
        <w:rPr>
          <w:rFonts w:ascii="宋体" w:eastAsia="宋体" w:hAnsi="宋体" w:cs="Times New Roman" w:hint="eastAsia"/>
          <w:szCs w:val="21"/>
        </w:rPr>
        <w:lastRenderedPageBreak/>
        <w:t>的权利并使其拥有对诉讼当事人行使诉讼权利的过程产生实质阻碍的能力，因此诉讼控制权的转移无从谈起。若当事人基于其自由意志主动将其诉讼控制权让渡给融资企业，由于此举属于自愿处分权利的行为，与诉讼权利减损并无干系。除了诉讼控制权实际拥有者之外，对于融资企业可能不当干预当事人诉讼决策选择的担忧亦不在少数。此种担忧主要源于当事人因法律知识的缺乏使得其在法律方案的选择上高度依赖律师的专业意见。虽然，在现实中确实无法排除诉讼融资企业通过与律师接触，干预其执业行为的独立性从而影响当事人在选择方案时的判断，间接使其作出的决策最有利于融资企业利益而非自身利益，但无法排除并不意味着存在较大的发生可能性。中国已经对于此种背叛当事人利益的违反职业伦理的律师形成了以《中华人民共和国律师法》为核心的多层次、多维度规范体系，一个违反职业伦理的行为，可能同时触发多种处罚，因此律师在执业过程中通常较为谨慎。要求律师在第三方诉讼融资进程中受融资企业摆布，一方面存在法律层面的威慑，另一方面其亦缺乏必须听从融资企业的动机；若欲从源头掐断融资企业欲进行不当干预的念想，亦可通过制度的构建达到预防与监督的作用（将会在下文“三、第三方诉讼融资制度的本土化构想”中详细论述）。</w:t>
      </w:r>
    </w:p>
    <w:p w14:paraId="3187FF87"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此外，此种情形并非专属于第三方诉讼融资制度，意欲影响当事人诉讼策略选择的主体绝非仅包含提供诉讼资金的融资企业，诸如诉讼当事人的债权人、竞争对手等亦有可能实施相同行为。因此对于当事人诉讼权利减损这一不利影响，因其并非第三方诉讼融资制度的内在不足，且其发生的可能性亦可通过相关措施的实施实现有效控制，故不应因此将第三方诉讼融资拒之于外。</w:t>
      </w:r>
    </w:p>
    <w:p w14:paraId="4962B4CF" w14:textId="77777777" w:rsidR="00844F3D" w:rsidRDefault="00000000">
      <w:pPr>
        <w:numPr>
          <w:ilvl w:val="255"/>
          <w:numId w:val="0"/>
        </w:numPr>
        <w:ind w:firstLineChars="200" w:firstLine="420"/>
        <w:outlineLvl w:val="3"/>
        <w:rPr>
          <w:rFonts w:ascii="宋体" w:eastAsia="宋体" w:hAnsi="宋体" w:cs="Times New Roman" w:hint="eastAsia"/>
          <w:szCs w:val="21"/>
        </w:rPr>
      </w:pPr>
      <w:r>
        <w:rPr>
          <w:rFonts w:ascii="宋体" w:eastAsia="宋体" w:hAnsi="宋体" w:cs="Times New Roman" w:hint="eastAsia"/>
          <w:szCs w:val="21"/>
        </w:rPr>
        <w:t>（</w:t>
      </w:r>
      <w:r>
        <w:rPr>
          <w:rFonts w:ascii="Times New Roman" w:eastAsia="宋体" w:hAnsi="Times New Roman" w:cs="Times New Roman" w:hint="eastAsia"/>
          <w:szCs w:val="21"/>
        </w:rPr>
        <w:t>2</w:t>
      </w:r>
      <w:r>
        <w:rPr>
          <w:rFonts w:ascii="宋体" w:eastAsia="宋体" w:hAnsi="宋体" w:cs="Times New Roman" w:hint="eastAsia"/>
          <w:szCs w:val="21"/>
        </w:rPr>
        <w:t>）第三方诉讼融资发展进程中引发社会风险不具有必然性</w:t>
      </w:r>
    </w:p>
    <w:p w14:paraId="6ABF5013"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世间万物都处于不断发展的状态之中，第三方诉讼融资制度亦不例外，其自诞生之初至今经历了许多变化，使其运作呈现出系统化、规范化的状态。然而，尽管第三方诉讼融资制度在客观上可以产生帮助大众接近正义的效果，但这并非第三方诉讼融资制度诞生于世的主要目的——其在本质上与其他融资行为并无差异，均是以利益最大化为核心追求的逐利行为。正是此种对金钱的渴望驱使着第三方诉讼融资制度向敏感领域渗透从而引发了一系列不利的社会影响，</w:t>
      </w:r>
      <w:r>
        <w:rPr>
          <w:rFonts w:ascii="Times New Roman" w:eastAsia="宋体" w:hAnsi="Times New Roman" w:cs="Times New Roman"/>
          <w:szCs w:val="21"/>
        </w:rPr>
        <w:t>2010</w:t>
      </w:r>
      <w:r>
        <w:rPr>
          <w:rFonts w:ascii="宋体" w:eastAsia="宋体" w:hAnsi="宋体" w:cs="Times New Roman" w:hint="eastAsia"/>
          <w:szCs w:val="21"/>
        </w:rPr>
        <w:t>年时的美国医生大规模离职正是其中一个缩影。</w:t>
      </w:r>
      <w:r>
        <w:rPr>
          <w:rStyle w:val="af0"/>
          <w:rFonts w:eastAsia="宋体"/>
          <w:sz w:val="21"/>
          <w:szCs w:val="21"/>
        </w:rPr>
        <w:footnoteReference w:id="13"/>
      </w:r>
      <w:r>
        <w:rPr>
          <w:rFonts w:ascii="宋体" w:eastAsia="宋体" w:hAnsi="宋体" w:cs="Times New Roman" w:hint="eastAsia"/>
          <w:szCs w:val="21"/>
        </w:rPr>
        <w:t>需要指出的是，这些社会现象的真实存在并非推翻了前文关于第三方诉讼融资制度无关市场秩序也不会扰乱诉讼秩序这一分析的正确性。前文的分析基于传统的第三方诉讼融资运行模式展开，该制度的传统运行模式确实并不会引发相应的对于社会的不利影响。事实上，此种不利影响产生于第三方诉讼融资制度金融属性不断加强的异化过程之中，其基金化和证券化的趋势使得投资决策逐渐脱离个案评估，从而放大了资本逐利性对司法伦理的冲击。</w:t>
      </w:r>
      <w:r>
        <w:rPr>
          <w:rStyle w:val="af0"/>
          <w:rFonts w:eastAsia="宋体"/>
          <w:sz w:val="21"/>
          <w:szCs w:val="21"/>
        </w:rPr>
        <w:footnoteReference w:id="14"/>
      </w:r>
      <w:r>
        <w:rPr>
          <w:rFonts w:ascii="宋体" w:eastAsia="宋体" w:hAnsi="宋体" w:cs="Times New Roman" w:hint="eastAsia"/>
          <w:szCs w:val="21"/>
        </w:rPr>
        <w:t>由此亦可得出，带来不利社会影响的并非第三方诉讼融资制度本身，而是该制度不当的发展趋势，故只需对其运行模式的发展趋势加以限制，即可实现有效规避（具体在下文“三、第三方诉讼融资制度的本土化构想”中展开详细论述），此种担忧亦不构成引入第三方诉讼融资制度的阻碍。</w:t>
      </w:r>
    </w:p>
    <w:p w14:paraId="486FD1CD" w14:textId="77777777" w:rsidR="00844F3D" w:rsidRDefault="00000000">
      <w:pPr>
        <w:ind w:firstLineChars="200" w:firstLine="480"/>
        <w:outlineLvl w:val="1"/>
        <w:rPr>
          <w:rFonts w:ascii="华文楷体" w:eastAsia="华文楷体" w:hAnsi="华文楷体" w:hint="eastAsia"/>
          <w:sz w:val="24"/>
        </w:rPr>
      </w:pPr>
      <w:bookmarkStart w:id="26" w:name="_Toc18995"/>
      <w:bookmarkStart w:id="27" w:name="_Toc10552"/>
      <w:bookmarkStart w:id="28" w:name="_Toc11971"/>
      <w:bookmarkStart w:id="29" w:name="_Toc1238"/>
      <w:bookmarkStart w:id="30" w:name="_Toc19428"/>
      <w:bookmarkStart w:id="31" w:name="_Toc12181"/>
      <w:r>
        <w:rPr>
          <w:rFonts w:ascii="华文楷体" w:eastAsia="华文楷体" w:hAnsi="华文楷体" w:hint="eastAsia"/>
          <w:sz w:val="24"/>
        </w:rPr>
        <w:t>（二）中国存在引入第三方诉讼融资制度的</w:t>
      </w:r>
      <w:bookmarkEnd w:id="26"/>
      <w:bookmarkEnd w:id="27"/>
      <w:bookmarkEnd w:id="28"/>
      <w:bookmarkEnd w:id="29"/>
      <w:r>
        <w:rPr>
          <w:rFonts w:ascii="华文楷体" w:eastAsia="华文楷体" w:hAnsi="华文楷体" w:hint="eastAsia"/>
          <w:sz w:val="24"/>
        </w:rPr>
        <w:t>现实</w:t>
      </w:r>
      <w:bookmarkEnd w:id="30"/>
      <w:r>
        <w:rPr>
          <w:rFonts w:ascii="华文楷体" w:eastAsia="华文楷体" w:hAnsi="华文楷体" w:hint="eastAsia"/>
          <w:sz w:val="24"/>
        </w:rPr>
        <w:t>必要</w:t>
      </w:r>
      <w:bookmarkEnd w:id="31"/>
    </w:p>
    <w:p w14:paraId="04D08AB4"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诉讼成本的高昂与诉讼费用转移机制的不完善共同构成了公众通过诉讼进行权利救济的障碍，公众对于诉讼成本分担与费用转移的需求便由此而生，而这种迫切需求为第三方诉讼融资制度提供了生长土壤。</w:t>
      </w:r>
    </w:p>
    <w:p w14:paraId="4F65DE14" w14:textId="77777777" w:rsidR="00844F3D" w:rsidRDefault="00000000">
      <w:pPr>
        <w:ind w:firstLineChars="200" w:firstLine="420"/>
        <w:outlineLvl w:val="2"/>
        <w:rPr>
          <w:rFonts w:ascii="宋体" w:eastAsia="宋体" w:hAnsi="宋体" w:cs="Times New Roman" w:hint="eastAsia"/>
          <w:szCs w:val="21"/>
        </w:rPr>
      </w:pPr>
      <w:bookmarkStart w:id="32" w:name="_Toc6667"/>
      <w:bookmarkStart w:id="33" w:name="_Toc3189"/>
      <w:bookmarkStart w:id="34" w:name="_Toc28038"/>
      <w:bookmarkStart w:id="35" w:name="_Toc5253"/>
      <w:bookmarkStart w:id="36" w:name="_Toc20543"/>
      <w:bookmarkStart w:id="37" w:name="_Toc5713"/>
      <w:r>
        <w:rPr>
          <w:rFonts w:ascii="Times New Roman" w:eastAsia="宋体" w:hAnsi="Times New Roman" w:cs="Times New Roman" w:hint="eastAsia"/>
          <w:szCs w:val="21"/>
        </w:rPr>
        <w:lastRenderedPageBreak/>
        <w:t>1</w:t>
      </w:r>
      <w:r>
        <w:rPr>
          <w:rFonts w:ascii="宋体" w:eastAsia="宋体" w:hAnsi="宋体" w:cs="Times New Roman" w:hint="eastAsia"/>
          <w:szCs w:val="21"/>
        </w:rPr>
        <w:t>.</w:t>
      </w:r>
      <w:bookmarkEnd w:id="32"/>
      <w:bookmarkEnd w:id="33"/>
      <w:bookmarkEnd w:id="34"/>
      <w:r>
        <w:rPr>
          <w:rFonts w:ascii="宋体" w:eastAsia="宋体" w:hAnsi="宋体" w:cs="Times New Roman" w:hint="eastAsia"/>
          <w:szCs w:val="21"/>
        </w:rPr>
        <w:t>分担诉讼成本的需要</w:t>
      </w:r>
      <w:bookmarkEnd w:id="35"/>
      <w:bookmarkEnd w:id="36"/>
      <w:bookmarkEnd w:id="37"/>
    </w:p>
    <w:p w14:paraId="12057212"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在中国，诉讼成本主要由两大部分构成：一是向法院缴纳的诉讼费用，二是聘请律师所支付的律师费用。</w:t>
      </w:r>
    </w:p>
    <w:p w14:paraId="75F5D6FB"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向法院缴纳的费用涵盖了案件受理费、申请费以及诉讼过程中可能产生的多种费用，如证人、鉴定人、翻译人员、理算人员等在法院指定日期出庭时的交通费、住宿费、生活费和误工补贴。</w:t>
      </w:r>
      <w:r>
        <w:rPr>
          <w:rStyle w:val="af0"/>
          <w:sz w:val="21"/>
          <w:szCs w:val="21"/>
        </w:rPr>
        <w:footnoteReference w:id="15"/>
      </w:r>
      <w:r>
        <w:rPr>
          <w:rFonts w:ascii="宋体" w:eastAsia="宋体" w:hAnsi="宋体" w:cs="Times New Roman" w:hint="eastAsia"/>
          <w:szCs w:val="21"/>
        </w:rPr>
        <w:t>此外，还包括因己方主张而发生的鉴定费、公告费、勘验费、翻译费、评估费、拍卖费、变卖费、仓储费、保管费、运输费以及船舶监管费等。</w:t>
      </w:r>
      <w:r>
        <w:rPr>
          <w:rStyle w:val="af0"/>
          <w:sz w:val="21"/>
          <w:szCs w:val="21"/>
        </w:rPr>
        <w:footnoteReference w:id="16"/>
      </w:r>
      <w:r>
        <w:rPr>
          <w:rFonts w:ascii="宋体" w:eastAsia="宋体" w:hAnsi="宋体" w:cs="Times New Roman" w:hint="eastAsia"/>
          <w:szCs w:val="21"/>
        </w:rPr>
        <w:t>这些费用中，仅案件受理费一项就是一笔不小的开支，以财产案件为例，受理费的计算方式直接与原告提出的诉讼请求金额挂钩。根据法律规定，法院在起诉阶段会根据原告诉讼请求的总金额，按照既定的百分比预收案件受理费，这意味着原告主张的金额越大，需要预先缴纳的案件受理费就越高。除此之外，诉讼过程中可能还会涉及其他与诉讼金额挂钩的费用，如财产保全申请费、执行申请费、上诉费等，这些费用的计算同样基于原告提出的诉讼请求金额，与案件受理费类似，均与诉讼请求金额呈现正比关系。</w:t>
      </w:r>
      <w:r>
        <w:rPr>
          <w:rStyle w:val="af0"/>
          <w:sz w:val="21"/>
          <w:szCs w:val="21"/>
        </w:rPr>
        <w:footnoteReference w:id="17"/>
      </w:r>
      <w:r>
        <w:rPr>
          <w:rFonts w:ascii="宋体" w:eastAsia="宋体" w:hAnsi="宋体" w:cs="Times New Roman" w:hint="eastAsia"/>
          <w:szCs w:val="21"/>
        </w:rPr>
        <w:t>总而言之，原告在诉讼中提出的诉讼请求金额越高，相应的诉讼成本也就越高。这对于原告来说，不仅是一种经济上的压力，也可能成为阻碍其维权的障碍。与此同时，律师费也不容忽视。律师费的高低与案件的复杂度及律师的专业水平呈正相关，因此在案件涉及复杂法律问题或风险较高时，律师费用往往会是一笔不小的开支。对于经济实力一般或较差的当事人而言，高额的律师费无疑是难以承受的。</w:t>
      </w:r>
      <w:r>
        <w:rPr>
          <w:rStyle w:val="af0"/>
          <w:sz w:val="21"/>
          <w:szCs w:val="21"/>
        </w:rPr>
        <w:footnoteReference w:id="18"/>
      </w:r>
    </w:p>
    <w:p w14:paraId="73454F18"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经济门槛增加了公众获取司法救济的难度——难以负担的诉讼成本导致一些有合理诉求的当事人放弃通过诉讼方式维护其合法权益。为诉讼当事人提供诉讼资金的第三方诉讼融资制度切合了当下对于分担诉讼成本的需要，通过减轻经济负担的方式帮助公众接近正义。</w:t>
      </w:r>
    </w:p>
    <w:p w14:paraId="44F84BEC" w14:textId="77777777" w:rsidR="00844F3D" w:rsidRDefault="00000000">
      <w:pPr>
        <w:ind w:firstLineChars="200" w:firstLine="420"/>
        <w:outlineLvl w:val="2"/>
        <w:rPr>
          <w:rFonts w:ascii="宋体" w:eastAsia="宋体" w:hAnsi="宋体" w:cs="Times New Roman" w:hint="eastAsia"/>
          <w:szCs w:val="21"/>
        </w:rPr>
      </w:pPr>
      <w:bookmarkStart w:id="38" w:name="_Toc21041"/>
      <w:bookmarkStart w:id="39" w:name="_Toc29068"/>
      <w:bookmarkStart w:id="40" w:name="_Toc19494"/>
      <w:bookmarkStart w:id="41" w:name="_Toc2722"/>
      <w:bookmarkStart w:id="42" w:name="_Toc2372"/>
      <w:bookmarkStart w:id="43" w:name="_Toc1781"/>
      <w:r>
        <w:rPr>
          <w:rFonts w:ascii="Times New Roman" w:eastAsia="宋体" w:hAnsi="Times New Roman" w:cs="Times New Roman" w:hint="eastAsia"/>
          <w:szCs w:val="21"/>
        </w:rPr>
        <w:t>2</w:t>
      </w:r>
      <w:r>
        <w:rPr>
          <w:rFonts w:ascii="宋体" w:eastAsia="宋体" w:hAnsi="宋体" w:cs="Times New Roman" w:hint="eastAsia"/>
          <w:szCs w:val="21"/>
        </w:rPr>
        <w:t>.克服诉讼费用转移机制不完善</w:t>
      </w:r>
      <w:bookmarkEnd w:id="38"/>
      <w:bookmarkEnd w:id="39"/>
      <w:bookmarkEnd w:id="40"/>
      <w:r>
        <w:rPr>
          <w:rFonts w:ascii="宋体" w:eastAsia="宋体" w:hAnsi="宋体" w:cs="Times New Roman" w:hint="eastAsia"/>
          <w:szCs w:val="21"/>
        </w:rPr>
        <w:t>的需要</w:t>
      </w:r>
      <w:bookmarkEnd w:id="41"/>
      <w:bookmarkEnd w:id="42"/>
      <w:bookmarkEnd w:id="43"/>
    </w:p>
    <w:p w14:paraId="04856E7C"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中国目前正处于积极探索和完善诉讼费用转移机制的阶段，为公众提供更加有效的诉讼成本减轻与转移方案是当前工作的重点。在公权层面，政府通过诉讼费用的“减免缓”政策与法律援助减轻当事人的经济负担；在私权层面，律师风险代理制度也作为诉讼费用转移的一种方式发挥着一定的作用。然而这些诉讼费用转移机制并不能完全满足公众需求。</w:t>
      </w:r>
    </w:p>
    <w:p w14:paraId="0DEC450B"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中国现行的诉讼费用的“减免缓”政策在设计上存在一定的局限性。该政策只针对满足特定条件的自然人，导致绝大部分公众，尤其是对诉讼费用转移有需求较大的商事主体难以享受到这一政策的优惠；与之相似的是，法律援助的适用范围也有着同样的局限，只有少数符合条件的当事人才能够享受这种无偿法律服务。</w:t>
      </w:r>
      <w:r>
        <w:rPr>
          <w:rStyle w:val="af0"/>
          <w:sz w:val="21"/>
          <w:szCs w:val="21"/>
        </w:rPr>
        <w:footnoteReference w:id="19"/>
      </w:r>
      <w:r>
        <w:rPr>
          <w:rFonts w:ascii="宋体" w:eastAsia="宋体" w:hAnsi="宋体" w:cs="Times New Roman" w:hint="eastAsia"/>
          <w:szCs w:val="21"/>
        </w:rPr>
        <w:t>这种选择性的援助方式，虽然在一定程度上减轻了部分当事人的经济负担，但并未从根本上满足公众对诉讼费用分担的需求。至于律师风险代理制度，虽然提供了一种诉讼费用转移的可能性，但在实践中也面临着诸多限制。一方面，律师风险代理的胜诉取酬金额被限制在法定的比例范围内；另一方面，对于受理案件的类型也存在限制，不是所有类型的案件都能够通过风险代理的方式进行。</w:t>
      </w:r>
      <w:r>
        <w:rPr>
          <w:rStyle w:val="af0"/>
          <w:sz w:val="21"/>
          <w:szCs w:val="21"/>
        </w:rPr>
        <w:footnoteReference w:id="20"/>
      </w:r>
      <w:r>
        <w:rPr>
          <w:rFonts w:ascii="宋体" w:eastAsia="宋体" w:hAnsi="宋体" w:cs="Times New Roman" w:hint="eastAsia"/>
          <w:szCs w:val="21"/>
        </w:rPr>
        <w:t>更为关键的是，在中国愿意为当事人垫付诉讼费用的律师更是凤毛麟角，这使得律师风险代理制度在实</w:t>
      </w:r>
      <w:r>
        <w:rPr>
          <w:rFonts w:ascii="宋体" w:eastAsia="宋体" w:hAnsi="宋体" w:cs="Times New Roman" w:hint="eastAsia"/>
          <w:szCs w:val="21"/>
        </w:rPr>
        <w:lastRenderedPageBreak/>
        <w:t>际操作中难以发挥预期的作用。</w:t>
      </w:r>
    </w:p>
    <w:p w14:paraId="3C21811A"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因此，对于绝大多数诉讼当事人来说，现有的诉讼费用转移机制并不完善，甚至可以说是缺失的。当诉讼成本成为一项沉重的负担，而诉讼费用转移机制又无法提供有效的支持时，公众可能会因为经济困难而放弃通过诉讼途径寻求正义的机会。如何平衡诉讼费用与实现正义之间的关系，是司法改革面临的一个重要课题，而第三方诉讼融资制度正能为这一课题提供一种可能的解决方案，使高昂的诉讼费用不再成为公众实现正义的障碍。</w:t>
      </w:r>
    </w:p>
    <w:p w14:paraId="6C628E92" w14:textId="77777777" w:rsidR="00844F3D" w:rsidRDefault="00000000">
      <w:pPr>
        <w:ind w:firstLineChars="200" w:firstLine="480"/>
        <w:outlineLvl w:val="1"/>
        <w:rPr>
          <w:rFonts w:ascii="华文楷体" w:eastAsia="华文楷体" w:hAnsi="华文楷体" w:hint="eastAsia"/>
          <w:sz w:val="24"/>
        </w:rPr>
      </w:pPr>
      <w:bookmarkStart w:id="44" w:name="_Toc15513"/>
      <w:bookmarkStart w:id="45" w:name="_Toc26134"/>
      <w:bookmarkStart w:id="46" w:name="_Toc18409"/>
      <w:bookmarkStart w:id="47" w:name="_Toc10069"/>
      <w:bookmarkStart w:id="48" w:name="_Toc27278"/>
      <w:bookmarkStart w:id="49" w:name="_Toc28090"/>
      <w:r>
        <w:rPr>
          <w:rFonts w:ascii="华文楷体" w:eastAsia="华文楷体" w:hAnsi="华文楷体" w:hint="eastAsia"/>
          <w:sz w:val="24"/>
        </w:rPr>
        <w:t>（三）第三方诉讼融资制度在中国切实可行</w:t>
      </w:r>
      <w:bookmarkEnd w:id="44"/>
      <w:bookmarkEnd w:id="45"/>
      <w:bookmarkEnd w:id="46"/>
      <w:bookmarkEnd w:id="47"/>
      <w:bookmarkEnd w:id="48"/>
      <w:bookmarkEnd w:id="49"/>
    </w:p>
    <w:p w14:paraId="1C0465DC" w14:textId="77777777" w:rsidR="00844F3D" w:rsidRDefault="00000000">
      <w:pPr>
        <w:ind w:firstLineChars="200" w:firstLine="420"/>
        <w:outlineLvl w:val="2"/>
        <w:rPr>
          <w:rFonts w:ascii="宋体" w:eastAsia="宋体" w:hAnsi="宋体" w:cs="Times New Roman" w:hint="eastAsia"/>
          <w:szCs w:val="21"/>
        </w:rPr>
      </w:pPr>
      <w:bookmarkStart w:id="50" w:name="_Toc14128"/>
      <w:bookmarkStart w:id="51" w:name="_Toc22582"/>
      <w:bookmarkStart w:id="52" w:name="_Toc19126"/>
      <w:bookmarkStart w:id="53" w:name="_Toc24319"/>
      <w:bookmarkStart w:id="54" w:name="_Toc31996"/>
      <w:bookmarkStart w:id="55" w:name="_Toc6650"/>
      <w:r>
        <w:rPr>
          <w:rFonts w:ascii="Times New Roman" w:eastAsia="宋体" w:hAnsi="Times New Roman" w:cs="Times New Roman" w:hint="eastAsia"/>
          <w:szCs w:val="21"/>
        </w:rPr>
        <w:t>1</w:t>
      </w:r>
      <w:r>
        <w:rPr>
          <w:rFonts w:ascii="宋体" w:eastAsia="宋体" w:hAnsi="宋体" w:cs="Times New Roman" w:hint="eastAsia"/>
          <w:szCs w:val="21"/>
        </w:rPr>
        <w:t>.</w:t>
      </w:r>
      <w:bookmarkEnd w:id="50"/>
      <w:bookmarkEnd w:id="51"/>
      <w:r>
        <w:rPr>
          <w:rFonts w:ascii="宋体" w:eastAsia="宋体" w:hAnsi="宋体" w:cs="Times New Roman" w:hint="eastAsia"/>
          <w:szCs w:val="21"/>
        </w:rPr>
        <w:t>已具备一定的实践基础</w:t>
      </w:r>
      <w:bookmarkEnd w:id="52"/>
      <w:bookmarkEnd w:id="53"/>
      <w:bookmarkEnd w:id="54"/>
      <w:bookmarkEnd w:id="55"/>
    </w:p>
    <w:p w14:paraId="6FC47545"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第三方诉讼融资早在</w:t>
      </w:r>
      <w:r>
        <w:rPr>
          <w:rFonts w:ascii="Times New Roman" w:eastAsia="宋体" w:hAnsi="Times New Roman" w:cs="Times New Roman" w:hint="eastAsia"/>
          <w:szCs w:val="21"/>
        </w:rPr>
        <w:t>2016</w:t>
      </w:r>
      <w:r>
        <w:rPr>
          <w:rFonts w:ascii="宋体" w:eastAsia="宋体" w:hAnsi="宋体" w:cs="Times New Roman" w:hint="eastAsia"/>
          <w:szCs w:val="21"/>
        </w:rPr>
        <w:t>年就已经在中国开始了尝试，首个专注于第三方诉讼融资服务的平台——为安法律金融平台便在这一年成立。在随后的近十年发展中，第三方诉讼融资服务企业如雨后春笋般涌现，它们在探索市场和扩大服务范围的同时，也并无对公序良俗不利的越轨之举。</w:t>
      </w:r>
    </w:p>
    <w:p w14:paraId="5ED3DBCA"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此外，中国证券领域的法律实践已经正式引入集体诉讼机制——特别代表人诉讼制度，这为第三方诉讼融资在中国的实践发展提供了新的机遇。特别代表人诉讼制度的核心在于保障广大群体投资者的共同权益。鉴于此类案件涉及众多当事人和巨额赔偿金额，对于当事人而言难以独立承担其高昂的诉讼成本；与之相对应的是极为可观的潜在收益，因而投资者对此类案件情有独钟。在特别代表人诉讼制度的框架下，融资企业可以为代表人诉讼提供必要的资金支持，并通过第三方诉讼融资模式获得丰厚的潜在收益；与此同时，在第三方诉讼融资的介入之下，诉讼当事人能够在获得资助的同时接受到专业法律服务使诉讼顺利进行，从而实现诉讼当事人与投资者的双赢。特别代表人诉讼制度的确立为第三方诉讼融资市场的发展提供了广阔的空间，这并非仅仅是理论上的推断，而是国际上广泛的实践和案例已经证实的结论——许多从事第三方诉讼融资业务的企业将业务集中于集体诉讼领域。</w:t>
      </w:r>
      <w:r>
        <w:rPr>
          <w:rStyle w:val="af0"/>
          <w:sz w:val="21"/>
          <w:szCs w:val="21"/>
        </w:rPr>
        <w:footnoteReference w:id="21"/>
      </w:r>
      <w:r>
        <w:rPr>
          <w:rFonts w:ascii="宋体" w:eastAsia="宋体" w:hAnsi="宋体" w:cs="Times New Roman" w:hint="eastAsia"/>
          <w:szCs w:val="21"/>
        </w:rPr>
        <w:t>这些案例的成功均证明了集体诉讼对第三方诉讼融资的市场发展至关重要。</w:t>
      </w:r>
    </w:p>
    <w:p w14:paraId="00A3BAD0" w14:textId="77777777" w:rsidR="00844F3D" w:rsidRDefault="00000000">
      <w:pPr>
        <w:ind w:firstLineChars="200" w:firstLine="420"/>
        <w:outlineLvl w:val="2"/>
        <w:rPr>
          <w:rFonts w:ascii="宋体" w:eastAsia="宋体" w:hAnsi="宋体" w:cs="Times New Roman" w:hint="eastAsia"/>
          <w:szCs w:val="21"/>
        </w:rPr>
      </w:pPr>
      <w:bookmarkStart w:id="56" w:name="_Toc10578"/>
      <w:bookmarkStart w:id="57" w:name="_Toc32021"/>
      <w:bookmarkStart w:id="58" w:name="_Toc209"/>
      <w:bookmarkStart w:id="59" w:name="_Toc12106"/>
      <w:bookmarkStart w:id="60" w:name="_Toc6486"/>
      <w:bookmarkStart w:id="61" w:name="_Toc12225"/>
      <w:r>
        <w:rPr>
          <w:rFonts w:ascii="Times New Roman" w:eastAsia="宋体" w:hAnsi="Times New Roman" w:cs="Times New Roman" w:hint="eastAsia"/>
          <w:szCs w:val="21"/>
        </w:rPr>
        <w:t>2</w:t>
      </w:r>
      <w:r>
        <w:rPr>
          <w:rFonts w:ascii="宋体" w:eastAsia="宋体" w:hAnsi="宋体" w:cs="Times New Roman" w:hint="eastAsia"/>
          <w:szCs w:val="21"/>
        </w:rPr>
        <w:t>.</w:t>
      </w:r>
      <w:bookmarkEnd w:id="56"/>
      <w:bookmarkEnd w:id="57"/>
      <w:r>
        <w:rPr>
          <w:rFonts w:ascii="宋体" w:eastAsia="宋体" w:hAnsi="宋体" w:cs="Times New Roman" w:hint="eastAsia"/>
          <w:szCs w:val="21"/>
        </w:rPr>
        <w:t>第三方诉讼融资协议不违背法律规定</w:t>
      </w:r>
      <w:bookmarkEnd w:id="58"/>
      <w:bookmarkEnd w:id="59"/>
      <w:bookmarkEnd w:id="60"/>
      <w:bookmarkEnd w:id="61"/>
    </w:p>
    <w:p w14:paraId="24427CA7"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在第三方诉讼融资的实践中，融资协议构成了诉讼当事人与投资者之间的基本法律关系框架，通过融资协议的履行开展第三方诉讼融资的实践。协议明确了第三方投资者的角色，即作为与诉讼案件本身无直接利害关系的第三方为其提供必要的资金支持，这些资金涵盖诉讼过程中可能产生的各种费用，包括但不限于一审、二审以及必要时的强制执行阶段。协议约定投资者承担一定诉讼费用，并约定在案件胜诉后，按一定比例从对方当事人所支付的款项中获取报酬。如果案件结果不利于诉讼当事人，或者未能从对方当事人处获得任何款项，那么投资者先前支付的所有费用将无法得到补偿，由其自行承担损失。与此同时，为了降低投资风险，协议中往往还会额外拟定关于诉讼过程的监管条款。这些条款赋予投资者一定程度的知情权和监督权，使他们能够跟踪诉讼进展，并在必要时提出建议或要求调整诉讼策略。诉讼当事人与投资者双方在融资关系中的具体权利义务如下表所示：</w:t>
      </w:r>
    </w:p>
    <w:tbl>
      <w:tblPr>
        <w:tblStyle w:val="ac"/>
        <w:tblW w:w="5000" w:type="pct"/>
        <w:tblLook w:val="04A0" w:firstRow="1" w:lastRow="0" w:firstColumn="1" w:lastColumn="0" w:noHBand="0" w:noVBand="1"/>
      </w:tblPr>
      <w:tblGrid>
        <w:gridCol w:w="832"/>
        <w:gridCol w:w="3732"/>
        <w:gridCol w:w="3732"/>
      </w:tblGrid>
      <w:tr w:rsidR="00844F3D" w14:paraId="2EE88246" w14:textId="77777777">
        <w:trPr>
          <w:trHeight w:val="570"/>
        </w:trPr>
        <w:tc>
          <w:tcPr>
            <w:tcW w:w="502" w:type="pct"/>
            <w:tcBorders>
              <w:top w:val="single" w:sz="4" w:space="0" w:color="auto"/>
              <w:left w:val="single" w:sz="4" w:space="0" w:color="auto"/>
              <w:bottom w:val="single" w:sz="4" w:space="0" w:color="auto"/>
              <w:right w:val="single" w:sz="4" w:space="0" w:color="auto"/>
            </w:tcBorders>
            <w:vAlign w:val="center"/>
          </w:tcPr>
          <w:p w14:paraId="25B4EA43" w14:textId="77777777" w:rsidR="00844F3D" w:rsidRDefault="00844F3D">
            <w:pPr>
              <w:rPr>
                <w:rFonts w:ascii="Calibri" w:eastAsia="宋体" w:hAnsi="Calibri" w:cs="Times New Roman"/>
                <w:b/>
                <w:bCs/>
                <w:szCs w:val="21"/>
              </w:rPr>
            </w:pPr>
          </w:p>
        </w:tc>
        <w:tc>
          <w:tcPr>
            <w:tcW w:w="2248" w:type="pct"/>
            <w:tcBorders>
              <w:top w:val="single" w:sz="4" w:space="0" w:color="auto"/>
              <w:left w:val="single" w:sz="4" w:space="0" w:color="auto"/>
              <w:bottom w:val="single" w:sz="4" w:space="0" w:color="auto"/>
              <w:right w:val="single" w:sz="4" w:space="0" w:color="auto"/>
            </w:tcBorders>
            <w:vAlign w:val="center"/>
          </w:tcPr>
          <w:p w14:paraId="288BD848" w14:textId="77777777" w:rsidR="00844F3D" w:rsidRDefault="00000000">
            <w:pPr>
              <w:jc w:val="center"/>
              <w:rPr>
                <w:rFonts w:ascii="Calibri" w:eastAsia="宋体" w:hAnsi="Calibri" w:cs="Times New Roman"/>
                <w:b/>
                <w:bCs/>
                <w:szCs w:val="21"/>
              </w:rPr>
            </w:pPr>
            <w:r>
              <w:rPr>
                <w:rFonts w:ascii="宋体" w:eastAsia="宋体" w:hAnsi="宋体" w:cs="宋体" w:hint="eastAsia"/>
                <w:b/>
                <w:bCs/>
                <w:szCs w:val="21"/>
              </w:rPr>
              <w:t>权利</w:t>
            </w:r>
          </w:p>
        </w:tc>
        <w:tc>
          <w:tcPr>
            <w:tcW w:w="2248" w:type="pct"/>
            <w:tcBorders>
              <w:top w:val="single" w:sz="4" w:space="0" w:color="auto"/>
              <w:left w:val="single" w:sz="4" w:space="0" w:color="auto"/>
              <w:bottom w:val="single" w:sz="4" w:space="0" w:color="auto"/>
              <w:right w:val="single" w:sz="4" w:space="0" w:color="auto"/>
            </w:tcBorders>
            <w:vAlign w:val="center"/>
          </w:tcPr>
          <w:p w14:paraId="17F50C60" w14:textId="77777777" w:rsidR="00844F3D" w:rsidRDefault="00000000">
            <w:pPr>
              <w:jc w:val="center"/>
              <w:rPr>
                <w:rFonts w:ascii="Calibri" w:eastAsia="宋体" w:hAnsi="Calibri" w:cs="Times New Roman"/>
                <w:b/>
                <w:bCs/>
                <w:szCs w:val="21"/>
              </w:rPr>
            </w:pPr>
            <w:r>
              <w:rPr>
                <w:rFonts w:ascii="宋体" w:eastAsia="宋体" w:hAnsi="宋体" w:cs="宋体" w:hint="eastAsia"/>
                <w:b/>
                <w:bCs/>
                <w:szCs w:val="21"/>
              </w:rPr>
              <w:t>义务</w:t>
            </w:r>
          </w:p>
        </w:tc>
      </w:tr>
      <w:tr w:rsidR="00844F3D" w14:paraId="5574870C" w14:textId="77777777">
        <w:trPr>
          <w:trHeight w:val="90"/>
        </w:trPr>
        <w:tc>
          <w:tcPr>
            <w:tcW w:w="502" w:type="pct"/>
            <w:tcBorders>
              <w:top w:val="single" w:sz="4" w:space="0" w:color="auto"/>
              <w:left w:val="single" w:sz="4" w:space="0" w:color="auto"/>
              <w:bottom w:val="single" w:sz="4" w:space="0" w:color="auto"/>
              <w:right w:val="single" w:sz="4" w:space="0" w:color="auto"/>
            </w:tcBorders>
            <w:vAlign w:val="center"/>
          </w:tcPr>
          <w:p w14:paraId="28DA8CE3" w14:textId="77777777" w:rsidR="00844F3D" w:rsidRDefault="00000000">
            <w:pPr>
              <w:jc w:val="center"/>
              <w:rPr>
                <w:rFonts w:ascii="Calibri" w:eastAsia="宋体" w:hAnsi="Calibri" w:cs="Times New Roman"/>
                <w:b/>
                <w:bCs/>
                <w:szCs w:val="21"/>
              </w:rPr>
            </w:pPr>
            <w:r>
              <w:rPr>
                <w:rFonts w:ascii="Calibri" w:eastAsia="宋体" w:hAnsi="Calibri" w:cs="Times New Roman" w:hint="eastAsia"/>
                <w:b/>
                <w:bCs/>
                <w:szCs w:val="21"/>
              </w:rPr>
              <w:t>诉讼</w:t>
            </w:r>
          </w:p>
          <w:p w14:paraId="635BAD4D" w14:textId="77777777" w:rsidR="00844F3D" w:rsidRDefault="00000000">
            <w:pPr>
              <w:jc w:val="center"/>
              <w:rPr>
                <w:rFonts w:ascii="Calibri" w:eastAsia="宋体" w:hAnsi="Calibri" w:cs="Times New Roman"/>
                <w:szCs w:val="21"/>
              </w:rPr>
            </w:pPr>
            <w:r>
              <w:rPr>
                <w:rFonts w:ascii="Calibri" w:eastAsia="宋体" w:hAnsi="Calibri" w:cs="Times New Roman" w:hint="eastAsia"/>
                <w:b/>
                <w:bCs/>
                <w:szCs w:val="21"/>
              </w:rPr>
              <w:t>当事人</w:t>
            </w:r>
          </w:p>
        </w:tc>
        <w:tc>
          <w:tcPr>
            <w:tcW w:w="2248" w:type="pct"/>
            <w:tcBorders>
              <w:top w:val="single" w:sz="4" w:space="0" w:color="auto"/>
              <w:left w:val="single" w:sz="4" w:space="0" w:color="auto"/>
              <w:bottom w:val="single" w:sz="4" w:space="0" w:color="auto"/>
              <w:right w:val="single" w:sz="4" w:space="0" w:color="auto"/>
            </w:tcBorders>
            <w:vAlign w:val="center"/>
          </w:tcPr>
          <w:p w14:paraId="4F145A72" w14:textId="77777777" w:rsidR="00844F3D" w:rsidRDefault="00000000">
            <w:pPr>
              <w:jc w:val="left"/>
              <w:rPr>
                <w:rFonts w:ascii="Calibri" w:eastAsia="宋体" w:hAnsi="Calibri" w:cs="Times New Roman"/>
                <w:szCs w:val="21"/>
              </w:rPr>
            </w:pPr>
            <w:r>
              <w:rPr>
                <w:rFonts w:ascii="Times New Roman" w:eastAsia="宋体" w:hAnsi="Times New Roman" w:cs="Times New Roman"/>
                <w:szCs w:val="21"/>
              </w:rPr>
              <w:t>1</w:t>
            </w:r>
            <w:r>
              <w:rPr>
                <w:rFonts w:ascii="Calibri" w:eastAsia="宋体" w:hAnsi="Calibri" w:cs="Calibri"/>
                <w:szCs w:val="21"/>
              </w:rPr>
              <w:t>.</w:t>
            </w:r>
            <w:r>
              <w:rPr>
                <w:rFonts w:ascii="宋体" w:eastAsia="宋体" w:hAnsi="宋体" w:cs="宋体" w:hint="eastAsia"/>
                <w:szCs w:val="21"/>
              </w:rPr>
              <w:t>败诉或最终无法收到相对方支付款项，无需向投资者支付任何费用；</w:t>
            </w:r>
          </w:p>
          <w:p w14:paraId="5ADEA61F" w14:textId="77777777" w:rsidR="00844F3D" w:rsidRDefault="00000000">
            <w:pPr>
              <w:jc w:val="left"/>
              <w:rPr>
                <w:rFonts w:ascii="Calibri" w:eastAsia="宋体" w:hAnsi="Calibri" w:cs="Times New Roman"/>
                <w:szCs w:val="21"/>
              </w:rPr>
            </w:pPr>
            <w:r>
              <w:rPr>
                <w:rFonts w:ascii="Times New Roman" w:eastAsia="宋体" w:hAnsi="Times New Roman" w:cs="Times New Roman"/>
                <w:szCs w:val="21"/>
              </w:rPr>
              <w:t>2</w:t>
            </w:r>
            <w:r>
              <w:rPr>
                <w:rFonts w:ascii="Calibri" w:eastAsia="宋体" w:hAnsi="Calibri" w:cs="Calibri"/>
                <w:szCs w:val="21"/>
              </w:rPr>
              <w:t>.</w:t>
            </w:r>
            <w:r>
              <w:rPr>
                <w:rFonts w:ascii="宋体" w:eastAsia="宋体" w:hAnsi="宋体" w:cs="宋体" w:hint="eastAsia"/>
                <w:szCs w:val="21"/>
              </w:rPr>
              <w:t>诉讼决定权。</w:t>
            </w:r>
          </w:p>
        </w:tc>
        <w:tc>
          <w:tcPr>
            <w:tcW w:w="2248" w:type="pct"/>
            <w:tcBorders>
              <w:top w:val="single" w:sz="4" w:space="0" w:color="auto"/>
              <w:left w:val="single" w:sz="4" w:space="0" w:color="auto"/>
              <w:bottom w:val="single" w:sz="4" w:space="0" w:color="auto"/>
              <w:right w:val="single" w:sz="4" w:space="0" w:color="auto"/>
            </w:tcBorders>
            <w:vAlign w:val="center"/>
          </w:tcPr>
          <w:p w14:paraId="2A97E3E1" w14:textId="77777777" w:rsidR="00844F3D" w:rsidRDefault="00000000">
            <w:pPr>
              <w:widowControl/>
              <w:jc w:val="left"/>
              <w:rPr>
                <w:rFonts w:ascii="宋体" w:eastAsia="宋体" w:hAnsi="宋体" w:cs="宋体" w:hint="eastAsia"/>
                <w:color w:val="000000"/>
                <w:kern w:val="0"/>
                <w:szCs w:val="21"/>
              </w:rPr>
            </w:pPr>
            <w:r>
              <w:rPr>
                <w:rFonts w:ascii="Times New Roman" w:eastAsia="宋体" w:hAnsi="Times New Roman" w:cs="Times New Roman"/>
                <w:color w:val="000000"/>
                <w:kern w:val="0"/>
                <w:szCs w:val="21"/>
              </w:rPr>
              <w:t>1</w:t>
            </w:r>
            <w:r>
              <w:rPr>
                <w:rFonts w:ascii="宋体" w:eastAsia="宋体" w:hAnsi="宋体" w:cs="宋体" w:hint="eastAsia"/>
                <w:color w:val="000000"/>
                <w:kern w:val="0"/>
                <w:szCs w:val="21"/>
              </w:rPr>
              <w:t>.及时提供全部案卷材料，并保证案件材料与陈述的真实性、合法性、全面性；</w:t>
            </w:r>
          </w:p>
          <w:p w14:paraId="200E08CE" w14:textId="77777777" w:rsidR="00844F3D" w:rsidRDefault="00000000">
            <w:pPr>
              <w:widowControl/>
              <w:jc w:val="left"/>
              <w:rPr>
                <w:rFonts w:ascii="Calibri" w:eastAsia="宋体" w:hAnsi="Calibri" w:cs="Times New Roman"/>
                <w:szCs w:val="21"/>
              </w:rPr>
            </w:pPr>
            <w:r>
              <w:rPr>
                <w:rFonts w:ascii="Times New Roman" w:eastAsia="宋体" w:hAnsi="Times New Roman" w:cs="Times New Roman"/>
                <w:color w:val="000000"/>
                <w:kern w:val="0"/>
                <w:szCs w:val="21"/>
              </w:rPr>
              <w:lastRenderedPageBreak/>
              <w:t>2</w:t>
            </w:r>
            <w:r>
              <w:rPr>
                <w:rFonts w:ascii="宋体" w:eastAsia="宋体" w:hAnsi="宋体" w:cs="宋体" w:hint="eastAsia"/>
                <w:color w:val="000000"/>
                <w:kern w:val="0"/>
                <w:szCs w:val="21"/>
              </w:rPr>
              <w:t>.案件胜诉后，将实际收到标的案件相对方款项金额按照约定给付给投资者。</w:t>
            </w:r>
          </w:p>
        </w:tc>
      </w:tr>
      <w:tr w:rsidR="00844F3D" w14:paraId="207E4E69" w14:textId="77777777">
        <w:trPr>
          <w:trHeight w:val="1250"/>
        </w:trPr>
        <w:tc>
          <w:tcPr>
            <w:tcW w:w="502" w:type="pct"/>
            <w:tcBorders>
              <w:top w:val="single" w:sz="4" w:space="0" w:color="auto"/>
              <w:left w:val="single" w:sz="4" w:space="0" w:color="auto"/>
              <w:bottom w:val="single" w:sz="4" w:space="0" w:color="auto"/>
              <w:right w:val="single" w:sz="4" w:space="0" w:color="auto"/>
            </w:tcBorders>
            <w:vAlign w:val="center"/>
          </w:tcPr>
          <w:p w14:paraId="726DCABF" w14:textId="77777777" w:rsidR="00844F3D" w:rsidRDefault="00000000">
            <w:pPr>
              <w:jc w:val="center"/>
              <w:rPr>
                <w:rFonts w:ascii="Calibri" w:eastAsia="宋体" w:hAnsi="Calibri" w:cs="Times New Roman"/>
                <w:b/>
                <w:bCs/>
                <w:szCs w:val="21"/>
              </w:rPr>
            </w:pPr>
            <w:r>
              <w:rPr>
                <w:rFonts w:ascii="Calibri" w:eastAsia="宋体" w:hAnsi="Calibri" w:cs="Times New Roman" w:hint="eastAsia"/>
                <w:b/>
                <w:bCs/>
                <w:szCs w:val="21"/>
              </w:rPr>
              <w:lastRenderedPageBreak/>
              <w:t>投资者</w:t>
            </w:r>
          </w:p>
        </w:tc>
        <w:tc>
          <w:tcPr>
            <w:tcW w:w="2248" w:type="pct"/>
            <w:tcBorders>
              <w:top w:val="single" w:sz="4" w:space="0" w:color="auto"/>
              <w:left w:val="single" w:sz="4" w:space="0" w:color="auto"/>
              <w:bottom w:val="single" w:sz="4" w:space="0" w:color="auto"/>
              <w:right w:val="single" w:sz="4" w:space="0" w:color="auto"/>
            </w:tcBorders>
            <w:vAlign w:val="center"/>
          </w:tcPr>
          <w:p w14:paraId="7907F719" w14:textId="77777777" w:rsidR="00844F3D" w:rsidRDefault="00000000">
            <w:pPr>
              <w:widowControl/>
              <w:jc w:val="left"/>
              <w:rPr>
                <w:rFonts w:ascii="宋体" w:eastAsia="宋体" w:hAnsi="宋体" w:cs="宋体" w:hint="eastAsia"/>
                <w:color w:val="000000"/>
                <w:kern w:val="0"/>
                <w:szCs w:val="21"/>
              </w:rPr>
            </w:pPr>
            <w:r>
              <w:rPr>
                <w:rFonts w:ascii="Times New Roman" w:eastAsia="宋体" w:hAnsi="Times New Roman" w:cs="Times New Roman"/>
                <w:color w:val="000000"/>
                <w:kern w:val="0"/>
                <w:szCs w:val="21"/>
              </w:rPr>
              <w:t>1</w:t>
            </w:r>
            <w:r>
              <w:rPr>
                <w:rFonts w:ascii="宋体" w:eastAsia="宋体" w:hAnsi="宋体" w:cs="宋体" w:hint="eastAsia"/>
                <w:color w:val="000000"/>
                <w:kern w:val="0"/>
                <w:szCs w:val="21"/>
              </w:rPr>
              <w:t>.参与商讨案件的诉讼策略、诉讼节点；</w:t>
            </w:r>
          </w:p>
          <w:p w14:paraId="419F61B5" w14:textId="77777777" w:rsidR="00844F3D" w:rsidRDefault="00000000">
            <w:pPr>
              <w:widowControl/>
              <w:jc w:val="left"/>
              <w:rPr>
                <w:szCs w:val="21"/>
              </w:rPr>
            </w:pPr>
            <w:r>
              <w:rPr>
                <w:rFonts w:ascii="Times New Roman" w:eastAsia="宋体" w:hAnsi="Times New Roman" w:cs="Times New Roman"/>
                <w:color w:val="000000"/>
                <w:kern w:val="0"/>
                <w:szCs w:val="21"/>
              </w:rPr>
              <w:t>2</w:t>
            </w:r>
            <w:r>
              <w:rPr>
                <w:rFonts w:ascii="宋体" w:eastAsia="宋体" w:hAnsi="宋体" w:cs="宋体" w:hint="eastAsia"/>
                <w:color w:val="000000"/>
                <w:kern w:val="0"/>
                <w:szCs w:val="21"/>
              </w:rPr>
              <w:t>.胜诉时，获得标的案件相对方支付款项的部分。</w:t>
            </w:r>
          </w:p>
        </w:tc>
        <w:tc>
          <w:tcPr>
            <w:tcW w:w="2248" w:type="pct"/>
            <w:tcBorders>
              <w:top w:val="single" w:sz="4" w:space="0" w:color="auto"/>
              <w:left w:val="single" w:sz="4" w:space="0" w:color="auto"/>
              <w:bottom w:val="single" w:sz="4" w:space="0" w:color="auto"/>
              <w:right w:val="single" w:sz="4" w:space="0" w:color="auto"/>
            </w:tcBorders>
            <w:vAlign w:val="center"/>
          </w:tcPr>
          <w:p w14:paraId="1A743EB0" w14:textId="77777777" w:rsidR="00844F3D" w:rsidRDefault="00000000">
            <w:pPr>
              <w:jc w:val="left"/>
              <w:rPr>
                <w:rFonts w:ascii="宋体" w:eastAsia="宋体" w:hAnsi="宋体" w:cs="宋体" w:hint="eastAsia"/>
                <w:szCs w:val="21"/>
              </w:rPr>
            </w:pPr>
            <w:r>
              <w:rPr>
                <w:rFonts w:ascii="Times New Roman" w:eastAsia="宋体" w:hAnsi="Times New Roman" w:cs="Times New Roman"/>
                <w:szCs w:val="21"/>
              </w:rPr>
              <w:t>1</w:t>
            </w:r>
            <w:r>
              <w:rPr>
                <w:rFonts w:ascii="宋体" w:eastAsia="宋体" w:hAnsi="宋体" w:cs="宋体" w:hint="eastAsia"/>
                <w:szCs w:val="21"/>
              </w:rPr>
              <w:t>.及时支付诉讼费用；</w:t>
            </w:r>
          </w:p>
          <w:p w14:paraId="7895A8EC" w14:textId="77777777" w:rsidR="00844F3D" w:rsidRDefault="00000000">
            <w:pPr>
              <w:jc w:val="left"/>
              <w:rPr>
                <w:rFonts w:ascii="宋体" w:eastAsia="宋体" w:hAnsi="宋体" w:cs="宋体" w:hint="eastAsia"/>
                <w:szCs w:val="21"/>
              </w:rPr>
            </w:pPr>
            <w:r>
              <w:rPr>
                <w:rFonts w:ascii="Times New Roman" w:eastAsia="宋体" w:hAnsi="Times New Roman" w:cs="Times New Roman"/>
                <w:szCs w:val="21"/>
              </w:rPr>
              <w:t>2</w:t>
            </w:r>
            <w:r>
              <w:rPr>
                <w:rFonts w:ascii="宋体" w:eastAsia="宋体" w:hAnsi="宋体" w:cs="宋体" w:hint="eastAsia"/>
                <w:szCs w:val="21"/>
              </w:rPr>
              <w:t>.败诉时自担费用。</w:t>
            </w:r>
          </w:p>
        </w:tc>
      </w:tr>
    </w:tbl>
    <w:p w14:paraId="2892E28B" w14:textId="77777777" w:rsidR="00844F3D" w:rsidRDefault="00000000">
      <w:pPr>
        <w:ind w:firstLine="480"/>
        <w:jc w:val="center"/>
        <w:rPr>
          <w:rFonts w:ascii="宋体" w:eastAsia="宋体" w:hAnsi="宋体" w:cs="Times New Roman" w:hint="eastAsia"/>
          <w:szCs w:val="21"/>
        </w:rPr>
      </w:pPr>
      <w:r>
        <w:rPr>
          <w:rFonts w:ascii="宋体" w:eastAsia="宋体" w:hAnsi="宋体" w:cs="Times New Roman" w:hint="eastAsia"/>
          <w:szCs w:val="21"/>
        </w:rPr>
        <w:t>表</w:t>
      </w:r>
      <w:r>
        <w:rPr>
          <w:rFonts w:ascii="Times New Roman" w:eastAsia="宋体" w:hAnsi="Times New Roman" w:cs="Times New Roman" w:hint="eastAsia"/>
          <w:szCs w:val="21"/>
        </w:rPr>
        <w:t>1</w:t>
      </w:r>
      <w:r>
        <w:rPr>
          <w:rFonts w:ascii="宋体" w:eastAsia="宋体" w:hAnsi="宋体" w:cs="Times New Roman" w:hint="eastAsia"/>
          <w:szCs w:val="21"/>
        </w:rPr>
        <w:t xml:space="preserve"> 第三方诉讼融资双方当事人权利义务关系</w:t>
      </w:r>
    </w:p>
    <w:p w14:paraId="2609C484"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深入分析融资协议的内容不难发现其由实体条款和程序条款两部分组成。实体条款可以被简化为两个部分：费用资助条款和回报补偿条款。前者约定了投资者向被资助的诉讼当事人提供争议解决程序的费用的义务；后者则确定了投资者从被资助的诉讼当事人的胜诉裁判中分享一定比例金额的权利。前述条款的结合在协议的实际履行过程与最终结果的呈现展现出与债权让与合同的高度相似：费用资助条款中约定的由投资者垫付的诉讼费用可以被视为投资者为获取部分债权而支付的对价，与此同时回报补偿条款中约定的胜诉取酬则可以视为诉讼当事人转让的债权（即诉讼融资的标的案件所指向的债权）。尽管融资协议所拥有的金融属性使得其无法被直接归入债权让与合同之列，但其与债权让与合同的相似性足以使得债权让与的相关法律规定可以被适用于融资协议的法律判断。</w:t>
      </w:r>
      <w:r>
        <w:rPr>
          <w:rStyle w:val="af0"/>
          <w:sz w:val="21"/>
          <w:szCs w:val="21"/>
        </w:rPr>
        <w:footnoteReference w:id="22"/>
      </w:r>
      <w:r>
        <w:rPr>
          <w:rFonts w:ascii="宋体" w:eastAsia="宋体" w:hAnsi="宋体" w:cs="Times New Roman" w:hint="eastAsia"/>
          <w:szCs w:val="21"/>
        </w:rPr>
        <w:t>由《民法典》第</w:t>
      </w:r>
      <w:r>
        <w:rPr>
          <w:rFonts w:ascii="Times New Roman" w:eastAsia="宋体" w:hAnsi="Times New Roman" w:cs="Times New Roman" w:hint="eastAsia"/>
          <w:szCs w:val="21"/>
        </w:rPr>
        <w:t>545</w:t>
      </w:r>
      <w:r>
        <w:rPr>
          <w:rFonts w:ascii="宋体" w:eastAsia="宋体" w:hAnsi="宋体" w:cs="Times New Roman" w:hint="eastAsia"/>
          <w:szCs w:val="21"/>
        </w:rPr>
        <w:t>条可知，中国法律并不禁止除根据债权性质不得转让、按照当事人约定或者依照法律规定不得转让的债权以外的债权进行转让交易。这意味着，只要融资协议的标的案件所指向的债权不触及上述禁止债权转让的情形，协议中的实体部分就</w:t>
      </w:r>
      <w:bookmarkStart w:id="62" w:name="_Toc23189"/>
      <w:bookmarkStart w:id="63" w:name="_Toc28904"/>
      <w:r>
        <w:rPr>
          <w:rFonts w:ascii="宋体" w:eastAsia="宋体" w:hAnsi="宋体" w:cs="Times New Roman" w:hint="eastAsia"/>
          <w:szCs w:val="21"/>
        </w:rPr>
        <w:t>是被中国法律所允许的。</w:t>
      </w:r>
    </w:p>
    <w:p w14:paraId="5FC4C382"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融资协议的程序条款由程序控制条款构成，旨在赋予非诉讼当事人的投资者一定的诉讼控制权以保护其投资的安全性和盈利性，从而达到降低风险的目的。当诉讼当事人通过诉讼融资寻求资助以减轻自身诉讼费用和败诉风险时实际上是将相应的风险转移至投资者，在这种情况下，投资者希望获得一定程度的诉讼程序控制权以保护自己的投资不受不必要的风险影响，是合理的期望。值得注意的是，程序控制条款的内容一直是域外对于第三方诉讼融资制度的研究重点，该条款的具体内容关乎融资协议的效力问题。这一问题的争议焦点在于“诉讼权利是否是一种私主体间可让渡的权利”。根据民事诉讼处分原则可知，诉讼权利行使的目的在于确保实体权利的实现，换言之，诉讼权利事实上是实体权利在程序法上的延伸，依附于实体权利的存在而存在。尽管二者存在一定的非对称关系</w:t>
      </w:r>
      <w:r>
        <w:rPr>
          <w:rStyle w:val="af0"/>
          <w:sz w:val="21"/>
          <w:szCs w:val="21"/>
        </w:rPr>
        <w:footnoteReference w:id="23"/>
      </w:r>
      <w:r>
        <w:rPr>
          <w:rFonts w:ascii="宋体" w:eastAsia="宋体" w:hAnsi="宋体" w:cs="Times New Roman" w:hint="eastAsia"/>
          <w:szCs w:val="21"/>
        </w:rPr>
        <w:t>——即便实体权利存在，但其延伸出的诉讼权利若超过诉讼时效而未行使则归于消失。但总体来说：诉讼权利的产生以实体权利的存在为前提。因而诉讼权利在一定程度上也与实体权利有着相同的私法属性——可交易性。故融资协议在双方均具有完全民事行为能力且意思表示真实的情况下并无不妥，且中国法律并没有特别设置障碍来限制诉权处分的行为，因此该部分条款在中国的法律体系下并无效力瑕疵。</w:t>
      </w:r>
    </w:p>
    <w:p w14:paraId="1A8D3DFA"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总而言之，第三方诉讼融资制度已经具备引入中国的成熟条件。经济的高速增长使得纠纷数量增多，与之相对应的是高昂的诉讼成本和诉讼费用转移制度的空白，这使得许多个人和中小企业难以通过诉讼维护自己的合法权利，这些现状为第三方诉讼融资制度提供了实践上的需求；此外，中国市场对于第三方诉讼融资制度的引入已有一定的实践准备，加之证券领域开始中国版“集体诉讼”的探索为该制度的蓬勃发展提供了市场土壤；更为关键的是，第三方诉讼融资制度的核心——融资协议，在现有的法律框架下并无明确的无效事由，因此只要当事人在融资协议签订时具备完全民事行为能力且基于自愿原则，加之协议内容公平，</w:t>
      </w:r>
      <w:r>
        <w:rPr>
          <w:rFonts w:ascii="宋体" w:eastAsia="宋体" w:hAnsi="宋体" w:cs="Times New Roman" w:hint="eastAsia"/>
          <w:szCs w:val="21"/>
        </w:rPr>
        <w:lastRenderedPageBreak/>
        <w:t>且不违反法律的效力性强制性规定和公序良俗，其合法性和有效性便可得到认可。随着时间的推移和实践的深入，第三方诉讼融资制度必将在中国法律市场中展现出顽强的生命力。</w:t>
      </w:r>
      <w:r>
        <w:rPr>
          <w:rStyle w:val="af0"/>
          <w:sz w:val="21"/>
          <w:szCs w:val="21"/>
        </w:rPr>
        <w:footnoteReference w:id="24"/>
      </w:r>
    </w:p>
    <w:p w14:paraId="378F5AF1" w14:textId="77777777" w:rsidR="00844F3D" w:rsidRDefault="00844F3D">
      <w:pPr>
        <w:ind w:firstLine="480"/>
        <w:rPr>
          <w:rFonts w:ascii="宋体" w:eastAsia="宋体" w:hAnsi="宋体" w:cs="Times New Roman" w:hint="eastAsia"/>
          <w:szCs w:val="21"/>
        </w:rPr>
      </w:pPr>
    </w:p>
    <w:p w14:paraId="11A08F18" w14:textId="77777777" w:rsidR="00844F3D" w:rsidRDefault="00000000">
      <w:pPr>
        <w:outlineLvl w:val="0"/>
        <w:rPr>
          <w:rFonts w:ascii="黑体" w:eastAsia="黑体" w:hAnsi="黑体" w:hint="eastAsia"/>
          <w:sz w:val="28"/>
          <w:szCs w:val="28"/>
        </w:rPr>
      </w:pPr>
      <w:bookmarkStart w:id="64" w:name="_Toc32410"/>
      <w:bookmarkStart w:id="65" w:name="_Toc6541"/>
      <w:bookmarkStart w:id="66" w:name="_Toc7182"/>
      <w:bookmarkStart w:id="67" w:name="_Toc13010"/>
      <w:bookmarkStart w:id="68" w:name="_Toc13251"/>
      <w:bookmarkStart w:id="69" w:name="_Toc7510"/>
      <w:r>
        <w:rPr>
          <w:rFonts w:ascii="黑体" w:eastAsia="黑体" w:hAnsi="黑体" w:hint="eastAsia"/>
          <w:sz w:val="28"/>
          <w:szCs w:val="28"/>
        </w:rPr>
        <w:t>三、第三方诉讼融资制度的本土化构想</w:t>
      </w:r>
      <w:bookmarkEnd w:id="64"/>
      <w:bookmarkEnd w:id="65"/>
      <w:bookmarkEnd w:id="66"/>
      <w:bookmarkEnd w:id="67"/>
      <w:bookmarkEnd w:id="68"/>
      <w:bookmarkEnd w:id="69"/>
    </w:p>
    <w:p w14:paraId="579E4064"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目前，第三方诉讼融资在中国已经迈入了发展的初级阶段。如前文所述，虽然中国已具备接纳第三方诉讼融资的现实条件，但中国的相关规范尚未建立，例如投资主体资格、准入标准、信息披露等在法律法规、行业规范上均为空白，因此，制定这些规范以填补制度上的空白成为当前最为紧迫的任务。考虑到中国司法体制和诉讼环境与西方国家存在显著差异，第三方诉讼融资制度的构建也应当在一定程度上呈现中国特色，以适应中国的法律文化和司法实践。本文以为，在引进第三方诉讼融资制度的过程之中应以审慎态度构建起“以准入门槛为基石、以有限透明为核心、以边界廓清和模式限制为前提、以处罚机制为保障”的规范体系，全面考量其可能带来的连锁效应以防范潜在风险。</w:t>
      </w:r>
    </w:p>
    <w:p w14:paraId="6D1930C4" w14:textId="77777777" w:rsidR="00844F3D" w:rsidRDefault="00000000">
      <w:pPr>
        <w:ind w:firstLineChars="200" w:firstLine="480"/>
        <w:outlineLvl w:val="1"/>
        <w:rPr>
          <w:rFonts w:ascii="华文楷体" w:eastAsia="华文楷体" w:hAnsi="华文楷体" w:hint="eastAsia"/>
          <w:sz w:val="24"/>
        </w:rPr>
      </w:pPr>
      <w:bookmarkStart w:id="70" w:name="_Toc24473"/>
      <w:bookmarkStart w:id="71" w:name="_Toc3404"/>
      <w:bookmarkStart w:id="72" w:name="_Toc17668"/>
      <w:bookmarkStart w:id="73" w:name="_Toc10716"/>
      <w:r>
        <w:rPr>
          <w:rFonts w:ascii="华文楷体" w:eastAsia="华文楷体" w:hAnsi="华文楷体" w:hint="eastAsia"/>
          <w:sz w:val="24"/>
        </w:rPr>
        <w:t>（一）</w:t>
      </w:r>
      <w:bookmarkEnd w:id="70"/>
      <w:r>
        <w:rPr>
          <w:rFonts w:ascii="华文楷体" w:eastAsia="华文楷体" w:hAnsi="华文楷体" w:hint="eastAsia"/>
          <w:sz w:val="24"/>
        </w:rPr>
        <w:t>以融资主体资格</w:t>
      </w:r>
      <w:bookmarkEnd w:id="71"/>
      <w:bookmarkEnd w:id="72"/>
      <w:bookmarkEnd w:id="73"/>
      <w:r>
        <w:rPr>
          <w:rFonts w:ascii="华文楷体" w:eastAsia="华文楷体" w:hAnsi="华文楷体" w:hint="eastAsia"/>
          <w:sz w:val="24"/>
        </w:rPr>
        <w:t>作为准入门槛</w:t>
      </w:r>
    </w:p>
    <w:p w14:paraId="7A70B361"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第三方诉讼融资作为法律服务行业与金融行业的创新融合，其运作模式涉及金融服务与法律服务的提供，因此不可避免地受到这两个行业规范的共同约束。由于法律服务和金融服务均属于国家规定的限制经营行业，第三方诉讼融资的从业主体相应地也应当遵守更为严格的规范制约。因此，相关企业在设立时，不仅需要符合一般企业的注册要求，还必须通过更为严格的资格审查，有关部门应当依据相关法律法规，对申请企业的资质、资金来源、管理团队、业务模式等方面进行综合评估。鉴于当前中国已有对于法律行业和金融行业的规范已有较为成熟的法律规范和行政体系，在此基础之上再将第三方诉讼融资制度纳入其中并非难事，关键在于如何制定合适的准入标准、如何协调好法律与金融两个行业相关行政机构的责任，确保对第三方诉讼融资企业进行准入审查。</w:t>
      </w:r>
    </w:p>
    <w:p w14:paraId="509E8AE5"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在从业主体资质限制的立法上，可以参考并借鉴法律服务行业和金融行业的现有规范，并结合第三方诉讼融资制度自身特点，制定专门的准入门槛。具体而言，应当保证意欲从事第三方诉讼融资业务的企业具备足够的资金实力和风险控制能力；拥有具有法律和金融相关的专业背景和资质的专业管理团队；建立了有效的内部控制和风险管理制度。只有申请的企业满足上述所有条件时，有关部门才能批准相关主体设立为从事第三方诉讼融资业务的企业。批准通过以后，第三方诉讼融资企业还需定期接受监管部门对其业务行为的监督检查，确保其经营行为符合法律法规的要求。</w:t>
      </w:r>
      <w:bookmarkStart w:id="74" w:name="_Toc12919"/>
      <w:bookmarkStart w:id="75" w:name="_Toc2162"/>
      <w:bookmarkStart w:id="76" w:name="_Toc22437"/>
      <w:bookmarkStart w:id="77" w:name="_Toc19516"/>
      <w:r>
        <w:rPr>
          <w:rFonts w:ascii="宋体" w:eastAsia="宋体" w:hAnsi="宋体" w:cs="Times New Roman" w:hint="eastAsia"/>
          <w:szCs w:val="21"/>
        </w:rPr>
        <w:t>在准入资格审查以及后续监督检查的权限分配上，由在法律行业中承担相应责任的司法行政机关对相关企业的法律专业人员进行定期审核，确保其拥有从事法律相关事务的能力；除此以外的事项与金融的关联性更大，鉴于国家金融监督管理总局统一负责除证券业之外的金融业监管和金融消费者权益保护，故由国家金融监管总局及其派出机构负责此部分的审核是当前行政体系中较为合适的安排</w:t>
      </w:r>
      <w:bookmarkStart w:id="78" w:name="_Toc15161"/>
      <w:bookmarkStart w:id="79" w:name="_Toc28922"/>
      <w:r>
        <w:rPr>
          <w:rFonts w:ascii="宋体" w:eastAsia="宋体" w:hAnsi="宋体" w:cs="Times New Roman" w:hint="eastAsia"/>
          <w:szCs w:val="21"/>
        </w:rPr>
        <w:t>；与此同时，还需要加强司法行政机关与金融监管部门之间沟通交流，以确保双方共同有序推进对第三方诉讼融资制度的审查、监管工作。如此安排，方能确保从事第三方诉讼融资的主体具备从事此类复杂业务的能力，从源头上防范行业乱象从而保障该制度的健康发展。</w:t>
      </w:r>
    </w:p>
    <w:p w14:paraId="6D435A5D" w14:textId="77777777" w:rsidR="00844F3D" w:rsidRDefault="00000000">
      <w:pPr>
        <w:ind w:firstLineChars="200" w:firstLine="480"/>
        <w:outlineLvl w:val="1"/>
        <w:rPr>
          <w:rFonts w:ascii="华文楷体" w:eastAsia="华文楷体" w:hAnsi="华文楷体" w:hint="eastAsia"/>
          <w:sz w:val="24"/>
        </w:rPr>
      </w:pPr>
      <w:r>
        <w:rPr>
          <w:rFonts w:ascii="华文楷体" w:eastAsia="华文楷体" w:hAnsi="华文楷体" w:hint="eastAsia"/>
          <w:sz w:val="24"/>
        </w:rPr>
        <w:t>（二）以有限透明原则确定当事人披露义务</w:t>
      </w:r>
      <w:bookmarkEnd w:id="74"/>
      <w:bookmarkEnd w:id="75"/>
      <w:bookmarkEnd w:id="76"/>
      <w:bookmarkEnd w:id="77"/>
      <w:bookmarkEnd w:id="78"/>
      <w:bookmarkEnd w:id="79"/>
    </w:p>
    <w:p w14:paraId="4BEEA68F"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如前文所述，对于第三方诉讼融资可能招致的投资者对诉讼程序的不当干预的这一忧虑并非空穴来风。自融资协议签订的那一刻起，投资者便不再是一个超然于诉讼之外的旁观者，而是成为诉讼结果的直接利益相关者。诉讼的每一步进展，每一个裁决的倾向，都可能直接</w:t>
      </w:r>
      <w:r>
        <w:rPr>
          <w:rFonts w:ascii="宋体" w:eastAsia="宋体" w:hAnsi="宋体" w:cs="Times New Roman" w:hint="eastAsia"/>
          <w:szCs w:val="21"/>
        </w:rPr>
        <w:lastRenderedPageBreak/>
        <w:t>影响到其投资的成败与收益的多寡。在这样的背景下，投资者为了追求自身利益的最大化，难免会在无形中产生一种潜在的、有时甚至是明显的推动力，促使其采取某些行为，试图影响诉讼的最终结果。这种行为，无论其意图和实施的方式如何，都可能或多或少地对诉讼的公正性和当事人的合法权益构成潜在的威胁。对于此，多数国家的回应是——要求披露第三方诉讼融资的相关信息，</w:t>
      </w:r>
      <w:r>
        <w:rPr>
          <w:rStyle w:val="af0"/>
          <w:sz w:val="21"/>
          <w:szCs w:val="21"/>
        </w:rPr>
        <w:footnoteReference w:id="25"/>
      </w:r>
      <w:r>
        <w:rPr>
          <w:rFonts w:ascii="宋体" w:eastAsia="宋体" w:hAnsi="宋体" w:cs="Times New Roman" w:hint="eastAsia"/>
          <w:szCs w:val="21"/>
        </w:rPr>
        <w:t>中国亦可借鉴域外立法经验，要求诉讼当事人向法院披露与投资者签订的融资协议，从而实现对诉讼秩序的维护。</w:t>
      </w:r>
      <w:bookmarkStart w:id="80" w:name="_Toc20619"/>
      <w:bookmarkStart w:id="81" w:name="_Toc5179"/>
    </w:p>
    <w:p w14:paraId="1D7890B2"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对于披露规则的制订，需要明确一个前提——有限透明。披露协议的目的在于保护当事人的诉讼权利进而确保诉讼程序的公正进行，而非剖析当事人之间的关系，因此在披露的过程中只需披露可能影响诉讼公正性的相关条款即可。基于此，需要在立法中明确当事人在诉讼开始时或在得知融资意向后向法院披露第三方诉讼融资具体情况的程度，仅需披露诸如投资者的身份信息、融资金额、融资的条件和目的，以及双方签订的融资协议中有关诉讼进程中双方权利义务条款等对诉讼具有产生影响可能性的条款。在明确披露义务的范围的同时赋予审查机构相应权限，以确保诉讼融资协议的合法性。</w:t>
      </w:r>
      <w:bookmarkEnd w:id="80"/>
      <w:bookmarkEnd w:id="81"/>
      <w:r>
        <w:rPr>
          <w:rFonts w:ascii="宋体" w:eastAsia="宋体" w:hAnsi="宋体" w:cs="Times New Roman" w:hint="eastAsia"/>
          <w:szCs w:val="21"/>
        </w:rPr>
        <w:t>由于法院在整个诉讼过程中居于主导地位，因此由其承担对协议内容进行初步的审查的职责以确保协议的各个条款不会对诉讼的独立性和中立性造成不利影响就显得顺理成章，且现行法律已经赋予法院依职权宣告合同无效的权力，因此一旦法院在审查过程中发现协议中存在可能影响诉讼独立性、中立性的条款时，便可直接宣布这些条款无效或要求相关当事人对该部分协议内容进行修改，并将融资企业纳入诉讼参与人的范畴之内进而落实回避制度，以防止审判过程中出现利益冲突的情形。此外，仅靠法院的审查并不能彻底解决第三方诉讼融资的监管难题，</w:t>
      </w:r>
      <w:r>
        <w:rPr>
          <w:rStyle w:val="af0"/>
          <w:sz w:val="21"/>
          <w:szCs w:val="21"/>
        </w:rPr>
        <w:footnoteReference w:id="26"/>
      </w:r>
      <w:r>
        <w:rPr>
          <w:rFonts w:ascii="宋体" w:eastAsia="宋体" w:hAnsi="宋体" w:cs="Times New Roman" w:hint="eastAsia"/>
          <w:szCs w:val="21"/>
        </w:rPr>
        <w:t>故需要由具备专业监管能力的行政机关——如国家金融监管总局及其派出机构——在法院初步审查之后进一步对案涉律所和第三方诉讼融资企业之间的利益关系进行审查，包括但不限于审查律所和企业之间是否存在任何形式的不正当利益输送，以及是否存在可能影响案件公正审理的关联交易。</w:t>
      </w:r>
    </w:p>
    <w:p w14:paraId="3553C0DA"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通过明确当事人对诉讼融资相关事项的披露义务提升诉讼融资透明度，并赋予司法机关与行政机关以相应职权，使公权力主体间可以通过“案内→案外”的分层次审查模式进行相互配合，解决当前因隐身化而导致的对第三方诉讼融资进程的现实监管困境，在确保其不越过法律界限的同时落实回避制度、协调各方利益。</w:t>
      </w:r>
    </w:p>
    <w:p w14:paraId="691A29E8" w14:textId="77777777" w:rsidR="00844F3D" w:rsidRDefault="00000000">
      <w:pPr>
        <w:ind w:firstLineChars="200" w:firstLine="480"/>
        <w:outlineLvl w:val="1"/>
        <w:rPr>
          <w:rFonts w:ascii="华文楷体" w:eastAsia="华文楷体" w:hAnsi="华文楷体" w:hint="eastAsia"/>
          <w:sz w:val="24"/>
        </w:rPr>
      </w:pPr>
      <w:bookmarkStart w:id="82" w:name="_Toc30009"/>
      <w:bookmarkStart w:id="83" w:name="_Toc9623"/>
      <w:bookmarkStart w:id="84" w:name="_Toc12444"/>
      <w:bookmarkStart w:id="85" w:name="_Toc27352"/>
      <w:bookmarkStart w:id="86" w:name="_Toc29957"/>
      <w:bookmarkStart w:id="87" w:name="_Toc18469"/>
      <w:r>
        <w:rPr>
          <w:rFonts w:ascii="华文楷体" w:eastAsia="华文楷体" w:hAnsi="华文楷体" w:hint="eastAsia"/>
          <w:sz w:val="24"/>
        </w:rPr>
        <w:t>（三）以案件类型限制廓清制度适用边界</w:t>
      </w:r>
      <w:bookmarkEnd w:id="82"/>
      <w:bookmarkEnd w:id="83"/>
      <w:bookmarkEnd w:id="84"/>
      <w:bookmarkEnd w:id="85"/>
      <w:bookmarkEnd w:id="86"/>
      <w:bookmarkEnd w:id="87"/>
    </w:p>
    <w:p w14:paraId="2BC6AAC2"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在第三方诉讼融资规范体系构建过程中，需要明确一个立场：可以从诉讼中获利并不意味着诉讼本身属于攫取利益的工具，而我们亦需以此立场贯穿规范体系构建始终。不可否认，第三方诉讼融资制度作为一种逐利行为，其在运行过程之中存在将诉讼商品化的倾向，而诉讼作为公众接近正义的重要途径与完全商品化存在根本冲突，因此对于第三方诉讼融资此种试图将诉讼商品化的制度应当通过限制其可以适用的诉讼案件类型，实现对资本过度侵入诉讼领域的预防，从而避免逐利行为侵蚀司法。而对于此的预防，有关律师风险代理制度的相关立法已经对此有所回应，故如何限制第三方诉讼融资适用的案件类型与范围，可以从既有的法律规定中寻找答案。律师风险代理制度在中国的适用禁区主要包括：涉及婚姻与继承的、请求给予社会保险待遇或者最低生活保障待遇的、请求给付赡养费、抚养费、扶养费、抚恤金、救济金、工伤赔偿的、请求支付劳动报酬的等与人身有密切关系的案件以及刑事诉讼案件、行政诉讼案件、国家赔偿案件等涉及公权力主体作为当事人的案件，</w:t>
      </w:r>
      <w:r>
        <w:rPr>
          <w:rStyle w:val="af0"/>
          <w:sz w:val="21"/>
          <w:szCs w:val="21"/>
        </w:rPr>
        <w:footnoteReference w:id="27"/>
      </w:r>
      <w:r>
        <w:rPr>
          <w:rFonts w:ascii="宋体" w:eastAsia="宋体" w:hAnsi="宋体" w:cs="Times New Roman" w:hint="eastAsia"/>
          <w:szCs w:val="21"/>
        </w:rPr>
        <w:t>此类案件或因涉</w:t>
      </w:r>
      <w:r>
        <w:rPr>
          <w:rFonts w:ascii="宋体" w:eastAsia="宋体" w:hAnsi="宋体" w:cs="Times New Roman" w:hint="eastAsia"/>
          <w:szCs w:val="21"/>
        </w:rPr>
        <w:lastRenderedPageBreak/>
        <w:t>及人身专属性，或因涉及公权力运行，使法律对将其作为逐利工具的行为进行了禁止性规定，</w:t>
      </w:r>
      <w:r>
        <w:rPr>
          <w:rStyle w:val="af0"/>
          <w:rFonts w:eastAsia="宋体"/>
          <w:sz w:val="21"/>
          <w:szCs w:val="21"/>
        </w:rPr>
        <w:footnoteReference w:id="28"/>
      </w:r>
      <w:r>
        <w:rPr>
          <w:rFonts w:ascii="宋体" w:eastAsia="宋体" w:hAnsi="宋体" w:cs="Times New Roman" w:hint="eastAsia"/>
          <w:szCs w:val="21"/>
        </w:rPr>
        <w:t>故此类案件也应被规定在第三方诉讼融资的案件禁区之内，如此方能更好地与中国立法现状相契合。在适用案件限制的过程中，除了聚焦于司法正义外，亦不应忽略第三方诉讼融资制度的运行依据——诉讼融资协议。因第三方诉讼融资制度以民事合同作为其运行依据，故其也自然应受《民法典》合同编制约。如前所述，融资协议的实体条款与债权让与具有一定的相似性，故其可以参照债权让与的相关法律进行规范，在标的案件债权涉及根据债权性质不得转让、按照当事人约定或者依照法律规定不得转让的债权时，</w:t>
      </w:r>
      <w:r>
        <w:rPr>
          <w:rStyle w:val="af0"/>
          <w:rFonts w:eastAsia="宋体"/>
          <w:sz w:val="21"/>
          <w:szCs w:val="21"/>
        </w:rPr>
        <w:footnoteReference w:id="29"/>
      </w:r>
      <w:r>
        <w:rPr>
          <w:rFonts w:ascii="宋体" w:eastAsia="宋体" w:hAnsi="宋体" w:cs="Times New Roman" w:hint="eastAsia"/>
          <w:szCs w:val="21"/>
        </w:rPr>
        <w:t>则不能成为第三方诉讼融资的投资案件。</w:t>
      </w:r>
    </w:p>
    <w:p w14:paraId="7F91A984"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总的来说，与人身具有强关联性以及涉及公权力主体的案件在现行法律体系之下不被允许作为逐利的工具，基于此种立法精神亦应当将上述案件类型排除在可以适用第三方诉讼融资制度的案件类型与范围之外，以此预防该制度在引进后的发展过程中偏离既有轨道，对司法正义造成损害。</w:t>
      </w:r>
    </w:p>
    <w:p w14:paraId="12213361" w14:textId="77777777" w:rsidR="00844F3D" w:rsidRDefault="00000000">
      <w:pPr>
        <w:ind w:firstLineChars="200" w:firstLine="480"/>
        <w:outlineLvl w:val="1"/>
        <w:rPr>
          <w:rFonts w:ascii="华文楷体" w:eastAsia="华文楷体" w:hAnsi="华文楷体" w:hint="eastAsia"/>
          <w:sz w:val="24"/>
        </w:rPr>
      </w:pPr>
      <w:bookmarkStart w:id="88" w:name="_Toc7994"/>
      <w:bookmarkStart w:id="89" w:name="_Toc16149"/>
      <w:bookmarkStart w:id="90" w:name="_Toc7715"/>
      <w:bookmarkStart w:id="91" w:name="_Toc24551"/>
      <w:bookmarkStart w:id="92" w:name="_Toc6092"/>
      <w:bookmarkStart w:id="93" w:name="_Toc11143"/>
      <w:r>
        <w:rPr>
          <w:rFonts w:ascii="华文楷体" w:eastAsia="华文楷体" w:hAnsi="华文楷体" w:hint="eastAsia"/>
          <w:sz w:val="24"/>
        </w:rPr>
        <w:t>（四）以模式限制防范制度运作风险</w:t>
      </w:r>
      <w:bookmarkEnd w:id="88"/>
      <w:bookmarkEnd w:id="89"/>
      <w:bookmarkEnd w:id="90"/>
      <w:bookmarkEnd w:id="91"/>
      <w:bookmarkEnd w:id="92"/>
      <w:bookmarkEnd w:id="93"/>
    </w:p>
    <w:p w14:paraId="1EBCBE9F"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第三方诉讼融资制度的本质在于以较小的诉讼成本作为杠杆，追求高额的诉讼融资回报。在商事主体逐利性的推动下，投资者往往会寻找以最小成本获取最大回报的途径，其理性选择会推动第三方诉讼融资制度向着更为复杂的多案例组合投资方向发展，甚至可能走向证券化、基金化的道路。</w:t>
      </w:r>
      <w:r>
        <w:rPr>
          <w:rStyle w:val="af0"/>
          <w:sz w:val="21"/>
          <w:szCs w:val="21"/>
        </w:rPr>
        <w:footnoteReference w:id="30"/>
      </w:r>
      <w:r>
        <w:rPr>
          <w:rFonts w:ascii="宋体" w:eastAsia="宋体" w:hAnsi="宋体" w:cs="Times New Roman" w:hint="eastAsia"/>
          <w:szCs w:val="21"/>
        </w:rPr>
        <w:t>这种趋势将会削弱第三方诉讼融资的优势，并产生不利影响。因此，我们必须为第三方诉讼融资制度的运作模式划定清晰的边界以确保这一制度能够真正促进司法公正和保障当事人合法权益的同时避免其走向极端。</w:t>
      </w:r>
    </w:p>
    <w:p w14:paraId="49E99DF2"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在运作模式的选择上，第三方诉讼融资制度的运行模式应当被限定在传统的个案投资和后续发展出来的多案例组合投资两种模式之内。这两种模式一方面运行相对简单透明，便于有关部门对其行为展开监管；另一方面兼顾了融资企业对于投资风险管理的需求和公权力对公序良俗的维护。尽管第三方诉讼融资制度在域外已然逐步实现证券化、基金化，但中国在引入该制度时应当避免当前尚处于第三方诉讼融资制度发展初期的中国走上此条道路。证券化、基金化的发展趋势使得第三方诉讼融资的资金流向不再是流向单一的短链条形式，从而使其增加金融市场系统性风险的可能性大大增加；与此同时，标的案件的筛选条件在此模式下相较于传统模式也更为宽松，进而有诱发滥诉的潜在危险。如此经验告诉我们应当对此种趋势予以严厉打击。由于证券化、基金化趋势主要涉及金融服务领域，因而应当由金融监管机构，如国家金融监管总局及其派出机构，对其投资行为进行严格的监督管理：在当事人向法院披露融资协议的同时，融资企业也应当将相应的第三方诉讼融资项目向金融监管机构备案，以便于监管部门进行实时的监督和审查。</w:t>
      </w:r>
    </w:p>
    <w:p w14:paraId="225D31FF" w14:textId="77777777" w:rsidR="00844F3D" w:rsidRDefault="00000000">
      <w:pPr>
        <w:ind w:firstLineChars="200" w:firstLine="480"/>
        <w:outlineLvl w:val="1"/>
        <w:rPr>
          <w:rFonts w:ascii="华文楷体" w:eastAsia="华文楷体" w:hAnsi="华文楷体" w:hint="eastAsia"/>
          <w:sz w:val="24"/>
        </w:rPr>
      </w:pPr>
      <w:r>
        <w:rPr>
          <w:rFonts w:ascii="华文楷体" w:eastAsia="华文楷体" w:hAnsi="华文楷体" w:hint="eastAsia"/>
          <w:sz w:val="24"/>
        </w:rPr>
        <w:t>（五）以处罚机制确保规范体系落地</w:t>
      </w:r>
    </w:p>
    <w:p w14:paraId="6C53B862" w14:textId="77777777" w:rsidR="00844F3D" w:rsidRDefault="00000000">
      <w:pPr>
        <w:numPr>
          <w:ilvl w:val="255"/>
          <w:numId w:val="0"/>
        </w:numPr>
        <w:ind w:firstLineChars="200" w:firstLine="420"/>
        <w:rPr>
          <w:rFonts w:ascii="宋体" w:eastAsia="宋体" w:hAnsi="宋体" w:cs="Times New Roman" w:hint="eastAsia"/>
          <w:szCs w:val="21"/>
        </w:rPr>
      </w:pPr>
      <w:r>
        <w:rPr>
          <w:rFonts w:ascii="宋体" w:eastAsia="宋体" w:hAnsi="宋体" w:cs="Times New Roman" w:hint="eastAsia"/>
          <w:szCs w:val="21"/>
        </w:rPr>
        <w:t>法之所以能够发挥其规范主体行为的功能关键在于其所具有的威慑力，而此种威慑力通常来源于主体违反法之后可能产生的不利后果，因此在规范体系的设计过程中，除了需要通过立法手段明确第三方诉讼融资的操作规则和监管要求外，还必须建立一套与相关制度配套</w:t>
      </w:r>
      <w:r>
        <w:rPr>
          <w:rFonts w:ascii="宋体" w:eastAsia="宋体" w:hAnsi="宋体" w:cs="Times New Roman" w:hint="eastAsia"/>
          <w:szCs w:val="21"/>
        </w:rPr>
        <w:lastRenderedPageBreak/>
        <w:t>的、能行之有效的违规处罚机制，如此方能确保规范体系的顺利落地。</w:t>
      </w:r>
    </w:p>
    <w:p w14:paraId="62D58302"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由前文对于规范体系的本土化构建设想可知，此体系中主要由诸如司法行政机关、金融监管部门这些行政主体承担监管责任，故在处罚机制设计时亦应当以行政责任作为相关主体责任的主要承担方式。具体而言，监管机构可以根据相关主体在诉讼融资过程之中所实施的违法行为情节不同，对其施以不同的行政处罚措施，如对未按规定进行备案的投资者进行罚款；对涉嫌实施操纵诉讼、损害司法公正行为的企业根据情节轻重责令停业整改，严重时吊销营业执照；对违反信息披露义务的企业根据其违反的具体程度设置相应的行政处罚等。唯有以责任追究作为规范体系的保障，才能确保真正实现对第三方诉讼融资的有效管控。</w:t>
      </w:r>
    </w:p>
    <w:p w14:paraId="340FC3DC" w14:textId="77777777" w:rsidR="00844F3D" w:rsidRDefault="00000000">
      <w:pPr>
        <w:jc w:val="center"/>
        <w:rPr>
          <w:rFonts w:ascii="宋体" w:eastAsia="宋体" w:hAnsi="宋体" w:cs="Times New Roman" w:hint="eastAsia"/>
          <w:szCs w:val="21"/>
        </w:rPr>
      </w:pPr>
      <w:r>
        <w:rPr>
          <w:rFonts w:ascii="宋体" w:eastAsia="宋体" w:hAnsi="宋体" w:cs="Times New Roman" w:hint="eastAsia"/>
          <w:noProof/>
          <w:szCs w:val="21"/>
        </w:rPr>
        <w:drawing>
          <wp:inline distT="0" distB="0" distL="114300" distR="114300" wp14:anchorId="39F9E2D3" wp14:editId="427F9AF5">
            <wp:extent cx="4054475" cy="2540000"/>
            <wp:effectExtent l="0" t="0" r="9525" b="0"/>
            <wp:docPr id="1" name="图片 1" descr="C:/Users/star/Desktop/法大研究生学报/体系示意图.png体系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star/Desktop/法大研究生学报/体系示意图.png体系示意图"/>
                    <pic:cNvPicPr>
                      <a:picLocks noChangeAspect="1"/>
                    </pic:cNvPicPr>
                  </pic:nvPicPr>
                  <pic:blipFill>
                    <a:blip r:embed="rId17"/>
                    <a:srcRect l="10" r="10"/>
                    <a:stretch>
                      <a:fillRect/>
                    </a:stretch>
                  </pic:blipFill>
                  <pic:spPr>
                    <a:xfrm>
                      <a:off x="0" y="0"/>
                      <a:ext cx="4054475" cy="2540000"/>
                    </a:xfrm>
                    <a:prstGeom prst="rect">
                      <a:avLst/>
                    </a:prstGeom>
                  </pic:spPr>
                </pic:pic>
              </a:graphicData>
            </a:graphic>
          </wp:inline>
        </w:drawing>
      </w:r>
    </w:p>
    <w:p w14:paraId="5BD9AA7C" w14:textId="77777777" w:rsidR="00844F3D" w:rsidRDefault="00000000">
      <w:pPr>
        <w:jc w:val="center"/>
        <w:rPr>
          <w:rFonts w:ascii="宋体" w:eastAsia="宋体" w:hAnsi="宋体" w:cs="Times New Roman" w:hint="eastAsia"/>
          <w:szCs w:val="21"/>
        </w:rPr>
      </w:pPr>
      <w:r>
        <w:rPr>
          <w:rFonts w:ascii="宋体" w:eastAsia="宋体" w:hAnsi="宋体" w:cs="Times New Roman" w:hint="eastAsia"/>
          <w:szCs w:val="21"/>
        </w:rPr>
        <w:t>图</w:t>
      </w:r>
      <w:r>
        <w:rPr>
          <w:rFonts w:ascii="Times New Roman" w:eastAsia="宋体" w:hAnsi="Times New Roman" w:cs="Times New Roman"/>
          <w:szCs w:val="21"/>
        </w:rPr>
        <w:t xml:space="preserve">2 </w:t>
      </w:r>
      <w:r>
        <w:rPr>
          <w:rFonts w:ascii="宋体" w:eastAsia="宋体" w:hAnsi="宋体" w:cs="Times New Roman" w:hint="eastAsia"/>
          <w:szCs w:val="21"/>
        </w:rPr>
        <w:t>第三方诉讼融资制度规范体系示意图</w:t>
      </w:r>
    </w:p>
    <w:p w14:paraId="486E2F89"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综上所述，若欲对第三方诉讼融资制度进行本土化构建并非全然从零开始。本土化构建时除了域外经验可供参考外，亦可从中国既有的法律规范体系中寻找到细化方向，而既有行政体系亦能承担起对其的监管职责。由此可见，在已具备实践基础的前提下，中国仅需对现有立法进行适度完善，即可实现该制度的平稳引入与健康发展。</w:t>
      </w:r>
    </w:p>
    <w:p w14:paraId="46228877" w14:textId="77777777" w:rsidR="00844F3D" w:rsidRDefault="00844F3D">
      <w:pPr>
        <w:ind w:firstLineChars="200" w:firstLine="420"/>
        <w:rPr>
          <w:rFonts w:ascii="宋体" w:eastAsia="宋体" w:hAnsi="宋体" w:cs="Times New Roman" w:hint="eastAsia"/>
          <w:szCs w:val="21"/>
        </w:rPr>
      </w:pPr>
      <w:bookmarkStart w:id="94" w:name="_Toc11848"/>
      <w:bookmarkStart w:id="95" w:name="_Toc27809"/>
      <w:bookmarkStart w:id="96" w:name="_Toc29727"/>
      <w:bookmarkStart w:id="97" w:name="_Toc30152"/>
      <w:bookmarkEnd w:id="62"/>
      <w:bookmarkEnd w:id="63"/>
    </w:p>
    <w:p w14:paraId="35DA1413" w14:textId="77777777" w:rsidR="00844F3D" w:rsidRDefault="00000000">
      <w:pPr>
        <w:outlineLvl w:val="0"/>
        <w:rPr>
          <w:rFonts w:ascii="黑体" w:eastAsia="黑体" w:hAnsi="黑体" w:hint="eastAsia"/>
          <w:sz w:val="28"/>
          <w:szCs w:val="28"/>
        </w:rPr>
      </w:pPr>
      <w:bookmarkStart w:id="98" w:name="_Toc31504"/>
      <w:bookmarkStart w:id="99" w:name="_Toc9145"/>
      <w:r>
        <w:rPr>
          <w:rFonts w:ascii="黑体" w:eastAsia="黑体" w:hAnsi="黑体" w:hint="eastAsia"/>
          <w:sz w:val="28"/>
          <w:szCs w:val="28"/>
        </w:rPr>
        <w:t>结语</w:t>
      </w:r>
      <w:bookmarkEnd w:id="94"/>
      <w:bookmarkEnd w:id="95"/>
      <w:bookmarkEnd w:id="96"/>
      <w:bookmarkEnd w:id="97"/>
      <w:bookmarkEnd w:id="98"/>
      <w:bookmarkEnd w:id="99"/>
    </w:p>
    <w:p w14:paraId="0A40E463" w14:textId="77777777" w:rsidR="00844F3D" w:rsidRDefault="00000000">
      <w:pPr>
        <w:ind w:firstLineChars="200" w:firstLine="420"/>
        <w:rPr>
          <w:rFonts w:ascii="宋体" w:eastAsia="宋体" w:hAnsi="宋体" w:cs="Times New Roman" w:hint="eastAsia"/>
          <w:szCs w:val="21"/>
        </w:rPr>
      </w:pPr>
      <w:r>
        <w:rPr>
          <w:rFonts w:ascii="宋体" w:eastAsia="宋体" w:hAnsi="宋体" w:cs="Times New Roman" w:hint="eastAsia"/>
          <w:szCs w:val="21"/>
        </w:rPr>
        <w:t>面对中国当前因高昂诉讼费用所引致的群众诉讼困境，域外成熟发展的第三方诉讼融资制度为我们提供了具有启发性的全新路径。作为诉讼费用转移机制重要组成部分，第三方诉讼融资制度在诉讼费用救济、接近司法、支持起诉的司法理念的指引下能够有效地化解当事人所面临的诉讼成本障碍。在公众难以承担高昂的诉讼成本和面向公众诉讼费用转移机制空白的中国，引入并完善第三方诉讼融资制度，不仅是市场需求的必然选择，更是社会发展的必然趋势。尽管该制度自诞生之初至今争议不断，但争议的存在非但未对其引入中国的制度价值有所减损，反而因存在于该制度之上足够深入广泛的研究与探索，使得引进道路的构建方向更为清晰。第三方诉讼融资的引入中存在的对既有诉讼秩序、金融秩序乃至当事人权利保障所构成潜在冲击的现实风险，要求我们必须对该行业进行审慎的监管和规范，唯有从主体资格、适用范围、协议运作监管等方面着手，构建起一套符合国情的第三方诉讼融资制度框架才能确保其真正成为促进社会公正、保障公民权益的工具。</w:t>
      </w:r>
    </w:p>
    <w:sectPr w:rsidR="00844F3D">
      <w:footerReference w:type="default" r:id="rId18"/>
      <w:footnotePr>
        <w:numFmt w:val="decimalEnclosedCircleChinese"/>
        <w:numRestart w:val="eachPage"/>
      </w:footnotePr>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审稿人2" w:date="2026-04-01T16:14:00Z" w:initials="审稿人2">
    <w:p w14:paraId="2081970A" w14:textId="77777777" w:rsidR="00771AAC" w:rsidRDefault="00771AAC">
      <w:pPr>
        <w:pStyle w:val="a3"/>
      </w:pPr>
      <w:r>
        <w:rPr>
          <w:rStyle w:val="af1"/>
        </w:rPr>
        <w:annotationRef/>
      </w:r>
      <w:r w:rsidR="00290874">
        <w:rPr>
          <w:rFonts w:hint="eastAsia"/>
        </w:rPr>
        <w:t>本选题具有研究</w:t>
      </w:r>
      <w:r w:rsidR="00921B0E">
        <w:rPr>
          <w:rFonts w:hint="eastAsia"/>
        </w:rPr>
        <w:t>价值，但作者在此篇文章中的部分观点建议进行完善修改：</w:t>
      </w:r>
    </w:p>
    <w:p w14:paraId="16C4F990" w14:textId="4BEEE35B" w:rsidR="00921B0E" w:rsidRDefault="00921B0E" w:rsidP="008865FC">
      <w:pPr>
        <w:pStyle w:val="a3"/>
        <w:numPr>
          <w:ilvl w:val="0"/>
          <w:numId w:val="3"/>
        </w:numPr>
      </w:pPr>
      <w:r>
        <w:rPr>
          <w:rFonts w:hint="eastAsia"/>
        </w:rPr>
        <w:t>作者在此篇文章中多次提及“高额的诉讼费用”，这一术语的使用在我国当前语境下并不准确，我国的《诉讼费用交纳办法》系在“让老百姓打得起官司”的背景下出台，主流观点认为我国的诉讼费用与其他国家相比，明显较低，故很多学者在当前提倡对</w:t>
      </w:r>
      <w:r w:rsidR="008865FC">
        <w:rPr>
          <w:rFonts w:hint="eastAsia"/>
        </w:rPr>
        <w:t>该法进行修改并适当提高诉讼费用，从而避免我国成为诉讼大国。故建议作者修改文章中相关表述，从个案中部分个体出于经济困难、败诉风险承担等方面而</w:t>
      </w:r>
      <w:r w:rsidR="008476DB">
        <w:rPr>
          <w:rFonts w:hint="eastAsia"/>
        </w:rPr>
        <w:t>可能无力提起诉讼</w:t>
      </w:r>
      <w:r w:rsidR="008865FC">
        <w:rPr>
          <w:rFonts w:hint="eastAsia"/>
        </w:rPr>
        <w:t>，第三方诉讼融资为其提供了更多制度选择这一角度展开论述，更为妥当。</w:t>
      </w:r>
    </w:p>
    <w:p w14:paraId="7D19BDCC" w14:textId="77777777" w:rsidR="008865FC" w:rsidRDefault="008865FC" w:rsidP="008865FC">
      <w:pPr>
        <w:pStyle w:val="a3"/>
        <w:numPr>
          <w:ilvl w:val="0"/>
          <w:numId w:val="3"/>
        </w:numPr>
      </w:pPr>
      <w:r>
        <w:rPr>
          <w:rFonts w:hint="eastAsia"/>
        </w:rPr>
        <w:t>作者在</w:t>
      </w:r>
      <w:r>
        <w:rPr>
          <w:rFonts w:hint="eastAsia"/>
        </w:rPr>
        <w:t>2.3</w:t>
      </w:r>
      <w:r>
        <w:rPr>
          <w:rFonts w:hint="eastAsia"/>
        </w:rPr>
        <w:t>中提及了投资者对当事人的“程序控制权”，还提出“诉讼权利具有可交易性”这一观点。作者这部分的论述与我国当前的法律规范以及主流观点明显存在冲突，建议进行修改调整。我国当前仅认可法定的诉讼担当，而不认可任意</w:t>
      </w:r>
      <w:r w:rsidR="00420989">
        <w:rPr>
          <w:rFonts w:hint="eastAsia"/>
        </w:rPr>
        <w:t>的诉讼担当，即认为诉权一般需要由与案件存在</w:t>
      </w:r>
      <w:r w:rsidR="008476DB">
        <w:rPr>
          <w:rFonts w:hint="eastAsia"/>
        </w:rPr>
        <w:t>实体</w:t>
      </w:r>
      <w:r w:rsidR="00420989">
        <w:rPr>
          <w:rFonts w:hint="eastAsia"/>
        </w:rPr>
        <w:t>法律关系的主体行使，这不仅是为了防止当事人滥诉，亦是为了保障诉讼中当事人的自我决定与自我负责，而赋予投资者诉权或其他程序控制权，极有可能扰乱当前的诉讼构造与诉讼秩序，所以很多法院将投资者参与程度过深的《诉讼融资协议》认定为无效，故作者在此篇文章的论述中，请进一步厘清</w:t>
      </w:r>
      <w:r w:rsidR="00420989">
        <w:rPr>
          <w:rFonts w:hint="eastAsia"/>
        </w:rPr>
        <w:t xml:space="preserve"> </w:t>
      </w:r>
      <w:r w:rsidR="00420989">
        <w:rPr>
          <w:rFonts w:hint="eastAsia"/>
        </w:rPr>
        <w:t>投资者的权限范围。</w:t>
      </w:r>
    </w:p>
    <w:p w14:paraId="153E798D" w14:textId="22DEF63B" w:rsidR="008476DB" w:rsidRDefault="008476DB" w:rsidP="008865FC">
      <w:pPr>
        <w:pStyle w:val="a3"/>
        <w:numPr>
          <w:ilvl w:val="0"/>
          <w:numId w:val="3"/>
        </w:numPr>
      </w:pPr>
      <w:r>
        <w:rPr>
          <w:rFonts w:hint="eastAsia"/>
        </w:rPr>
        <w:t>作者既然将文章标题表述为“本土化“，那么我国的第三方诉讼融资制度，与域外该制度，是否存在根据国情进行调试的显著差异呢，目前的论述中并未凸显这一点。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3E79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8AD32A" w16cex:dateUtc="2026-04-01T08: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3E798D" w16cid:durableId="158AD3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2F7F5" w14:textId="77777777" w:rsidR="00F13F21" w:rsidRDefault="00F13F21">
      <w:r>
        <w:separator/>
      </w:r>
    </w:p>
  </w:endnote>
  <w:endnote w:type="continuationSeparator" w:id="0">
    <w:p w14:paraId="60BF6B0F" w14:textId="77777777" w:rsidR="00F13F21" w:rsidRDefault="00F13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E4437" w14:textId="77777777" w:rsidR="00844F3D" w:rsidRDefault="00844F3D">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D4937" w14:textId="77777777" w:rsidR="00F13F21" w:rsidRDefault="00F13F21">
      <w:r>
        <w:separator/>
      </w:r>
    </w:p>
  </w:footnote>
  <w:footnote w:type="continuationSeparator" w:id="0">
    <w:p w14:paraId="22EFCB60" w14:textId="77777777" w:rsidR="00F13F21" w:rsidRDefault="00F13F21">
      <w:r>
        <w:continuationSeparator/>
      </w:r>
    </w:p>
  </w:footnote>
  <w:footnote w:id="1">
    <w:p w14:paraId="7A1DC8CB" w14:textId="77777777" w:rsidR="00844F3D" w:rsidRDefault="00000000">
      <w:pPr>
        <w:pStyle w:val="a9"/>
        <w:ind w:firstLineChars="200" w:firstLine="360"/>
        <w:rPr>
          <w:rFonts w:ascii="仿宋" w:eastAsia="仿宋" w:hAnsi="仿宋" w:cs="仿宋" w:hint="eastAsia"/>
        </w:rPr>
      </w:pPr>
      <w:r>
        <w:rPr>
          <w:rStyle w:val="af0"/>
          <w:rFonts w:ascii="仿宋" w:eastAsia="仿宋" w:hAnsi="仿宋" w:cs="仿宋" w:hint="eastAsia"/>
        </w:rPr>
        <w:footnoteRef/>
      </w:r>
      <w:r>
        <w:rPr>
          <w:rFonts w:ascii="仿宋" w:eastAsia="仿宋" w:hAnsi="仿宋" w:cs="仿宋" w:hint="eastAsia"/>
        </w:rPr>
        <w:t xml:space="preserve"> 参见上海市第二中级人民法院（</w:t>
      </w:r>
      <w:r>
        <w:rPr>
          <w:rFonts w:ascii="Times New Roman" w:eastAsia="仿宋" w:hAnsi="Times New Roman" w:cs="仿宋" w:hint="eastAsia"/>
        </w:rPr>
        <w:t>2021</w:t>
      </w:r>
      <w:r>
        <w:rPr>
          <w:rFonts w:ascii="仿宋" w:eastAsia="仿宋" w:hAnsi="仿宋" w:cs="仿宋" w:hint="eastAsia"/>
        </w:rPr>
        <w:t>）沪</w:t>
      </w:r>
      <w:r>
        <w:rPr>
          <w:rFonts w:ascii="Times New Roman" w:eastAsia="仿宋" w:hAnsi="Times New Roman" w:cs="仿宋" w:hint="eastAsia"/>
        </w:rPr>
        <w:t>02</w:t>
      </w:r>
      <w:r>
        <w:rPr>
          <w:rFonts w:ascii="仿宋" w:eastAsia="仿宋" w:hAnsi="仿宋" w:cs="仿宋" w:hint="eastAsia"/>
        </w:rPr>
        <w:t>民终</w:t>
      </w:r>
      <w:r>
        <w:rPr>
          <w:rFonts w:ascii="Times New Roman" w:eastAsia="仿宋" w:hAnsi="Times New Roman" w:cs="仿宋" w:hint="eastAsia"/>
        </w:rPr>
        <w:t>10224</w:t>
      </w:r>
      <w:r>
        <w:rPr>
          <w:rFonts w:ascii="仿宋" w:eastAsia="仿宋" w:hAnsi="仿宋" w:cs="仿宋" w:hint="eastAsia"/>
        </w:rPr>
        <w:t>号判决书。</w:t>
      </w:r>
    </w:p>
  </w:footnote>
  <w:footnote w:id="2">
    <w:p w14:paraId="63AD0C3B" w14:textId="77777777" w:rsidR="00844F3D" w:rsidRDefault="00000000">
      <w:pPr>
        <w:pStyle w:val="a9"/>
        <w:ind w:firstLineChars="200" w:firstLine="360"/>
        <w:rPr>
          <w:rFonts w:ascii="仿宋" w:eastAsia="仿宋" w:hAnsi="仿宋" w:cs="仿宋" w:hint="eastAsia"/>
        </w:rPr>
      </w:pPr>
      <w:r>
        <w:rPr>
          <w:rStyle w:val="af0"/>
          <w:rFonts w:ascii="仿宋" w:eastAsia="仿宋" w:hAnsi="仿宋" w:cs="仿宋" w:hint="eastAsia"/>
        </w:rPr>
        <w:footnoteRef/>
      </w:r>
      <w:r>
        <w:rPr>
          <w:rFonts w:ascii="仿宋" w:eastAsia="仿宋" w:hAnsi="仿宋" w:cs="仿宋" w:hint="eastAsia"/>
        </w:rPr>
        <w:t xml:space="preserve"> </w:t>
      </w:r>
      <w:r>
        <w:rPr>
          <w:rFonts w:ascii="Times New Roman" w:eastAsia="仿宋" w:hAnsi="Times New Roman" w:cs="仿宋" w:hint="eastAsia"/>
        </w:rPr>
        <w:t>See</w:t>
      </w:r>
      <w:r>
        <w:rPr>
          <w:rFonts w:ascii="仿宋" w:eastAsia="仿宋" w:hAnsi="仿宋" w:cs="仿宋" w:hint="eastAsia"/>
        </w:rPr>
        <w:t xml:space="preserve"> </w:t>
      </w:r>
      <w:r>
        <w:rPr>
          <w:rFonts w:ascii="Times New Roman" w:eastAsia="仿宋" w:hAnsi="Times New Roman" w:cs="仿宋" w:hint="eastAsia"/>
        </w:rPr>
        <w:t>Jonas</w:t>
      </w:r>
      <w:r>
        <w:rPr>
          <w:rFonts w:ascii="仿宋" w:eastAsia="仿宋" w:hAnsi="仿宋" w:cs="仿宋" w:hint="eastAsia"/>
        </w:rPr>
        <w:t xml:space="preserve"> </w:t>
      </w:r>
      <w:r>
        <w:rPr>
          <w:rFonts w:ascii="Times New Roman" w:eastAsia="仿宋" w:hAnsi="Times New Roman" w:cs="仿宋" w:hint="eastAsia"/>
        </w:rPr>
        <w:t>Anderson</w:t>
      </w:r>
      <w:r>
        <w:rPr>
          <w:rFonts w:ascii="仿宋" w:eastAsia="仿宋" w:hAnsi="仿宋" w:cs="仿宋" w:hint="eastAsia"/>
        </w:rPr>
        <w:t xml:space="preserve">, </w:t>
      </w:r>
      <w:r>
        <w:rPr>
          <w:rFonts w:ascii="Times New Roman" w:eastAsia="仿宋" w:hAnsi="Times New Roman" w:cs="仿宋" w:hint="eastAsia"/>
        </w:rPr>
        <w:t>Third</w:t>
      </w:r>
      <w:r>
        <w:rPr>
          <w:rFonts w:ascii="仿宋" w:eastAsia="仿宋" w:hAnsi="仿宋" w:cs="仿宋" w:hint="eastAsia"/>
        </w:rPr>
        <w:t>-</w:t>
      </w:r>
      <w:r>
        <w:rPr>
          <w:rFonts w:ascii="Times New Roman" w:eastAsia="仿宋" w:hAnsi="Times New Roman" w:cs="仿宋" w:hint="eastAsia"/>
        </w:rPr>
        <w:t>Party</w:t>
      </w:r>
      <w:r>
        <w:rPr>
          <w:rFonts w:ascii="仿宋" w:eastAsia="仿宋" w:hAnsi="仿宋" w:cs="仿宋" w:hint="eastAsia"/>
        </w:rPr>
        <w:t xml:space="preserve"> </w:t>
      </w:r>
      <w:r>
        <w:rPr>
          <w:rFonts w:ascii="Times New Roman" w:eastAsia="仿宋" w:hAnsi="Times New Roman" w:cs="仿宋" w:hint="eastAsia"/>
        </w:rPr>
        <w:t>Litigation</w:t>
      </w:r>
      <w:r>
        <w:rPr>
          <w:rFonts w:ascii="仿宋" w:eastAsia="仿宋" w:hAnsi="仿宋" w:cs="仿宋" w:hint="eastAsia"/>
        </w:rPr>
        <w:t xml:space="preserve"> </w:t>
      </w:r>
      <w:r>
        <w:rPr>
          <w:rFonts w:ascii="Times New Roman" w:eastAsia="仿宋" w:hAnsi="Times New Roman" w:cs="仿宋" w:hint="eastAsia"/>
        </w:rPr>
        <w:t>Funding</w:t>
      </w:r>
      <w:r>
        <w:rPr>
          <w:rFonts w:ascii="仿宋" w:eastAsia="仿宋" w:hAnsi="仿宋" w:cs="仿宋" w:hint="eastAsia"/>
        </w:rPr>
        <w:t xml:space="preserve">: </w:t>
      </w:r>
      <w:r>
        <w:rPr>
          <w:rFonts w:ascii="Times New Roman" w:eastAsia="仿宋" w:hAnsi="Times New Roman" w:cs="仿宋" w:hint="eastAsia"/>
        </w:rPr>
        <w:t>Introduction</w:t>
      </w:r>
      <w:r>
        <w:rPr>
          <w:rFonts w:ascii="仿宋" w:eastAsia="仿宋" w:hAnsi="仿宋" w:cs="仿宋" w:hint="eastAsia"/>
        </w:rPr>
        <w:t xml:space="preserve">, </w:t>
      </w:r>
      <w:r>
        <w:rPr>
          <w:rFonts w:ascii="Times New Roman" w:eastAsia="仿宋" w:hAnsi="Times New Roman" w:cs="仿宋" w:hint="eastAsia"/>
        </w:rPr>
        <w:t>Utah</w:t>
      </w:r>
      <w:r>
        <w:rPr>
          <w:rFonts w:ascii="仿宋" w:eastAsia="仿宋" w:hAnsi="仿宋" w:cs="仿宋" w:hint="eastAsia"/>
        </w:rPr>
        <w:t xml:space="preserve"> </w:t>
      </w:r>
      <w:r>
        <w:rPr>
          <w:rFonts w:ascii="Times New Roman" w:eastAsia="仿宋" w:hAnsi="Times New Roman" w:cs="仿宋" w:hint="eastAsia"/>
        </w:rPr>
        <w:t>Law</w:t>
      </w:r>
      <w:r>
        <w:rPr>
          <w:rFonts w:ascii="仿宋" w:eastAsia="仿宋" w:hAnsi="仿宋" w:cs="仿宋" w:hint="eastAsia"/>
        </w:rPr>
        <w:t xml:space="preserve"> </w:t>
      </w:r>
      <w:r>
        <w:rPr>
          <w:rFonts w:ascii="Times New Roman" w:eastAsia="仿宋" w:hAnsi="Times New Roman" w:cs="仿宋" w:hint="eastAsia"/>
        </w:rPr>
        <w:t>Review</w:t>
      </w:r>
      <w:r>
        <w:rPr>
          <w:rFonts w:ascii="仿宋" w:eastAsia="仿宋" w:hAnsi="仿宋" w:cs="仿宋" w:hint="eastAsia"/>
        </w:rPr>
        <w:t xml:space="preserve">, </w:t>
      </w:r>
      <w:r>
        <w:rPr>
          <w:rFonts w:ascii="Times New Roman" w:eastAsia="仿宋" w:hAnsi="Times New Roman" w:cs="仿宋" w:hint="eastAsia"/>
        </w:rPr>
        <w:t>Vol</w:t>
      </w:r>
      <w:r>
        <w:rPr>
          <w:rFonts w:ascii="仿宋" w:eastAsia="仿宋" w:hAnsi="仿宋" w:cs="仿宋" w:hint="eastAsia"/>
        </w:rPr>
        <w:t>.</w:t>
      </w:r>
      <w:r>
        <w:rPr>
          <w:rFonts w:ascii="Times New Roman" w:eastAsia="仿宋" w:hAnsi="Times New Roman" w:cs="仿宋" w:hint="eastAsia"/>
        </w:rPr>
        <w:t>2025</w:t>
      </w:r>
      <w:r>
        <w:rPr>
          <w:rFonts w:ascii="仿宋" w:eastAsia="仿宋" w:hAnsi="仿宋" w:cs="仿宋" w:hint="eastAsia"/>
        </w:rPr>
        <w:t xml:space="preserve">, </w:t>
      </w:r>
      <w:r>
        <w:rPr>
          <w:rFonts w:ascii="Times New Roman" w:eastAsia="仿宋" w:hAnsi="Times New Roman" w:cs="仿宋" w:hint="eastAsia"/>
        </w:rPr>
        <w:t>p</w:t>
      </w:r>
      <w:r>
        <w:rPr>
          <w:rFonts w:ascii="仿宋" w:eastAsia="仿宋" w:hAnsi="仿宋" w:cs="仿宋" w:hint="eastAsia"/>
        </w:rPr>
        <w:t>.</w:t>
      </w:r>
      <w:r>
        <w:rPr>
          <w:rFonts w:ascii="Times New Roman" w:eastAsia="仿宋" w:hAnsi="Times New Roman" w:cs="仿宋" w:hint="eastAsia"/>
        </w:rPr>
        <w:t>881</w:t>
      </w:r>
      <w:r>
        <w:rPr>
          <w:rFonts w:ascii="仿宋" w:eastAsia="仿宋" w:hAnsi="仿宋" w:cs="仿宋" w:hint="eastAsia"/>
        </w:rPr>
        <w:t>-</w:t>
      </w:r>
      <w:r>
        <w:rPr>
          <w:rFonts w:ascii="Times New Roman" w:eastAsia="仿宋" w:hAnsi="Times New Roman" w:cs="仿宋" w:hint="eastAsia"/>
        </w:rPr>
        <w:t>882</w:t>
      </w:r>
      <w:r>
        <w:rPr>
          <w:rFonts w:ascii="仿宋" w:eastAsia="仿宋" w:hAnsi="仿宋" w:cs="仿宋" w:hint="eastAsia"/>
        </w:rPr>
        <w:t xml:space="preserve"> (</w:t>
      </w:r>
      <w:r>
        <w:rPr>
          <w:rFonts w:ascii="Times New Roman" w:eastAsia="仿宋" w:hAnsi="Times New Roman" w:cs="仿宋" w:hint="eastAsia"/>
        </w:rPr>
        <w:t>2025</w:t>
      </w:r>
      <w:r>
        <w:rPr>
          <w:rFonts w:ascii="仿宋" w:eastAsia="仿宋" w:hAnsi="仿宋" w:cs="仿宋" w:hint="eastAsia"/>
        </w:rPr>
        <w:t>).</w:t>
      </w:r>
    </w:p>
  </w:footnote>
  <w:footnote w:id="3">
    <w:p w14:paraId="00BB1046" w14:textId="77777777" w:rsidR="00844F3D" w:rsidRDefault="00000000">
      <w:pPr>
        <w:pStyle w:val="a9"/>
        <w:ind w:firstLineChars="200" w:firstLine="360"/>
        <w:rPr>
          <w:rFonts w:ascii="仿宋" w:eastAsia="仿宋" w:hAnsi="仿宋" w:cs="仿宋" w:hint="eastAsia"/>
        </w:rPr>
      </w:pPr>
      <w:r>
        <w:rPr>
          <w:rStyle w:val="af0"/>
          <w:rFonts w:ascii="仿宋" w:eastAsia="仿宋" w:hAnsi="仿宋" w:cs="仿宋" w:hint="eastAsia"/>
        </w:rPr>
        <w:footnoteRef/>
      </w:r>
      <w:r>
        <w:rPr>
          <w:rFonts w:ascii="仿宋" w:eastAsia="仿宋" w:hAnsi="仿宋" w:cs="仿宋" w:hint="eastAsia"/>
        </w:rPr>
        <w:t xml:space="preserve"> 参见张光磊：《第三方诉讼融资：通往司法救济的商业化路径》，载《中国政法大学学报》</w:t>
      </w:r>
      <w:r>
        <w:rPr>
          <w:rFonts w:ascii="Times New Roman" w:eastAsia="仿宋" w:hAnsi="Times New Roman" w:cs="仿宋" w:hint="eastAsia"/>
        </w:rPr>
        <w:t>2016</w:t>
      </w:r>
      <w:r>
        <w:rPr>
          <w:rFonts w:ascii="仿宋" w:eastAsia="仿宋" w:hAnsi="仿宋" w:cs="仿宋" w:hint="eastAsia"/>
        </w:rPr>
        <w:t>年第</w:t>
      </w:r>
      <w:r>
        <w:rPr>
          <w:rFonts w:ascii="Times New Roman" w:eastAsia="仿宋" w:hAnsi="Times New Roman" w:cs="仿宋" w:hint="eastAsia"/>
        </w:rPr>
        <w:t>3</w:t>
      </w:r>
      <w:r>
        <w:rPr>
          <w:rFonts w:ascii="仿宋" w:eastAsia="仿宋" w:hAnsi="仿宋" w:cs="仿宋" w:hint="eastAsia"/>
        </w:rPr>
        <w:t>期。</w:t>
      </w:r>
    </w:p>
  </w:footnote>
  <w:footnote w:id="4">
    <w:p w14:paraId="236C02EE" w14:textId="77777777" w:rsidR="00844F3D" w:rsidRDefault="00000000">
      <w:pPr>
        <w:pStyle w:val="a9"/>
        <w:ind w:firstLineChars="200" w:firstLine="360"/>
        <w:rPr>
          <w:rFonts w:ascii="仿宋" w:eastAsia="仿宋" w:hAnsi="仿宋" w:cs="仿宋" w:hint="eastAsia"/>
        </w:rPr>
      </w:pPr>
      <w:r>
        <w:rPr>
          <w:rStyle w:val="af0"/>
          <w:rFonts w:ascii="仿宋" w:eastAsia="仿宋" w:hAnsi="仿宋" w:cs="仿宋" w:hint="eastAsia"/>
        </w:rPr>
        <w:footnoteRef/>
      </w:r>
      <w:r>
        <w:rPr>
          <w:rFonts w:ascii="仿宋" w:eastAsia="仿宋" w:hAnsi="仿宋" w:cs="仿宋" w:hint="eastAsia"/>
        </w:rPr>
        <w:t xml:space="preserve"> </w:t>
      </w:r>
      <w:r>
        <w:rPr>
          <w:rFonts w:ascii="Times New Roman" w:eastAsia="仿宋" w:hAnsi="Times New Roman" w:cs="仿宋" w:hint="eastAsia"/>
        </w:rPr>
        <w:t>See</w:t>
      </w:r>
      <w:r>
        <w:rPr>
          <w:rFonts w:ascii="仿宋" w:eastAsia="仿宋" w:hAnsi="仿宋" w:cs="仿宋" w:hint="eastAsia"/>
        </w:rPr>
        <w:t xml:space="preserve"> </w:t>
      </w:r>
      <w:r>
        <w:rPr>
          <w:rFonts w:ascii="Times New Roman" w:eastAsia="仿宋" w:hAnsi="Times New Roman" w:cs="仿宋" w:hint="eastAsia"/>
        </w:rPr>
        <w:t>Luther</w:t>
      </w:r>
      <w:r>
        <w:rPr>
          <w:rFonts w:ascii="仿宋" w:eastAsia="仿宋" w:hAnsi="仿宋" w:cs="仿宋" w:hint="eastAsia"/>
        </w:rPr>
        <w:t xml:space="preserve"> </w:t>
      </w:r>
      <w:r>
        <w:rPr>
          <w:rFonts w:ascii="Times New Roman" w:eastAsia="仿宋" w:hAnsi="Times New Roman" w:cs="仿宋" w:hint="eastAsia"/>
        </w:rPr>
        <w:t>Munford</w:t>
      </w:r>
      <w:r>
        <w:rPr>
          <w:rFonts w:ascii="仿宋" w:eastAsia="仿宋" w:hAnsi="仿宋" w:cs="仿宋" w:hint="eastAsia"/>
        </w:rPr>
        <w:t xml:space="preserve">, </w:t>
      </w:r>
      <w:r>
        <w:rPr>
          <w:rFonts w:ascii="Times New Roman" w:eastAsia="仿宋" w:hAnsi="Times New Roman" w:cs="仿宋" w:hint="eastAsia"/>
          <w:i/>
          <w:iCs/>
        </w:rPr>
        <w:t>What</w:t>
      </w:r>
      <w:r>
        <w:rPr>
          <w:rFonts w:ascii="仿宋" w:eastAsia="仿宋" w:hAnsi="仿宋" w:cs="仿宋" w:hint="eastAsia"/>
          <w:i/>
          <w:iCs/>
        </w:rPr>
        <w:t>'</w:t>
      </w:r>
      <w:r>
        <w:rPr>
          <w:rFonts w:ascii="Times New Roman" w:eastAsia="仿宋" w:hAnsi="Times New Roman" w:cs="仿宋" w:hint="eastAsia"/>
          <w:i/>
          <w:iCs/>
        </w:rPr>
        <w:t>s</w:t>
      </w:r>
      <w:r>
        <w:rPr>
          <w:rFonts w:ascii="仿宋" w:eastAsia="仿宋" w:hAnsi="仿宋" w:cs="仿宋" w:hint="eastAsia"/>
          <w:i/>
          <w:iCs/>
        </w:rPr>
        <w:t xml:space="preserve"> </w:t>
      </w:r>
      <w:r>
        <w:rPr>
          <w:rFonts w:ascii="Times New Roman" w:eastAsia="仿宋" w:hAnsi="Times New Roman" w:cs="仿宋" w:hint="eastAsia"/>
          <w:i/>
          <w:iCs/>
        </w:rPr>
        <w:t>Wrong</w:t>
      </w:r>
      <w:r>
        <w:rPr>
          <w:rFonts w:ascii="仿宋" w:eastAsia="仿宋" w:hAnsi="仿宋" w:cs="仿宋" w:hint="eastAsia"/>
          <w:i/>
          <w:iCs/>
        </w:rPr>
        <w:t xml:space="preserve"> </w:t>
      </w:r>
      <w:r>
        <w:rPr>
          <w:rFonts w:ascii="Times New Roman" w:eastAsia="仿宋" w:hAnsi="Times New Roman" w:cs="仿宋" w:hint="eastAsia"/>
          <w:i/>
          <w:iCs/>
        </w:rPr>
        <w:t>with</w:t>
      </w:r>
      <w:r>
        <w:rPr>
          <w:rFonts w:ascii="仿宋" w:eastAsia="仿宋" w:hAnsi="仿宋" w:cs="仿宋" w:hint="eastAsia"/>
          <w:i/>
          <w:iCs/>
        </w:rPr>
        <w:t xml:space="preserve"> </w:t>
      </w:r>
      <w:r>
        <w:rPr>
          <w:rFonts w:ascii="Times New Roman" w:eastAsia="仿宋" w:hAnsi="Times New Roman" w:cs="仿宋" w:hint="eastAsia"/>
          <w:i/>
          <w:iCs/>
        </w:rPr>
        <w:t>Third</w:t>
      </w:r>
      <w:r>
        <w:rPr>
          <w:rFonts w:ascii="仿宋" w:eastAsia="仿宋" w:hAnsi="仿宋" w:cs="仿宋" w:hint="eastAsia"/>
          <w:i/>
          <w:iCs/>
        </w:rPr>
        <w:t>-</w:t>
      </w:r>
      <w:r>
        <w:rPr>
          <w:rFonts w:ascii="Times New Roman" w:eastAsia="仿宋" w:hAnsi="Times New Roman" w:cs="仿宋" w:hint="eastAsia"/>
          <w:i/>
          <w:iCs/>
        </w:rPr>
        <w:t>Party</w:t>
      </w:r>
      <w:r>
        <w:rPr>
          <w:rFonts w:ascii="仿宋" w:eastAsia="仿宋" w:hAnsi="仿宋" w:cs="仿宋" w:hint="eastAsia"/>
          <w:i/>
          <w:iCs/>
        </w:rPr>
        <w:t xml:space="preserve"> </w:t>
      </w:r>
      <w:r>
        <w:rPr>
          <w:rFonts w:ascii="Times New Roman" w:eastAsia="仿宋" w:hAnsi="Times New Roman" w:cs="仿宋" w:hint="eastAsia"/>
          <w:i/>
          <w:iCs/>
        </w:rPr>
        <w:t>Litigation</w:t>
      </w:r>
      <w:r>
        <w:rPr>
          <w:rFonts w:ascii="仿宋" w:eastAsia="仿宋" w:hAnsi="仿宋" w:cs="仿宋" w:hint="eastAsia"/>
          <w:i/>
          <w:iCs/>
        </w:rPr>
        <w:t xml:space="preserve"> </w:t>
      </w:r>
      <w:r>
        <w:rPr>
          <w:rFonts w:ascii="Times New Roman" w:eastAsia="仿宋" w:hAnsi="Times New Roman" w:cs="仿宋" w:hint="eastAsia"/>
          <w:i/>
          <w:iCs/>
        </w:rPr>
        <w:t>Funding</w:t>
      </w:r>
      <w:r>
        <w:rPr>
          <w:rFonts w:ascii="仿宋" w:eastAsia="仿宋" w:hAnsi="仿宋" w:cs="仿宋" w:hint="eastAsia"/>
          <w:i/>
          <w:iCs/>
        </w:rPr>
        <w:t>?</w:t>
      </w:r>
      <w:r>
        <w:rPr>
          <w:rFonts w:ascii="仿宋" w:eastAsia="仿宋" w:hAnsi="仿宋" w:cs="仿宋" w:hint="eastAsia"/>
        </w:rPr>
        <w:t xml:space="preserve">, </w:t>
      </w:r>
      <w:r>
        <w:rPr>
          <w:rFonts w:ascii="Times New Roman" w:eastAsia="仿宋" w:hAnsi="Times New Roman" w:cs="仿宋" w:hint="eastAsia"/>
        </w:rPr>
        <w:t>Green</w:t>
      </w:r>
      <w:r>
        <w:rPr>
          <w:rFonts w:ascii="仿宋" w:eastAsia="仿宋" w:hAnsi="仿宋" w:cs="仿宋" w:hint="eastAsia"/>
        </w:rPr>
        <w:t xml:space="preserve"> </w:t>
      </w:r>
      <w:r>
        <w:rPr>
          <w:rFonts w:ascii="Times New Roman" w:eastAsia="仿宋" w:hAnsi="Times New Roman" w:cs="仿宋" w:hint="eastAsia"/>
        </w:rPr>
        <w:t>Bag</w:t>
      </w:r>
      <w:r>
        <w:rPr>
          <w:rFonts w:ascii="仿宋" w:eastAsia="仿宋" w:hAnsi="仿宋" w:cs="仿宋" w:hint="eastAsia"/>
        </w:rPr>
        <w:t xml:space="preserve">: </w:t>
      </w:r>
      <w:r>
        <w:rPr>
          <w:rFonts w:ascii="Times New Roman" w:eastAsia="仿宋" w:hAnsi="Times New Roman" w:cs="仿宋" w:hint="eastAsia"/>
        </w:rPr>
        <w:t>An</w:t>
      </w:r>
      <w:r>
        <w:rPr>
          <w:rFonts w:ascii="仿宋" w:eastAsia="仿宋" w:hAnsi="仿宋" w:cs="仿宋" w:hint="eastAsia"/>
        </w:rPr>
        <w:t xml:space="preserve"> </w:t>
      </w:r>
      <w:r>
        <w:rPr>
          <w:rFonts w:ascii="Times New Roman" w:eastAsia="仿宋" w:hAnsi="Times New Roman" w:cs="仿宋" w:hint="eastAsia"/>
        </w:rPr>
        <w:t>Entertaining</w:t>
      </w:r>
      <w:r>
        <w:rPr>
          <w:rFonts w:ascii="仿宋" w:eastAsia="仿宋" w:hAnsi="仿宋" w:cs="仿宋" w:hint="eastAsia"/>
        </w:rPr>
        <w:t xml:space="preserve"> </w:t>
      </w:r>
      <w:r>
        <w:rPr>
          <w:rFonts w:ascii="Times New Roman" w:eastAsia="仿宋" w:hAnsi="Times New Roman" w:cs="仿宋" w:hint="eastAsia"/>
        </w:rPr>
        <w:t>Journal</w:t>
      </w:r>
      <w:r>
        <w:rPr>
          <w:rFonts w:ascii="仿宋" w:eastAsia="仿宋" w:hAnsi="仿宋" w:cs="仿宋" w:hint="eastAsia"/>
        </w:rPr>
        <w:t xml:space="preserve"> </w:t>
      </w:r>
      <w:r>
        <w:rPr>
          <w:rFonts w:ascii="Times New Roman" w:eastAsia="仿宋" w:hAnsi="Times New Roman" w:cs="仿宋" w:hint="eastAsia"/>
        </w:rPr>
        <w:t>of</w:t>
      </w:r>
      <w:r>
        <w:rPr>
          <w:rFonts w:ascii="仿宋" w:eastAsia="仿宋" w:hAnsi="仿宋" w:cs="仿宋" w:hint="eastAsia"/>
        </w:rPr>
        <w:t xml:space="preserve"> </w:t>
      </w:r>
      <w:r>
        <w:rPr>
          <w:rFonts w:ascii="Times New Roman" w:eastAsia="仿宋" w:hAnsi="Times New Roman" w:cs="仿宋" w:hint="eastAsia"/>
        </w:rPr>
        <w:t>Law</w:t>
      </w:r>
      <w:r>
        <w:rPr>
          <w:rFonts w:ascii="仿宋" w:eastAsia="仿宋" w:hAnsi="仿宋" w:cs="仿宋" w:hint="eastAsia"/>
        </w:rPr>
        <w:t xml:space="preserve"> (</w:t>
      </w:r>
      <w:r>
        <w:rPr>
          <w:rFonts w:ascii="Times New Roman" w:eastAsia="仿宋" w:hAnsi="Times New Roman" w:cs="仿宋" w:hint="eastAsia"/>
        </w:rPr>
        <w:t>Second</w:t>
      </w:r>
      <w:r>
        <w:rPr>
          <w:rFonts w:ascii="仿宋" w:eastAsia="仿宋" w:hAnsi="仿宋" w:cs="仿宋" w:hint="eastAsia"/>
        </w:rPr>
        <w:t xml:space="preserve"> </w:t>
      </w:r>
      <w:r>
        <w:rPr>
          <w:rFonts w:ascii="Times New Roman" w:eastAsia="仿宋" w:hAnsi="Times New Roman" w:cs="仿宋" w:hint="eastAsia"/>
        </w:rPr>
        <w:t>Series</w:t>
      </w:r>
      <w:r>
        <w:rPr>
          <w:rFonts w:ascii="仿宋" w:eastAsia="仿宋" w:hAnsi="仿宋" w:cs="仿宋" w:hint="eastAsia"/>
        </w:rPr>
        <w:t xml:space="preserve">), </w:t>
      </w:r>
      <w:r>
        <w:rPr>
          <w:rFonts w:ascii="Times New Roman" w:eastAsia="仿宋" w:hAnsi="Times New Roman" w:cs="仿宋" w:hint="eastAsia"/>
        </w:rPr>
        <w:t>Vol</w:t>
      </w:r>
      <w:r>
        <w:rPr>
          <w:rFonts w:ascii="仿宋" w:eastAsia="仿宋" w:hAnsi="仿宋" w:cs="仿宋" w:hint="eastAsia"/>
        </w:rPr>
        <w:t>.</w:t>
      </w:r>
      <w:r>
        <w:rPr>
          <w:rFonts w:ascii="Times New Roman" w:eastAsia="仿宋" w:hAnsi="Times New Roman" w:cs="仿宋" w:hint="eastAsia"/>
        </w:rPr>
        <w:t>25</w:t>
      </w:r>
      <w:r>
        <w:rPr>
          <w:rFonts w:ascii="仿宋" w:eastAsia="仿宋" w:hAnsi="仿宋" w:cs="仿宋" w:hint="eastAsia"/>
        </w:rPr>
        <w:t xml:space="preserve">, </w:t>
      </w:r>
      <w:r>
        <w:rPr>
          <w:rFonts w:ascii="Times New Roman" w:eastAsia="仿宋" w:hAnsi="Times New Roman" w:cs="仿宋" w:hint="eastAsia"/>
        </w:rPr>
        <w:t>p</w:t>
      </w:r>
      <w:r>
        <w:rPr>
          <w:rFonts w:ascii="仿宋" w:eastAsia="仿宋" w:hAnsi="仿宋" w:cs="仿宋" w:hint="eastAsia"/>
        </w:rPr>
        <w:t>.</w:t>
      </w:r>
      <w:r>
        <w:rPr>
          <w:rFonts w:ascii="Times New Roman" w:eastAsia="仿宋" w:hAnsi="Times New Roman" w:cs="仿宋" w:hint="eastAsia"/>
        </w:rPr>
        <w:t>111</w:t>
      </w:r>
      <w:r>
        <w:rPr>
          <w:rFonts w:ascii="仿宋" w:eastAsia="仿宋" w:hAnsi="仿宋" w:cs="仿宋" w:hint="eastAsia"/>
        </w:rPr>
        <w:t xml:space="preserve"> (</w:t>
      </w:r>
      <w:r>
        <w:rPr>
          <w:rFonts w:ascii="Times New Roman" w:eastAsia="仿宋" w:hAnsi="Times New Roman" w:cs="仿宋" w:hint="eastAsia"/>
        </w:rPr>
        <w:t>Winter</w:t>
      </w:r>
      <w:r>
        <w:rPr>
          <w:rFonts w:ascii="仿宋" w:eastAsia="仿宋" w:hAnsi="仿宋" w:cs="仿宋" w:hint="eastAsia"/>
        </w:rPr>
        <w:t xml:space="preserve"> </w:t>
      </w:r>
      <w:r>
        <w:rPr>
          <w:rFonts w:ascii="Times New Roman" w:eastAsia="仿宋" w:hAnsi="Times New Roman" w:cs="仿宋" w:hint="eastAsia"/>
        </w:rPr>
        <w:t>2022</w:t>
      </w:r>
      <w:r>
        <w:rPr>
          <w:rFonts w:ascii="仿宋" w:eastAsia="仿宋" w:hAnsi="仿宋" w:cs="仿宋" w:hint="eastAsia"/>
        </w:rPr>
        <w:t>).</w:t>
      </w:r>
    </w:p>
  </w:footnote>
  <w:footnote w:id="5">
    <w:p w14:paraId="01B93277" w14:textId="77777777" w:rsidR="00844F3D" w:rsidRDefault="00000000">
      <w:pPr>
        <w:pStyle w:val="a9"/>
        <w:ind w:firstLineChars="200" w:firstLine="360"/>
        <w:rPr>
          <w:rFonts w:ascii="仿宋" w:eastAsia="仿宋" w:hAnsi="仿宋" w:cs="仿宋" w:hint="eastAsia"/>
        </w:rPr>
      </w:pPr>
      <w:r>
        <w:rPr>
          <w:rStyle w:val="af0"/>
          <w:rFonts w:hint="eastAsia"/>
        </w:rPr>
        <w:footnoteRef/>
      </w:r>
      <w:r>
        <w:rPr>
          <w:rFonts w:ascii="仿宋" w:eastAsia="仿宋" w:hAnsi="仿宋" w:cs="仿宋" w:hint="eastAsia"/>
        </w:rPr>
        <w:t xml:space="preserve"> </w:t>
      </w:r>
      <w:r>
        <w:rPr>
          <w:rFonts w:ascii="Times New Roman" w:eastAsia="仿宋" w:hAnsi="Times New Roman" w:cs="仿宋" w:hint="eastAsia"/>
        </w:rPr>
        <w:t>See</w:t>
      </w:r>
      <w:r>
        <w:rPr>
          <w:rFonts w:ascii="仿宋" w:eastAsia="仿宋" w:hAnsi="仿宋" w:cs="仿宋" w:hint="eastAsia"/>
        </w:rPr>
        <w:t xml:space="preserve"> </w:t>
      </w:r>
      <w:r>
        <w:rPr>
          <w:rFonts w:ascii="Times New Roman" w:eastAsia="仿宋" w:hAnsi="Times New Roman" w:cs="仿宋" w:hint="eastAsia"/>
        </w:rPr>
        <w:t>Joseph</w:t>
      </w:r>
      <w:r>
        <w:rPr>
          <w:rFonts w:ascii="仿宋" w:eastAsia="仿宋" w:hAnsi="仿宋" w:cs="仿宋" w:hint="eastAsia"/>
        </w:rPr>
        <w:t xml:space="preserve"> </w:t>
      </w:r>
      <w:r>
        <w:rPr>
          <w:rFonts w:ascii="Times New Roman" w:eastAsia="仿宋" w:hAnsi="Times New Roman" w:cs="仿宋" w:hint="eastAsia"/>
        </w:rPr>
        <w:t>J</w:t>
      </w:r>
      <w:r>
        <w:rPr>
          <w:rFonts w:ascii="仿宋" w:eastAsia="仿宋" w:hAnsi="仿宋" w:cs="仿宋" w:hint="eastAsia"/>
        </w:rPr>
        <w:t xml:space="preserve">. </w:t>
      </w:r>
      <w:r>
        <w:rPr>
          <w:rFonts w:ascii="Times New Roman" w:eastAsia="仿宋" w:hAnsi="Times New Roman" w:cs="仿宋" w:hint="eastAsia"/>
        </w:rPr>
        <w:t>Stroble</w:t>
      </w:r>
      <w:r>
        <w:rPr>
          <w:rFonts w:ascii="仿宋" w:eastAsia="仿宋" w:hAnsi="仿宋" w:cs="仿宋" w:hint="eastAsia"/>
        </w:rPr>
        <w:t xml:space="preserve"> </w:t>
      </w:r>
      <w:r>
        <w:rPr>
          <w:rFonts w:ascii="Times New Roman" w:eastAsia="仿宋" w:hAnsi="Times New Roman" w:cs="仿宋" w:hint="eastAsia"/>
        </w:rPr>
        <w:t>and</w:t>
      </w:r>
      <w:r>
        <w:rPr>
          <w:rFonts w:ascii="仿宋" w:eastAsia="仿宋" w:hAnsi="仿宋" w:cs="仿宋" w:hint="eastAsia"/>
        </w:rPr>
        <w:t xml:space="preserve"> </w:t>
      </w:r>
      <w:r>
        <w:rPr>
          <w:rFonts w:ascii="Times New Roman" w:eastAsia="仿宋" w:hAnsi="Times New Roman" w:cs="仿宋" w:hint="eastAsia"/>
        </w:rPr>
        <w:t>Laura</w:t>
      </w:r>
      <w:r>
        <w:rPr>
          <w:rFonts w:ascii="仿宋" w:eastAsia="仿宋" w:hAnsi="仿宋" w:cs="仿宋" w:hint="eastAsia"/>
        </w:rPr>
        <w:t xml:space="preserve"> </w:t>
      </w:r>
      <w:r>
        <w:rPr>
          <w:rFonts w:ascii="Times New Roman" w:eastAsia="仿宋" w:hAnsi="Times New Roman" w:cs="仿宋" w:hint="eastAsia"/>
        </w:rPr>
        <w:t>Welikson</w:t>
      </w:r>
      <w:r>
        <w:rPr>
          <w:rFonts w:ascii="仿宋" w:eastAsia="仿宋" w:hAnsi="仿宋" w:cs="仿宋" w:hint="eastAsia"/>
        </w:rPr>
        <w:t xml:space="preserve">, </w:t>
      </w:r>
      <w:r>
        <w:rPr>
          <w:rFonts w:ascii="Times New Roman" w:eastAsia="仿宋" w:hAnsi="Times New Roman" w:cs="仿宋" w:hint="eastAsia"/>
          <w:i/>
          <w:iCs/>
        </w:rPr>
        <w:t>Third</w:t>
      </w:r>
      <w:r>
        <w:rPr>
          <w:rFonts w:ascii="仿宋" w:eastAsia="仿宋" w:hAnsi="仿宋" w:cs="仿宋" w:hint="eastAsia"/>
          <w:i/>
          <w:iCs/>
        </w:rPr>
        <w:t>-</w:t>
      </w:r>
      <w:r>
        <w:rPr>
          <w:rFonts w:ascii="Times New Roman" w:eastAsia="仿宋" w:hAnsi="Times New Roman" w:cs="仿宋" w:hint="eastAsia"/>
          <w:i/>
          <w:iCs/>
        </w:rPr>
        <w:t>Party</w:t>
      </w:r>
      <w:r>
        <w:rPr>
          <w:rFonts w:ascii="仿宋" w:eastAsia="仿宋" w:hAnsi="仿宋" w:cs="仿宋" w:hint="eastAsia"/>
          <w:i/>
          <w:iCs/>
        </w:rPr>
        <w:t xml:space="preserve"> </w:t>
      </w:r>
      <w:r>
        <w:rPr>
          <w:rFonts w:ascii="Times New Roman" w:eastAsia="仿宋" w:hAnsi="Times New Roman" w:cs="仿宋" w:hint="eastAsia"/>
          <w:i/>
          <w:iCs/>
        </w:rPr>
        <w:t>Litigation</w:t>
      </w:r>
      <w:r>
        <w:rPr>
          <w:rFonts w:ascii="仿宋" w:eastAsia="仿宋" w:hAnsi="仿宋" w:cs="仿宋" w:hint="eastAsia"/>
          <w:i/>
          <w:iCs/>
        </w:rPr>
        <w:t xml:space="preserve"> </w:t>
      </w:r>
      <w:r>
        <w:rPr>
          <w:rFonts w:ascii="Times New Roman" w:eastAsia="仿宋" w:hAnsi="Times New Roman" w:cs="仿宋" w:hint="eastAsia"/>
          <w:i/>
          <w:iCs/>
        </w:rPr>
        <w:t>Funding</w:t>
      </w:r>
      <w:r>
        <w:rPr>
          <w:rFonts w:ascii="仿宋" w:eastAsia="仿宋" w:hAnsi="仿宋" w:cs="仿宋" w:hint="eastAsia"/>
          <w:i/>
          <w:iCs/>
        </w:rPr>
        <w:t xml:space="preserve">: </w:t>
      </w:r>
      <w:r>
        <w:rPr>
          <w:rFonts w:ascii="Times New Roman" w:eastAsia="仿宋" w:hAnsi="Times New Roman" w:cs="仿宋" w:hint="eastAsia"/>
          <w:i/>
          <w:iCs/>
        </w:rPr>
        <w:t>A</w:t>
      </w:r>
      <w:r>
        <w:rPr>
          <w:rFonts w:ascii="仿宋" w:eastAsia="仿宋" w:hAnsi="仿宋" w:cs="仿宋" w:hint="eastAsia"/>
          <w:i/>
          <w:iCs/>
        </w:rPr>
        <w:t xml:space="preserve"> </w:t>
      </w:r>
      <w:r>
        <w:rPr>
          <w:rFonts w:ascii="Times New Roman" w:eastAsia="仿宋" w:hAnsi="Times New Roman" w:cs="仿宋" w:hint="eastAsia"/>
          <w:i/>
          <w:iCs/>
        </w:rPr>
        <w:t>Review</w:t>
      </w:r>
      <w:r>
        <w:rPr>
          <w:rFonts w:ascii="仿宋" w:eastAsia="仿宋" w:hAnsi="仿宋" w:cs="仿宋" w:hint="eastAsia"/>
          <w:i/>
          <w:iCs/>
        </w:rPr>
        <w:t xml:space="preserve"> </w:t>
      </w:r>
      <w:r>
        <w:rPr>
          <w:rFonts w:ascii="Times New Roman" w:eastAsia="仿宋" w:hAnsi="Times New Roman" w:cs="仿宋" w:hint="eastAsia"/>
          <w:i/>
          <w:iCs/>
        </w:rPr>
        <w:t>of</w:t>
      </w:r>
      <w:r>
        <w:rPr>
          <w:rFonts w:ascii="仿宋" w:eastAsia="仿宋" w:hAnsi="仿宋" w:cs="仿宋" w:hint="eastAsia"/>
          <w:i/>
          <w:iCs/>
        </w:rPr>
        <w:t xml:space="preserve"> </w:t>
      </w:r>
      <w:r>
        <w:rPr>
          <w:rFonts w:ascii="Times New Roman" w:eastAsia="仿宋" w:hAnsi="Times New Roman" w:cs="仿宋" w:hint="eastAsia"/>
          <w:i/>
          <w:iCs/>
        </w:rPr>
        <w:t>Recent</w:t>
      </w:r>
      <w:r>
        <w:rPr>
          <w:rFonts w:ascii="仿宋" w:eastAsia="仿宋" w:hAnsi="仿宋" w:cs="仿宋" w:hint="eastAsia"/>
          <w:i/>
          <w:iCs/>
        </w:rPr>
        <w:t xml:space="preserve"> </w:t>
      </w:r>
      <w:r>
        <w:rPr>
          <w:rFonts w:ascii="Times New Roman" w:eastAsia="仿宋" w:hAnsi="Times New Roman" w:cs="仿宋" w:hint="eastAsia"/>
          <w:i/>
          <w:iCs/>
        </w:rPr>
        <w:t>Industry</w:t>
      </w:r>
      <w:r>
        <w:rPr>
          <w:rFonts w:ascii="仿宋" w:eastAsia="仿宋" w:hAnsi="仿宋" w:cs="仿宋" w:hint="eastAsia"/>
          <w:i/>
          <w:iCs/>
        </w:rPr>
        <w:t xml:space="preserve"> </w:t>
      </w:r>
      <w:r>
        <w:rPr>
          <w:rFonts w:ascii="Times New Roman" w:eastAsia="仿宋" w:hAnsi="Times New Roman" w:cs="仿宋" w:hint="eastAsia"/>
          <w:i/>
          <w:iCs/>
        </w:rPr>
        <w:t>Developments</w:t>
      </w:r>
      <w:r>
        <w:rPr>
          <w:rFonts w:ascii="仿宋" w:eastAsia="仿宋" w:hAnsi="仿宋" w:cs="仿宋" w:hint="eastAsia"/>
        </w:rPr>
        <w:t xml:space="preserve">, </w:t>
      </w:r>
      <w:r>
        <w:rPr>
          <w:rFonts w:ascii="Times New Roman" w:eastAsia="仿宋" w:hAnsi="Times New Roman" w:cs="仿宋" w:hint="eastAsia"/>
        </w:rPr>
        <w:t>Defense</w:t>
      </w:r>
      <w:r>
        <w:rPr>
          <w:rFonts w:ascii="仿宋" w:eastAsia="仿宋" w:hAnsi="仿宋" w:cs="仿宋" w:hint="eastAsia"/>
        </w:rPr>
        <w:t xml:space="preserve"> </w:t>
      </w:r>
      <w:r>
        <w:rPr>
          <w:rFonts w:ascii="Times New Roman" w:eastAsia="仿宋" w:hAnsi="Times New Roman" w:cs="仿宋" w:hint="eastAsia"/>
        </w:rPr>
        <w:t>Counsel</w:t>
      </w:r>
      <w:r>
        <w:rPr>
          <w:rFonts w:ascii="仿宋" w:eastAsia="仿宋" w:hAnsi="仿宋" w:cs="仿宋" w:hint="eastAsia"/>
        </w:rPr>
        <w:t xml:space="preserve"> </w:t>
      </w:r>
      <w:r>
        <w:rPr>
          <w:rFonts w:ascii="Times New Roman" w:eastAsia="仿宋" w:hAnsi="Times New Roman" w:cs="仿宋" w:hint="eastAsia"/>
        </w:rPr>
        <w:t>Journal</w:t>
      </w:r>
      <w:r>
        <w:rPr>
          <w:rFonts w:ascii="仿宋" w:eastAsia="仿宋" w:hAnsi="仿宋" w:cs="仿宋" w:hint="eastAsia"/>
        </w:rPr>
        <w:t xml:space="preserve">, </w:t>
      </w:r>
      <w:r>
        <w:rPr>
          <w:rFonts w:ascii="Times New Roman" w:eastAsia="仿宋" w:hAnsi="Times New Roman" w:cs="仿宋" w:hint="eastAsia"/>
        </w:rPr>
        <w:t>Vol</w:t>
      </w:r>
      <w:r>
        <w:rPr>
          <w:rFonts w:ascii="仿宋" w:eastAsia="仿宋" w:hAnsi="仿宋" w:cs="仿宋" w:hint="eastAsia"/>
        </w:rPr>
        <w:t>.</w:t>
      </w:r>
      <w:r>
        <w:rPr>
          <w:rFonts w:ascii="Times New Roman" w:eastAsia="仿宋" w:hAnsi="Times New Roman" w:cs="仿宋" w:hint="eastAsia"/>
        </w:rPr>
        <w:t>87</w:t>
      </w:r>
      <w:r>
        <w:rPr>
          <w:rFonts w:ascii="仿宋" w:eastAsia="仿宋" w:hAnsi="仿宋" w:cs="仿宋" w:hint="eastAsia"/>
        </w:rPr>
        <w:t xml:space="preserve">, </w:t>
      </w:r>
      <w:r>
        <w:rPr>
          <w:rFonts w:ascii="Times New Roman" w:eastAsia="仿宋" w:hAnsi="Times New Roman" w:cs="仿宋" w:hint="eastAsia"/>
        </w:rPr>
        <w:t>p</w:t>
      </w:r>
      <w:r>
        <w:rPr>
          <w:rFonts w:ascii="仿宋" w:eastAsia="仿宋" w:hAnsi="仿宋" w:cs="仿宋" w:hint="eastAsia"/>
        </w:rPr>
        <w:t>.</w:t>
      </w:r>
      <w:r>
        <w:rPr>
          <w:rFonts w:ascii="Times New Roman" w:eastAsia="仿宋" w:hAnsi="Times New Roman" w:cs="仿宋" w:hint="eastAsia"/>
        </w:rPr>
        <w:t>2</w:t>
      </w:r>
      <w:r>
        <w:rPr>
          <w:rFonts w:ascii="仿宋" w:eastAsia="仿宋" w:hAnsi="仿宋" w:cs="仿宋" w:hint="eastAsia"/>
        </w:rPr>
        <w:t>-</w:t>
      </w:r>
      <w:r>
        <w:rPr>
          <w:rFonts w:ascii="Times New Roman" w:eastAsia="仿宋" w:hAnsi="Times New Roman" w:cs="仿宋" w:hint="eastAsia"/>
        </w:rPr>
        <w:t>3</w:t>
      </w:r>
      <w:r>
        <w:rPr>
          <w:rFonts w:ascii="仿宋" w:eastAsia="仿宋" w:hAnsi="仿宋" w:cs="仿宋" w:hint="eastAsia"/>
        </w:rPr>
        <w:t xml:space="preserve"> (</w:t>
      </w:r>
      <w:r>
        <w:rPr>
          <w:rFonts w:ascii="Times New Roman" w:eastAsia="仿宋" w:hAnsi="Times New Roman" w:cs="仿宋" w:hint="eastAsia"/>
        </w:rPr>
        <w:t>January</w:t>
      </w:r>
      <w:r>
        <w:rPr>
          <w:rFonts w:ascii="仿宋" w:eastAsia="仿宋" w:hAnsi="仿宋" w:cs="仿宋" w:hint="eastAsia"/>
        </w:rPr>
        <w:t xml:space="preserve"> </w:t>
      </w:r>
      <w:r>
        <w:rPr>
          <w:rFonts w:ascii="Times New Roman" w:eastAsia="仿宋" w:hAnsi="Times New Roman" w:cs="仿宋" w:hint="eastAsia"/>
        </w:rPr>
        <w:t>2020</w:t>
      </w:r>
      <w:r>
        <w:rPr>
          <w:rFonts w:ascii="仿宋" w:eastAsia="仿宋" w:hAnsi="仿宋" w:cs="仿宋" w:hint="eastAsia"/>
        </w:rPr>
        <w:t>).</w:t>
      </w:r>
    </w:p>
  </w:footnote>
  <w:footnote w:id="6">
    <w:p w14:paraId="38D1C195" w14:textId="77777777" w:rsidR="00844F3D" w:rsidRDefault="00000000">
      <w:pPr>
        <w:pStyle w:val="a9"/>
        <w:ind w:firstLineChars="200" w:firstLine="360"/>
        <w:rPr>
          <w:rFonts w:ascii="仿宋" w:eastAsia="仿宋" w:hAnsi="仿宋" w:cs="仿宋" w:hint="eastAsia"/>
        </w:rPr>
      </w:pPr>
      <w:r>
        <w:rPr>
          <w:rStyle w:val="af0"/>
          <w:rFonts w:ascii="仿宋" w:eastAsia="仿宋" w:hAnsi="仿宋" w:cs="仿宋" w:hint="eastAsia"/>
        </w:rPr>
        <w:footnoteRef/>
      </w:r>
      <w:r>
        <w:rPr>
          <w:rFonts w:ascii="仿宋" w:eastAsia="仿宋" w:hAnsi="仿宋" w:cs="仿宋" w:hint="eastAsia"/>
        </w:rPr>
        <w:t xml:space="preserve"> 参见刘晓欣、刘骏民：《虚拟经济的运行方式、本质及其理论的政策含义——马克思逻辑的历史延伸》，载《学术月刊》</w:t>
      </w:r>
      <w:r>
        <w:rPr>
          <w:rFonts w:ascii="Times New Roman" w:eastAsia="仿宋" w:hAnsi="Times New Roman" w:cs="仿宋" w:hint="eastAsia"/>
        </w:rPr>
        <w:t>2020</w:t>
      </w:r>
      <w:r>
        <w:rPr>
          <w:rFonts w:ascii="仿宋" w:eastAsia="仿宋" w:hAnsi="仿宋" w:cs="仿宋" w:hint="eastAsia"/>
        </w:rPr>
        <w:t>年第</w:t>
      </w:r>
      <w:r>
        <w:rPr>
          <w:rFonts w:ascii="Times New Roman" w:eastAsia="仿宋" w:hAnsi="Times New Roman" w:cs="仿宋" w:hint="eastAsia"/>
        </w:rPr>
        <w:t>12</w:t>
      </w:r>
      <w:r>
        <w:rPr>
          <w:rFonts w:ascii="仿宋" w:eastAsia="仿宋" w:hAnsi="仿宋" w:cs="仿宋" w:hint="eastAsia"/>
        </w:rPr>
        <w:t>期。</w:t>
      </w:r>
    </w:p>
  </w:footnote>
  <w:footnote w:id="7">
    <w:p w14:paraId="61FC31C1" w14:textId="77777777" w:rsidR="00844F3D" w:rsidRDefault="00000000">
      <w:pPr>
        <w:pStyle w:val="a9"/>
        <w:ind w:firstLineChars="200" w:firstLine="360"/>
        <w:rPr>
          <w:rFonts w:ascii="仿宋" w:eastAsia="仿宋" w:hAnsi="仿宋" w:cs="仿宋" w:hint="eastAsia"/>
        </w:rPr>
      </w:pPr>
      <w:r>
        <w:rPr>
          <w:rStyle w:val="af0"/>
          <w:rFonts w:ascii="仿宋" w:eastAsia="仿宋" w:hAnsi="仿宋" w:cs="仿宋" w:hint="eastAsia"/>
        </w:rPr>
        <w:footnoteRef/>
      </w:r>
      <w:r>
        <w:rPr>
          <w:rFonts w:ascii="仿宋" w:eastAsia="仿宋" w:hAnsi="仿宋" w:cs="仿宋" w:hint="eastAsia"/>
        </w:rPr>
        <w:t xml:space="preserve"> 参见李定邦、何伟：《评我国诉讼融资第一案——道阻且长的中国式诉讼融资》，载微信公众号“德恒律师事务所”，</w:t>
      </w:r>
      <w:r>
        <w:rPr>
          <w:rFonts w:ascii="Times New Roman" w:eastAsia="仿宋" w:hAnsi="Times New Roman" w:cs="仿宋" w:hint="eastAsia"/>
        </w:rPr>
        <w:t>2023</w:t>
      </w:r>
      <w:r>
        <w:rPr>
          <w:rFonts w:ascii="仿宋" w:eastAsia="仿宋" w:hAnsi="仿宋" w:cs="仿宋" w:hint="eastAsia"/>
        </w:rPr>
        <w:t>年</w:t>
      </w:r>
      <w:r>
        <w:rPr>
          <w:rFonts w:ascii="Times New Roman" w:eastAsia="仿宋" w:hAnsi="Times New Roman" w:cs="仿宋" w:hint="eastAsia"/>
        </w:rPr>
        <w:t>3</w:t>
      </w:r>
      <w:r>
        <w:rPr>
          <w:rFonts w:ascii="仿宋" w:eastAsia="仿宋" w:hAnsi="仿宋" w:cs="仿宋" w:hint="eastAsia"/>
        </w:rPr>
        <w:t>月</w:t>
      </w:r>
      <w:r>
        <w:rPr>
          <w:rFonts w:ascii="Times New Roman" w:eastAsia="仿宋" w:hAnsi="Times New Roman" w:cs="仿宋" w:hint="eastAsia"/>
        </w:rPr>
        <w:t>7</w:t>
      </w:r>
      <w:r>
        <w:rPr>
          <w:rFonts w:ascii="仿宋" w:eastAsia="仿宋" w:hAnsi="仿宋" w:cs="仿宋" w:hint="eastAsia"/>
        </w:rPr>
        <w:t>日上传。</w:t>
      </w:r>
    </w:p>
  </w:footnote>
  <w:footnote w:id="8">
    <w:p w14:paraId="230DB040" w14:textId="77777777" w:rsidR="00844F3D" w:rsidRDefault="00000000">
      <w:pPr>
        <w:pStyle w:val="a9"/>
        <w:ind w:firstLineChars="200" w:firstLine="360"/>
        <w:rPr>
          <w:rFonts w:ascii="仿宋" w:eastAsia="仿宋" w:hAnsi="仿宋" w:cs="仿宋" w:hint="eastAsia"/>
        </w:rPr>
      </w:pPr>
      <w:r>
        <w:rPr>
          <w:rStyle w:val="af0"/>
          <w:rFonts w:ascii="仿宋" w:eastAsia="仿宋" w:hAnsi="仿宋" w:cs="仿宋" w:hint="eastAsia"/>
        </w:rPr>
        <w:footnoteRef/>
      </w:r>
      <w:r>
        <w:rPr>
          <w:rFonts w:ascii="仿宋" w:eastAsia="仿宋" w:hAnsi="仿宋" w:cs="仿宋" w:hint="eastAsia"/>
        </w:rPr>
        <w:t xml:space="preserve"> 参见《沙龙实录｜“诉讼投资协议效力”学术沙龙观点摘要》，载微信公众号“复旦大学司法与诉讼制度研究中心”，</w:t>
      </w:r>
      <w:r>
        <w:rPr>
          <w:rFonts w:ascii="Times New Roman" w:eastAsia="仿宋" w:hAnsi="Times New Roman" w:cs="仿宋" w:hint="eastAsia"/>
        </w:rPr>
        <w:t>2022</w:t>
      </w:r>
      <w:r>
        <w:rPr>
          <w:rFonts w:ascii="仿宋" w:eastAsia="仿宋" w:hAnsi="仿宋" w:cs="仿宋" w:hint="eastAsia"/>
        </w:rPr>
        <w:t>年</w:t>
      </w:r>
      <w:r>
        <w:rPr>
          <w:rFonts w:ascii="Times New Roman" w:eastAsia="仿宋" w:hAnsi="Times New Roman" w:cs="仿宋" w:hint="eastAsia"/>
        </w:rPr>
        <w:t>12</w:t>
      </w:r>
      <w:r>
        <w:rPr>
          <w:rFonts w:ascii="仿宋" w:eastAsia="仿宋" w:hAnsi="仿宋" w:cs="仿宋" w:hint="eastAsia"/>
        </w:rPr>
        <w:t>月</w:t>
      </w:r>
      <w:r>
        <w:rPr>
          <w:rFonts w:ascii="Times New Roman" w:eastAsia="仿宋" w:hAnsi="Times New Roman" w:cs="仿宋" w:hint="eastAsia"/>
        </w:rPr>
        <w:t>20</w:t>
      </w:r>
      <w:r>
        <w:rPr>
          <w:rFonts w:ascii="仿宋" w:eastAsia="仿宋" w:hAnsi="仿宋" w:cs="仿宋" w:hint="eastAsia"/>
        </w:rPr>
        <w:t>日上传。</w:t>
      </w:r>
    </w:p>
  </w:footnote>
  <w:footnote w:id="9">
    <w:p w14:paraId="5F2F59BF" w14:textId="77777777" w:rsidR="00844F3D" w:rsidRDefault="00000000">
      <w:pPr>
        <w:pStyle w:val="a9"/>
        <w:ind w:firstLineChars="200" w:firstLine="360"/>
        <w:rPr>
          <w:rFonts w:ascii="仿宋" w:eastAsia="仿宋" w:hAnsi="仿宋" w:cs="仿宋" w:hint="eastAsia"/>
        </w:rPr>
      </w:pPr>
      <w:r>
        <w:rPr>
          <w:rStyle w:val="af0"/>
          <w:rFonts w:ascii="仿宋" w:eastAsia="仿宋" w:hAnsi="仿宋" w:cs="仿宋" w:hint="eastAsia"/>
        </w:rPr>
        <w:footnoteRef/>
      </w:r>
      <w:r>
        <w:rPr>
          <w:rFonts w:ascii="仿宋" w:eastAsia="仿宋" w:hAnsi="仿宋" w:cs="仿宋" w:hint="eastAsia"/>
        </w:rPr>
        <w:t xml:space="preserve"> 参见沈佳：《防范与规制滥诉问题研究》，载《法律适用》</w:t>
      </w:r>
      <w:r>
        <w:rPr>
          <w:rFonts w:ascii="Times New Roman" w:eastAsia="仿宋" w:hAnsi="Times New Roman" w:cs="仿宋" w:hint="eastAsia"/>
        </w:rPr>
        <w:t>2021</w:t>
      </w:r>
      <w:r>
        <w:rPr>
          <w:rFonts w:ascii="仿宋" w:eastAsia="仿宋" w:hAnsi="仿宋" w:cs="仿宋" w:hint="eastAsia"/>
        </w:rPr>
        <w:t>年第</w:t>
      </w:r>
      <w:r>
        <w:rPr>
          <w:rFonts w:ascii="Times New Roman" w:eastAsia="仿宋" w:hAnsi="Times New Roman" w:cs="仿宋" w:hint="eastAsia"/>
        </w:rPr>
        <w:t>12</w:t>
      </w:r>
      <w:r>
        <w:rPr>
          <w:rFonts w:ascii="仿宋" w:eastAsia="仿宋" w:hAnsi="仿宋" w:cs="仿宋" w:hint="eastAsia"/>
        </w:rPr>
        <w:t>期。</w:t>
      </w:r>
    </w:p>
  </w:footnote>
  <w:footnote w:id="10">
    <w:p w14:paraId="3692CDB4" w14:textId="77777777" w:rsidR="00844F3D" w:rsidRDefault="00000000">
      <w:pPr>
        <w:pStyle w:val="a9"/>
        <w:ind w:firstLineChars="200" w:firstLine="360"/>
        <w:rPr>
          <w:rFonts w:ascii="仿宋" w:eastAsia="仿宋" w:hAnsi="仿宋" w:cs="仿宋" w:hint="eastAsia"/>
        </w:rPr>
      </w:pPr>
      <w:r>
        <w:rPr>
          <w:rStyle w:val="af0"/>
          <w:rFonts w:ascii="仿宋" w:eastAsia="仿宋" w:hAnsi="仿宋" w:cs="仿宋" w:hint="eastAsia"/>
        </w:rPr>
        <w:footnoteRef/>
      </w:r>
      <w:r>
        <w:rPr>
          <w:rFonts w:ascii="仿宋" w:eastAsia="仿宋" w:hAnsi="仿宋" w:cs="仿宋" w:hint="eastAsia"/>
        </w:rPr>
        <w:t xml:space="preserve"> 参见程雪梅：《第三方诉讼融资：效力、发展及对我国的启示》，载《学术界》</w:t>
      </w:r>
      <w:r>
        <w:rPr>
          <w:rFonts w:ascii="Times New Roman" w:eastAsia="仿宋" w:hAnsi="Times New Roman" w:cs="仿宋" w:hint="eastAsia"/>
        </w:rPr>
        <w:t>2014</w:t>
      </w:r>
      <w:r>
        <w:rPr>
          <w:rFonts w:ascii="仿宋" w:eastAsia="仿宋" w:hAnsi="仿宋" w:cs="仿宋" w:hint="eastAsia"/>
        </w:rPr>
        <w:t>年第</w:t>
      </w:r>
      <w:r>
        <w:rPr>
          <w:rFonts w:ascii="Times New Roman" w:eastAsia="仿宋" w:hAnsi="Times New Roman" w:cs="仿宋" w:hint="eastAsia"/>
        </w:rPr>
        <w:t>4</w:t>
      </w:r>
      <w:r>
        <w:rPr>
          <w:rFonts w:ascii="仿宋" w:eastAsia="仿宋" w:hAnsi="仿宋" w:cs="仿宋" w:hint="eastAsia"/>
        </w:rPr>
        <w:t>期。</w:t>
      </w:r>
    </w:p>
  </w:footnote>
  <w:footnote w:id="11">
    <w:p w14:paraId="38EA39A6" w14:textId="77777777" w:rsidR="00844F3D" w:rsidRDefault="00000000">
      <w:pPr>
        <w:pStyle w:val="a9"/>
        <w:ind w:firstLineChars="200" w:firstLine="360"/>
      </w:pPr>
      <w:r>
        <w:rPr>
          <w:rStyle w:val="af0"/>
        </w:rPr>
        <w:footnoteRef/>
      </w:r>
      <w:r>
        <w:t xml:space="preserve"> </w:t>
      </w:r>
      <w:r>
        <w:rPr>
          <w:rFonts w:ascii="仿宋" w:eastAsia="仿宋" w:hAnsi="仿宋" w:cs="仿宋" w:hint="eastAsia"/>
        </w:rPr>
        <w:t>参见上海市第二中级人民法院（</w:t>
      </w:r>
      <w:r>
        <w:rPr>
          <w:rFonts w:ascii="Times New Roman" w:eastAsia="仿宋" w:hAnsi="Times New Roman" w:cs="仿宋" w:hint="eastAsia"/>
        </w:rPr>
        <w:t>2021</w:t>
      </w:r>
      <w:r>
        <w:rPr>
          <w:rFonts w:ascii="仿宋" w:eastAsia="仿宋" w:hAnsi="仿宋" w:cs="仿宋" w:hint="eastAsia"/>
        </w:rPr>
        <w:t>）沪</w:t>
      </w:r>
      <w:r>
        <w:rPr>
          <w:rFonts w:ascii="Times New Roman" w:eastAsia="仿宋" w:hAnsi="Times New Roman" w:cs="仿宋" w:hint="eastAsia"/>
        </w:rPr>
        <w:t>02</w:t>
      </w:r>
      <w:r>
        <w:rPr>
          <w:rFonts w:ascii="仿宋" w:eastAsia="仿宋" w:hAnsi="仿宋" w:cs="仿宋" w:hint="eastAsia"/>
        </w:rPr>
        <w:t>民终</w:t>
      </w:r>
      <w:r>
        <w:rPr>
          <w:rFonts w:ascii="Times New Roman" w:eastAsia="仿宋" w:hAnsi="Times New Roman" w:cs="仿宋" w:hint="eastAsia"/>
        </w:rPr>
        <w:t>10224</w:t>
      </w:r>
      <w:r>
        <w:rPr>
          <w:rFonts w:ascii="仿宋" w:eastAsia="仿宋" w:hAnsi="仿宋" w:cs="仿宋" w:hint="eastAsia"/>
        </w:rPr>
        <w:t>号判决书。</w:t>
      </w:r>
    </w:p>
  </w:footnote>
  <w:footnote w:id="12">
    <w:p w14:paraId="0CB2652F" w14:textId="77777777" w:rsidR="00844F3D" w:rsidRDefault="00000000">
      <w:pPr>
        <w:pStyle w:val="a9"/>
        <w:ind w:firstLineChars="200" w:firstLine="360"/>
        <w:rPr>
          <w:rFonts w:ascii="仿宋" w:eastAsia="仿宋" w:hAnsi="仿宋" w:cs="仿宋" w:hint="eastAsia"/>
        </w:rPr>
      </w:pPr>
      <w:r>
        <w:rPr>
          <w:rStyle w:val="af0"/>
        </w:rPr>
        <w:footnoteRef/>
      </w:r>
      <w:r>
        <w:t xml:space="preserve"> </w:t>
      </w:r>
      <w:r>
        <w:rPr>
          <w:rFonts w:ascii="Times New Roman" w:eastAsia="仿宋" w:hAnsi="Times New Roman" w:cs="仿宋" w:hint="eastAsia"/>
        </w:rPr>
        <w:t>See</w:t>
      </w:r>
      <w:r>
        <w:rPr>
          <w:rFonts w:ascii="仿宋" w:eastAsia="仿宋" w:hAnsi="仿宋" w:cs="仿宋" w:hint="eastAsia"/>
        </w:rPr>
        <w:t xml:space="preserve"> </w:t>
      </w:r>
      <w:r>
        <w:rPr>
          <w:rFonts w:ascii="Times New Roman" w:eastAsia="仿宋" w:hAnsi="Times New Roman" w:cs="仿宋" w:hint="eastAsia"/>
        </w:rPr>
        <w:t>Joseph</w:t>
      </w:r>
      <w:r>
        <w:rPr>
          <w:rFonts w:ascii="仿宋" w:eastAsia="仿宋" w:hAnsi="仿宋" w:cs="仿宋" w:hint="eastAsia"/>
        </w:rPr>
        <w:t xml:space="preserve"> </w:t>
      </w:r>
      <w:r>
        <w:rPr>
          <w:rFonts w:ascii="Times New Roman" w:eastAsia="仿宋" w:hAnsi="Times New Roman" w:cs="仿宋" w:hint="eastAsia"/>
        </w:rPr>
        <w:t>J</w:t>
      </w:r>
      <w:r>
        <w:rPr>
          <w:rFonts w:ascii="仿宋" w:eastAsia="仿宋" w:hAnsi="仿宋" w:cs="仿宋" w:hint="eastAsia"/>
        </w:rPr>
        <w:t xml:space="preserve">. </w:t>
      </w:r>
      <w:r>
        <w:rPr>
          <w:rFonts w:ascii="Times New Roman" w:eastAsia="仿宋" w:hAnsi="Times New Roman" w:cs="仿宋" w:hint="eastAsia"/>
        </w:rPr>
        <w:t>Stroble</w:t>
      </w:r>
      <w:r>
        <w:rPr>
          <w:rFonts w:ascii="仿宋" w:eastAsia="仿宋" w:hAnsi="仿宋" w:cs="仿宋" w:hint="eastAsia"/>
        </w:rPr>
        <w:t xml:space="preserve"> </w:t>
      </w:r>
      <w:r>
        <w:rPr>
          <w:rFonts w:ascii="Times New Roman" w:eastAsia="仿宋" w:hAnsi="Times New Roman" w:cs="仿宋" w:hint="eastAsia"/>
        </w:rPr>
        <w:t>and</w:t>
      </w:r>
      <w:r>
        <w:rPr>
          <w:rFonts w:ascii="仿宋" w:eastAsia="仿宋" w:hAnsi="仿宋" w:cs="仿宋" w:hint="eastAsia"/>
        </w:rPr>
        <w:t xml:space="preserve"> </w:t>
      </w:r>
      <w:r>
        <w:rPr>
          <w:rFonts w:ascii="Times New Roman" w:eastAsia="仿宋" w:hAnsi="Times New Roman" w:cs="仿宋" w:hint="eastAsia"/>
        </w:rPr>
        <w:t>Laura</w:t>
      </w:r>
      <w:r>
        <w:rPr>
          <w:rFonts w:ascii="仿宋" w:eastAsia="仿宋" w:hAnsi="仿宋" w:cs="仿宋" w:hint="eastAsia"/>
        </w:rPr>
        <w:t xml:space="preserve"> </w:t>
      </w:r>
      <w:r>
        <w:rPr>
          <w:rFonts w:ascii="Times New Roman" w:eastAsia="仿宋" w:hAnsi="Times New Roman" w:cs="仿宋" w:hint="eastAsia"/>
        </w:rPr>
        <w:t>Welikson</w:t>
      </w:r>
      <w:r>
        <w:rPr>
          <w:rFonts w:ascii="仿宋" w:eastAsia="仿宋" w:hAnsi="仿宋" w:cs="仿宋" w:hint="eastAsia"/>
        </w:rPr>
        <w:t xml:space="preserve">, </w:t>
      </w:r>
      <w:r>
        <w:rPr>
          <w:rFonts w:ascii="Times New Roman" w:eastAsia="仿宋" w:hAnsi="Times New Roman" w:cs="仿宋" w:hint="eastAsia"/>
          <w:i/>
          <w:iCs/>
        </w:rPr>
        <w:t>Third</w:t>
      </w:r>
      <w:r>
        <w:rPr>
          <w:rFonts w:ascii="仿宋" w:eastAsia="仿宋" w:hAnsi="仿宋" w:cs="仿宋" w:hint="eastAsia"/>
          <w:i/>
          <w:iCs/>
        </w:rPr>
        <w:t>-</w:t>
      </w:r>
      <w:r>
        <w:rPr>
          <w:rFonts w:ascii="Times New Roman" w:eastAsia="仿宋" w:hAnsi="Times New Roman" w:cs="仿宋" w:hint="eastAsia"/>
          <w:i/>
          <w:iCs/>
        </w:rPr>
        <w:t>Party</w:t>
      </w:r>
      <w:r>
        <w:rPr>
          <w:rFonts w:ascii="仿宋" w:eastAsia="仿宋" w:hAnsi="仿宋" w:cs="仿宋" w:hint="eastAsia"/>
          <w:i/>
          <w:iCs/>
        </w:rPr>
        <w:t xml:space="preserve"> </w:t>
      </w:r>
      <w:r>
        <w:rPr>
          <w:rFonts w:ascii="Times New Roman" w:eastAsia="仿宋" w:hAnsi="Times New Roman" w:cs="仿宋" w:hint="eastAsia"/>
          <w:i/>
          <w:iCs/>
        </w:rPr>
        <w:t>Litigation</w:t>
      </w:r>
      <w:r>
        <w:rPr>
          <w:rFonts w:ascii="仿宋" w:eastAsia="仿宋" w:hAnsi="仿宋" w:cs="仿宋" w:hint="eastAsia"/>
          <w:i/>
          <w:iCs/>
        </w:rPr>
        <w:t xml:space="preserve"> </w:t>
      </w:r>
      <w:r>
        <w:rPr>
          <w:rFonts w:ascii="Times New Roman" w:eastAsia="仿宋" w:hAnsi="Times New Roman" w:cs="仿宋" w:hint="eastAsia"/>
          <w:i/>
          <w:iCs/>
        </w:rPr>
        <w:t>Funding</w:t>
      </w:r>
      <w:r>
        <w:rPr>
          <w:rFonts w:ascii="仿宋" w:eastAsia="仿宋" w:hAnsi="仿宋" w:cs="仿宋" w:hint="eastAsia"/>
          <w:i/>
          <w:iCs/>
        </w:rPr>
        <w:t xml:space="preserve">: </w:t>
      </w:r>
      <w:r>
        <w:rPr>
          <w:rFonts w:ascii="Times New Roman" w:eastAsia="仿宋" w:hAnsi="Times New Roman" w:cs="仿宋" w:hint="eastAsia"/>
          <w:i/>
          <w:iCs/>
        </w:rPr>
        <w:t>A</w:t>
      </w:r>
      <w:r>
        <w:rPr>
          <w:rFonts w:ascii="仿宋" w:eastAsia="仿宋" w:hAnsi="仿宋" w:cs="仿宋" w:hint="eastAsia"/>
          <w:i/>
          <w:iCs/>
        </w:rPr>
        <w:t xml:space="preserve"> </w:t>
      </w:r>
      <w:r>
        <w:rPr>
          <w:rFonts w:ascii="Times New Roman" w:eastAsia="仿宋" w:hAnsi="Times New Roman" w:cs="仿宋" w:hint="eastAsia"/>
          <w:i/>
          <w:iCs/>
        </w:rPr>
        <w:t>Review</w:t>
      </w:r>
      <w:r>
        <w:rPr>
          <w:rFonts w:ascii="仿宋" w:eastAsia="仿宋" w:hAnsi="仿宋" w:cs="仿宋" w:hint="eastAsia"/>
          <w:i/>
          <w:iCs/>
        </w:rPr>
        <w:t xml:space="preserve"> </w:t>
      </w:r>
      <w:r>
        <w:rPr>
          <w:rFonts w:ascii="Times New Roman" w:eastAsia="仿宋" w:hAnsi="Times New Roman" w:cs="仿宋" w:hint="eastAsia"/>
          <w:i/>
          <w:iCs/>
        </w:rPr>
        <w:t>of</w:t>
      </w:r>
      <w:r>
        <w:rPr>
          <w:rFonts w:ascii="仿宋" w:eastAsia="仿宋" w:hAnsi="仿宋" w:cs="仿宋" w:hint="eastAsia"/>
          <w:i/>
          <w:iCs/>
        </w:rPr>
        <w:t xml:space="preserve"> </w:t>
      </w:r>
      <w:r>
        <w:rPr>
          <w:rFonts w:ascii="Times New Roman" w:eastAsia="仿宋" w:hAnsi="Times New Roman" w:cs="仿宋" w:hint="eastAsia"/>
          <w:i/>
          <w:iCs/>
        </w:rPr>
        <w:t>Recent</w:t>
      </w:r>
      <w:r>
        <w:rPr>
          <w:rFonts w:ascii="仿宋" w:eastAsia="仿宋" w:hAnsi="仿宋" w:cs="仿宋" w:hint="eastAsia"/>
          <w:i/>
          <w:iCs/>
        </w:rPr>
        <w:t xml:space="preserve"> </w:t>
      </w:r>
      <w:r>
        <w:rPr>
          <w:rFonts w:ascii="Times New Roman" w:eastAsia="仿宋" w:hAnsi="Times New Roman" w:cs="仿宋" w:hint="eastAsia"/>
          <w:i/>
          <w:iCs/>
        </w:rPr>
        <w:t>Industry</w:t>
      </w:r>
      <w:r>
        <w:rPr>
          <w:rFonts w:ascii="仿宋" w:eastAsia="仿宋" w:hAnsi="仿宋" w:cs="仿宋" w:hint="eastAsia"/>
          <w:i/>
          <w:iCs/>
        </w:rPr>
        <w:t xml:space="preserve"> </w:t>
      </w:r>
      <w:r>
        <w:rPr>
          <w:rFonts w:ascii="Times New Roman" w:eastAsia="仿宋" w:hAnsi="Times New Roman" w:cs="仿宋" w:hint="eastAsia"/>
          <w:i/>
          <w:iCs/>
        </w:rPr>
        <w:t>Developments</w:t>
      </w:r>
      <w:r>
        <w:rPr>
          <w:rFonts w:ascii="仿宋" w:eastAsia="仿宋" w:hAnsi="仿宋" w:cs="仿宋" w:hint="eastAsia"/>
        </w:rPr>
        <w:t xml:space="preserve">, </w:t>
      </w:r>
      <w:r>
        <w:rPr>
          <w:rFonts w:ascii="Times New Roman" w:eastAsia="仿宋" w:hAnsi="Times New Roman" w:cs="仿宋" w:hint="eastAsia"/>
        </w:rPr>
        <w:t>Defense</w:t>
      </w:r>
      <w:r>
        <w:rPr>
          <w:rFonts w:ascii="仿宋" w:eastAsia="仿宋" w:hAnsi="仿宋" w:cs="仿宋" w:hint="eastAsia"/>
        </w:rPr>
        <w:t xml:space="preserve"> </w:t>
      </w:r>
      <w:r>
        <w:rPr>
          <w:rFonts w:ascii="Times New Roman" w:eastAsia="仿宋" w:hAnsi="Times New Roman" w:cs="仿宋" w:hint="eastAsia"/>
        </w:rPr>
        <w:t>Counsel</w:t>
      </w:r>
      <w:r>
        <w:rPr>
          <w:rFonts w:ascii="仿宋" w:eastAsia="仿宋" w:hAnsi="仿宋" w:cs="仿宋" w:hint="eastAsia"/>
        </w:rPr>
        <w:t xml:space="preserve"> </w:t>
      </w:r>
      <w:r>
        <w:rPr>
          <w:rFonts w:ascii="Times New Roman" w:eastAsia="仿宋" w:hAnsi="Times New Roman" w:cs="仿宋" w:hint="eastAsia"/>
        </w:rPr>
        <w:t>Journal</w:t>
      </w:r>
      <w:r>
        <w:rPr>
          <w:rFonts w:ascii="仿宋" w:eastAsia="仿宋" w:hAnsi="仿宋" w:cs="仿宋" w:hint="eastAsia"/>
        </w:rPr>
        <w:t xml:space="preserve">, </w:t>
      </w:r>
      <w:r>
        <w:rPr>
          <w:rFonts w:ascii="Times New Roman" w:eastAsia="仿宋" w:hAnsi="Times New Roman" w:cs="仿宋" w:hint="eastAsia"/>
        </w:rPr>
        <w:t>Vol</w:t>
      </w:r>
      <w:r>
        <w:rPr>
          <w:rFonts w:ascii="仿宋" w:eastAsia="仿宋" w:hAnsi="仿宋" w:cs="仿宋" w:hint="eastAsia"/>
        </w:rPr>
        <w:t>.</w:t>
      </w:r>
      <w:r>
        <w:rPr>
          <w:rFonts w:ascii="Times New Roman" w:eastAsia="仿宋" w:hAnsi="Times New Roman" w:cs="仿宋" w:hint="eastAsia"/>
        </w:rPr>
        <w:t>87</w:t>
      </w:r>
      <w:r>
        <w:rPr>
          <w:rFonts w:ascii="仿宋" w:eastAsia="仿宋" w:hAnsi="仿宋" w:cs="仿宋" w:hint="eastAsia"/>
        </w:rPr>
        <w:t xml:space="preserve">, </w:t>
      </w:r>
      <w:r>
        <w:rPr>
          <w:rFonts w:ascii="Times New Roman" w:eastAsia="仿宋" w:hAnsi="Times New Roman" w:cs="仿宋" w:hint="eastAsia"/>
        </w:rPr>
        <w:t>p</w:t>
      </w:r>
      <w:r>
        <w:rPr>
          <w:rFonts w:ascii="仿宋" w:eastAsia="仿宋" w:hAnsi="仿宋" w:cs="仿宋" w:hint="eastAsia"/>
        </w:rPr>
        <w:t>.</w:t>
      </w:r>
      <w:r>
        <w:rPr>
          <w:rFonts w:ascii="Times New Roman" w:eastAsia="仿宋" w:hAnsi="Times New Roman" w:cs="仿宋" w:hint="eastAsia"/>
        </w:rPr>
        <w:t>2</w:t>
      </w:r>
      <w:r>
        <w:rPr>
          <w:rFonts w:ascii="仿宋" w:eastAsia="仿宋" w:hAnsi="仿宋" w:cs="仿宋" w:hint="eastAsia"/>
        </w:rPr>
        <w:t>-</w:t>
      </w:r>
      <w:r>
        <w:rPr>
          <w:rFonts w:ascii="Times New Roman" w:eastAsia="仿宋" w:hAnsi="Times New Roman" w:cs="仿宋" w:hint="eastAsia"/>
        </w:rPr>
        <w:t>3</w:t>
      </w:r>
      <w:r>
        <w:rPr>
          <w:rFonts w:ascii="仿宋" w:eastAsia="仿宋" w:hAnsi="仿宋" w:cs="仿宋" w:hint="eastAsia"/>
        </w:rPr>
        <w:t xml:space="preserve"> (</w:t>
      </w:r>
      <w:r>
        <w:rPr>
          <w:rFonts w:ascii="Times New Roman" w:eastAsia="仿宋" w:hAnsi="Times New Roman" w:cs="仿宋" w:hint="eastAsia"/>
        </w:rPr>
        <w:t>January</w:t>
      </w:r>
      <w:r>
        <w:rPr>
          <w:rFonts w:ascii="仿宋" w:eastAsia="仿宋" w:hAnsi="仿宋" w:cs="仿宋" w:hint="eastAsia"/>
        </w:rPr>
        <w:t xml:space="preserve"> </w:t>
      </w:r>
      <w:r>
        <w:rPr>
          <w:rFonts w:ascii="Times New Roman" w:eastAsia="仿宋" w:hAnsi="Times New Roman" w:cs="仿宋" w:hint="eastAsia"/>
        </w:rPr>
        <w:t>2020</w:t>
      </w:r>
      <w:r>
        <w:rPr>
          <w:rFonts w:ascii="仿宋" w:eastAsia="仿宋" w:hAnsi="仿宋" w:cs="仿宋" w:hint="eastAsia"/>
        </w:rPr>
        <w:t>).</w:t>
      </w:r>
    </w:p>
    <w:p w14:paraId="32E06151" w14:textId="77777777" w:rsidR="00844F3D" w:rsidRDefault="00844F3D">
      <w:pPr>
        <w:pStyle w:val="a9"/>
      </w:pPr>
    </w:p>
  </w:footnote>
  <w:footnote w:id="13">
    <w:p w14:paraId="65021E77" w14:textId="77777777" w:rsidR="00844F3D" w:rsidRDefault="00000000">
      <w:pPr>
        <w:pStyle w:val="a9"/>
        <w:ind w:firstLineChars="200" w:firstLine="360"/>
        <w:rPr>
          <w:rFonts w:ascii="Times New Roman" w:hAnsi="Times New Roman" w:cs="Times New Roman"/>
        </w:rPr>
      </w:pPr>
      <w:r>
        <w:rPr>
          <w:rFonts w:ascii="仿宋" w:eastAsia="仿宋" w:hAnsi="仿宋" w:cs="仿宋" w:hint="eastAsia"/>
          <w:vertAlign w:val="superscript"/>
        </w:rPr>
        <w:footnoteRef/>
      </w:r>
      <w:r>
        <w:rPr>
          <w:rFonts w:ascii="仿宋" w:eastAsia="仿宋" w:hAnsi="仿宋" w:cs="仿宋" w:hint="eastAsia"/>
        </w:rPr>
        <w:t xml:space="preserve"> </w:t>
      </w:r>
      <w:r>
        <w:rPr>
          <w:rFonts w:ascii="Times New Roman" w:eastAsia="仿宋" w:hAnsi="Times New Roman" w:cs="Times New Roman"/>
        </w:rPr>
        <w:t>2010</w:t>
      </w:r>
      <w:r>
        <w:rPr>
          <w:rFonts w:ascii="仿宋" w:eastAsia="仿宋" w:hAnsi="仿宋" w:cs="仿宋" w:hint="eastAsia"/>
        </w:rPr>
        <w:t>年美国某公司将诉讼投资对准医疗过失纠纷案件，此类案件的巨大的收益使得资本没能经受住利润率的诱惑，对此类案件进行大量投资，这直接迫使医生提早退休或放弃他们的职业。</w:t>
      </w:r>
      <w:r>
        <w:rPr>
          <w:rFonts w:ascii="仿宋" w:eastAsia="仿宋" w:hAnsi="仿宋" w:cs="仿宋"/>
        </w:rPr>
        <w:t>参</w:t>
      </w:r>
      <w:r>
        <w:rPr>
          <w:rFonts w:ascii="Times New Roman" w:eastAsia="仿宋" w:hAnsi="Times New Roman" w:cs="Times New Roman"/>
        </w:rPr>
        <w:t>见</w:t>
      </w:r>
      <w:r>
        <w:rPr>
          <w:rFonts w:ascii="Times New Roman" w:eastAsia="仿宋" w:hAnsi="Times New Roman" w:cs="Times New Roman"/>
        </w:rPr>
        <w:t>Jeff Segal</w:t>
      </w:r>
      <w:r>
        <w:rPr>
          <w:rFonts w:ascii="Times New Roman" w:eastAsia="仿宋" w:hAnsi="Times New Roman" w:cs="Times New Roman"/>
        </w:rPr>
        <w:t>、</w:t>
      </w:r>
      <w:r>
        <w:rPr>
          <w:rFonts w:ascii="Times New Roman" w:eastAsia="仿宋" w:hAnsi="Times New Roman" w:cs="Times New Roman"/>
        </w:rPr>
        <w:t>Michael Sacopulos and Wayne Oliver</w:t>
      </w:r>
      <w:r>
        <w:rPr>
          <w:rFonts w:ascii="Times New Roman" w:eastAsia="仿宋" w:hAnsi="Times New Roman" w:cs="Times New Roman"/>
        </w:rPr>
        <w:t>：《华尔街做得过分了吗？》，载福布斯中文网，</w:t>
      </w:r>
      <w:r>
        <w:rPr>
          <w:rFonts w:ascii="Times New Roman" w:eastAsia="仿宋" w:hAnsi="Times New Roman" w:cs="Times New Roman"/>
        </w:rPr>
        <w:t>https://www.forbeschina.com/articles/32328</w:t>
      </w:r>
      <w:r>
        <w:rPr>
          <w:rFonts w:ascii="Times New Roman" w:eastAsia="仿宋" w:hAnsi="Times New Roman" w:cs="Times New Roman"/>
        </w:rPr>
        <w:t>，</w:t>
      </w:r>
      <w:r>
        <w:rPr>
          <w:rFonts w:ascii="Times New Roman" w:eastAsia="仿宋" w:hAnsi="Times New Roman" w:cs="Times New Roman"/>
        </w:rPr>
        <w:t>2026</w:t>
      </w:r>
      <w:r>
        <w:rPr>
          <w:rFonts w:ascii="Times New Roman" w:eastAsia="仿宋" w:hAnsi="Times New Roman" w:cs="Times New Roman"/>
        </w:rPr>
        <w:t>年</w:t>
      </w:r>
      <w:r>
        <w:rPr>
          <w:rFonts w:ascii="Times New Roman" w:eastAsia="仿宋" w:hAnsi="Times New Roman" w:cs="Times New Roman"/>
        </w:rPr>
        <w:t>1</w:t>
      </w:r>
      <w:r>
        <w:rPr>
          <w:rFonts w:ascii="Times New Roman" w:eastAsia="仿宋" w:hAnsi="Times New Roman" w:cs="Times New Roman"/>
        </w:rPr>
        <w:t>月</w:t>
      </w:r>
      <w:r>
        <w:rPr>
          <w:rFonts w:ascii="Times New Roman" w:eastAsia="仿宋" w:hAnsi="Times New Roman" w:cs="Times New Roman"/>
        </w:rPr>
        <w:t>4</w:t>
      </w:r>
      <w:r>
        <w:rPr>
          <w:rFonts w:ascii="Times New Roman" w:eastAsia="仿宋" w:hAnsi="Times New Roman" w:cs="Times New Roman"/>
        </w:rPr>
        <w:t>日访问。</w:t>
      </w:r>
    </w:p>
  </w:footnote>
  <w:footnote w:id="14">
    <w:p w14:paraId="1D57A45B" w14:textId="77777777" w:rsidR="00844F3D" w:rsidRDefault="00000000">
      <w:pPr>
        <w:pStyle w:val="a9"/>
        <w:ind w:firstLineChars="200" w:firstLine="360"/>
      </w:pPr>
      <w:r>
        <w:rPr>
          <w:rStyle w:val="af0"/>
        </w:rPr>
        <w:footnoteRef/>
      </w:r>
      <w:r>
        <w:t xml:space="preserve"> </w:t>
      </w:r>
      <w:r>
        <w:rPr>
          <w:rFonts w:ascii="Times New Roman" w:eastAsia="仿宋" w:hAnsi="Times New Roman" w:cs="仿宋" w:hint="eastAsia"/>
        </w:rPr>
        <w:t>See</w:t>
      </w:r>
      <w:r>
        <w:rPr>
          <w:rFonts w:ascii="仿宋" w:eastAsia="仿宋" w:hAnsi="仿宋" w:cs="仿宋" w:hint="eastAsia"/>
        </w:rPr>
        <w:t xml:space="preserve"> </w:t>
      </w:r>
      <w:r>
        <w:rPr>
          <w:rFonts w:ascii="Times New Roman" w:eastAsia="仿宋" w:hAnsi="Times New Roman" w:cs="仿宋" w:hint="eastAsia"/>
        </w:rPr>
        <w:t>Julien</w:t>
      </w:r>
      <w:r>
        <w:rPr>
          <w:rFonts w:ascii="仿宋" w:eastAsia="仿宋" w:hAnsi="仿宋" w:cs="仿宋" w:hint="eastAsia"/>
        </w:rPr>
        <w:t xml:space="preserve"> </w:t>
      </w:r>
      <w:proofErr w:type="spellStart"/>
      <w:r>
        <w:rPr>
          <w:rFonts w:ascii="Times New Roman" w:eastAsia="仿宋" w:hAnsi="Times New Roman" w:cs="仿宋" w:hint="eastAsia"/>
        </w:rPr>
        <w:t>Chaisse</w:t>
      </w:r>
      <w:proofErr w:type="spellEnd"/>
      <w:r>
        <w:rPr>
          <w:rFonts w:ascii="仿宋" w:eastAsia="仿宋" w:hAnsi="仿宋" w:cs="仿宋" w:hint="eastAsia"/>
        </w:rPr>
        <w:t xml:space="preserve"> </w:t>
      </w:r>
      <w:r>
        <w:rPr>
          <w:rFonts w:ascii="Times New Roman" w:eastAsia="仿宋" w:hAnsi="Times New Roman" w:cs="仿宋" w:hint="eastAsia"/>
        </w:rPr>
        <w:t>and</w:t>
      </w:r>
      <w:r>
        <w:rPr>
          <w:rFonts w:ascii="仿宋" w:eastAsia="仿宋" w:hAnsi="仿宋" w:cs="仿宋" w:hint="eastAsia"/>
        </w:rPr>
        <w:t xml:space="preserve"> </w:t>
      </w:r>
      <w:r>
        <w:rPr>
          <w:rFonts w:ascii="Times New Roman" w:eastAsia="仿宋" w:hAnsi="Times New Roman" w:cs="仿宋" w:hint="eastAsia"/>
        </w:rPr>
        <w:t>Jamieson</w:t>
      </w:r>
      <w:r>
        <w:rPr>
          <w:rFonts w:ascii="仿宋" w:eastAsia="仿宋" w:hAnsi="仿宋" w:cs="仿宋" w:hint="eastAsia"/>
        </w:rPr>
        <w:t xml:space="preserve"> </w:t>
      </w:r>
      <w:r>
        <w:rPr>
          <w:rFonts w:ascii="Times New Roman" w:eastAsia="仿宋" w:hAnsi="Times New Roman" w:cs="仿宋" w:hint="eastAsia"/>
        </w:rPr>
        <w:t>Kirkwood</w:t>
      </w:r>
      <w:r>
        <w:rPr>
          <w:rFonts w:ascii="仿宋" w:eastAsia="仿宋" w:hAnsi="仿宋" w:cs="仿宋" w:hint="eastAsia"/>
        </w:rPr>
        <w:t xml:space="preserve">, </w:t>
      </w:r>
      <w:proofErr w:type="spellStart"/>
      <w:r>
        <w:rPr>
          <w:rFonts w:ascii="Times New Roman" w:eastAsia="仿宋" w:hAnsi="Times New Roman" w:cs="仿宋" w:hint="eastAsia"/>
          <w:i/>
          <w:iCs/>
        </w:rPr>
        <w:t>Tokenised</w:t>
      </w:r>
      <w:proofErr w:type="spellEnd"/>
      <w:r>
        <w:rPr>
          <w:rFonts w:ascii="仿宋" w:eastAsia="仿宋" w:hAnsi="仿宋" w:cs="仿宋" w:hint="eastAsia"/>
          <w:i/>
          <w:iCs/>
        </w:rPr>
        <w:t xml:space="preserve"> </w:t>
      </w:r>
      <w:r>
        <w:rPr>
          <w:rFonts w:ascii="Times New Roman" w:eastAsia="仿宋" w:hAnsi="Times New Roman" w:cs="仿宋" w:hint="eastAsia"/>
          <w:i/>
          <w:iCs/>
        </w:rPr>
        <w:t>Funding</w:t>
      </w:r>
      <w:r>
        <w:rPr>
          <w:rFonts w:ascii="仿宋" w:eastAsia="仿宋" w:hAnsi="仿宋" w:cs="仿宋" w:hint="eastAsia"/>
          <w:i/>
          <w:iCs/>
        </w:rPr>
        <w:t xml:space="preserve"> </w:t>
      </w:r>
      <w:r>
        <w:rPr>
          <w:rFonts w:ascii="Times New Roman" w:eastAsia="仿宋" w:hAnsi="Times New Roman" w:cs="仿宋" w:hint="eastAsia"/>
          <w:i/>
          <w:iCs/>
        </w:rPr>
        <w:t>and</w:t>
      </w:r>
      <w:r>
        <w:rPr>
          <w:rFonts w:ascii="仿宋" w:eastAsia="仿宋" w:hAnsi="仿宋" w:cs="仿宋" w:hint="eastAsia"/>
          <w:i/>
          <w:iCs/>
        </w:rPr>
        <w:t xml:space="preserve"> </w:t>
      </w:r>
      <w:r>
        <w:rPr>
          <w:rFonts w:ascii="Times New Roman" w:eastAsia="仿宋" w:hAnsi="Times New Roman" w:cs="仿宋" w:hint="eastAsia"/>
          <w:i/>
          <w:iCs/>
        </w:rPr>
        <w:t>Initial</w:t>
      </w:r>
      <w:r>
        <w:rPr>
          <w:rFonts w:ascii="仿宋" w:eastAsia="仿宋" w:hAnsi="仿宋" w:cs="仿宋" w:hint="eastAsia"/>
          <w:i/>
          <w:iCs/>
        </w:rPr>
        <w:t xml:space="preserve"> </w:t>
      </w:r>
      <w:r>
        <w:rPr>
          <w:rFonts w:ascii="Times New Roman" w:eastAsia="仿宋" w:hAnsi="Times New Roman" w:cs="仿宋" w:hint="eastAsia"/>
          <w:i/>
          <w:iCs/>
        </w:rPr>
        <w:t>Litigation</w:t>
      </w:r>
      <w:r>
        <w:rPr>
          <w:rFonts w:ascii="仿宋" w:eastAsia="仿宋" w:hAnsi="仿宋" w:cs="仿宋" w:hint="eastAsia"/>
          <w:i/>
          <w:iCs/>
        </w:rPr>
        <w:t xml:space="preserve"> </w:t>
      </w:r>
      <w:r>
        <w:rPr>
          <w:rFonts w:ascii="Times New Roman" w:eastAsia="仿宋" w:hAnsi="Times New Roman" w:cs="仿宋" w:hint="eastAsia"/>
          <w:i/>
          <w:iCs/>
        </w:rPr>
        <w:t>Offerings</w:t>
      </w:r>
      <w:r>
        <w:rPr>
          <w:rFonts w:ascii="仿宋" w:eastAsia="仿宋" w:hAnsi="仿宋" w:cs="仿宋" w:hint="eastAsia"/>
          <w:i/>
          <w:iCs/>
        </w:rPr>
        <w:t xml:space="preserve">: </w:t>
      </w:r>
      <w:r>
        <w:rPr>
          <w:rFonts w:ascii="Times New Roman" w:eastAsia="仿宋" w:hAnsi="Times New Roman" w:cs="仿宋" w:hint="eastAsia"/>
          <w:i/>
          <w:iCs/>
        </w:rPr>
        <w:t>The</w:t>
      </w:r>
      <w:r>
        <w:rPr>
          <w:rFonts w:ascii="仿宋" w:eastAsia="仿宋" w:hAnsi="仿宋" w:cs="仿宋" w:hint="eastAsia"/>
          <w:i/>
          <w:iCs/>
        </w:rPr>
        <w:t xml:space="preserve"> </w:t>
      </w:r>
      <w:r>
        <w:rPr>
          <w:rFonts w:ascii="Times New Roman" w:eastAsia="仿宋" w:hAnsi="Times New Roman" w:cs="仿宋" w:hint="eastAsia"/>
          <w:i/>
          <w:iCs/>
        </w:rPr>
        <w:t>New</w:t>
      </w:r>
      <w:r>
        <w:rPr>
          <w:rFonts w:ascii="仿宋" w:eastAsia="仿宋" w:hAnsi="仿宋" w:cs="仿宋" w:hint="eastAsia"/>
          <w:i/>
          <w:iCs/>
        </w:rPr>
        <w:t xml:space="preserve"> </w:t>
      </w:r>
      <w:r>
        <w:rPr>
          <w:rFonts w:ascii="Times New Roman" w:eastAsia="仿宋" w:hAnsi="Times New Roman" w:cs="仿宋" w:hint="eastAsia"/>
          <w:i/>
          <w:iCs/>
        </w:rPr>
        <w:t>Kids</w:t>
      </w:r>
      <w:r>
        <w:rPr>
          <w:rFonts w:ascii="仿宋" w:eastAsia="仿宋" w:hAnsi="仿宋" w:cs="仿宋" w:hint="eastAsia"/>
          <w:i/>
          <w:iCs/>
        </w:rPr>
        <w:t xml:space="preserve"> </w:t>
      </w:r>
      <w:r>
        <w:rPr>
          <w:rFonts w:ascii="Times New Roman" w:eastAsia="仿宋" w:hAnsi="Times New Roman" w:cs="仿宋" w:hint="eastAsia"/>
          <w:i/>
          <w:iCs/>
        </w:rPr>
        <w:t>Putting</w:t>
      </w:r>
      <w:r>
        <w:rPr>
          <w:rFonts w:ascii="仿宋" w:eastAsia="仿宋" w:hAnsi="仿宋" w:cs="仿宋" w:hint="eastAsia"/>
          <w:i/>
          <w:iCs/>
        </w:rPr>
        <w:t xml:space="preserve"> </w:t>
      </w:r>
      <w:r>
        <w:rPr>
          <w:rFonts w:ascii="Times New Roman" w:eastAsia="仿宋" w:hAnsi="Times New Roman" w:cs="仿宋" w:hint="eastAsia"/>
          <w:i/>
          <w:iCs/>
        </w:rPr>
        <w:t>Third</w:t>
      </w:r>
      <w:r>
        <w:rPr>
          <w:rFonts w:ascii="仿宋" w:eastAsia="仿宋" w:hAnsi="仿宋" w:cs="仿宋" w:hint="eastAsia"/>
          <w:i/>
          <w:iCs/>
        </w:rPr>
        <w:t>-</w:t>
      </w:r>
      <w:r>
        <w:rPr>
          <w:rFonts w:ascii="Times New Roman" w:eastAsia="仿宋" w:hAnsi="Times New Roman" w:cs="仿宋" w:hint="eastAsia"/>
          <w:i/>
          <w:iCs/>
        </w:rPr>
        <w:t>Party</w:t>
      </w:r>
      <w:r>
        <w:rPr>
          <w:rFonts w:ascii="仿宋" w:eastAsia="仿宋" w:hAnsi="仿宋" w:cs="仿宋" w:hint="eastAsia"/>
          <w:i/>
          <w:iCs/>
        </w:rPr>
        <w:t xml:space="preserve"> </w:t>
      </w:r>
      <w:r>
        <w:rPr>
          <w:rFonts w:ascii="Times New Roman" w:eastAsia="仿宋" w:hAnsi="Times New Roman" w:cs="仿宋" w:hint="eastAsia"/>
          <w:i/>
          <w:iCs/>
        </w:rPr>
        <w:t>Funding</w:t>
      </w:r>
      <w:r>
        <w:rPr>
          <w:rFonts w:ascii="仿宋" w:eastAsia="仿宋" w:hAnsi="仿宋" w:cs="仿宋" w:hint="eastAsia"/>
          <w:i/>
          <w:iCs/>
        </w:rPr>
        <w:t xml:space="preserve"> </w:t>
      </w:r>
      <w:r>
        <w:rPr>
          <w:rFonts w:ascii="Times New Roman" w:eastAsia="仿宋" w:hAnsi="Times New Roman" w:cs="仿宋" w:hint="eastAsia"/>
          <w:i/>
          <w:iCs/>
        </w:rPr>
        <w:t>on</w:t>
      </w:r>
      <w:r>
        <w:rPr>
          <w:rFonts w:ascii="仿宋" w:eastAsia="仿宋" w:hAnsi="仿宋" w:cs="仿宋" w:hint="eastAsia"/>
          <w:i/>
          <w:iCs/>
        </w:rPr>
        <w:t xml:space="preserve"> </w:t>
      </w:r>
      <w:r>
        <w:rPr>
          <w:rFonts w:ascii="Times New Roman" w:eastAsia="仿宋" w:hAnsi="Times New Roman" w:cs="仿宋" w:hint="eastAsia"/>
          <w:i/>
          <w:iCs/>
        </w:rPr>
        <w:t>the</w:t>
      </w:r>
      <w:r>
        <w:rPr>
          <w:rFonts w:ascii="仿宋" w:eastAsia="仿宋" w:hAnsi="仿宋" w:cs="仿宋" w:hint="eastAsia"/>
          <w:i/>
          <w:iCs/>
        </w:rPr>
        <w:t xml:space="preserve"> </w:t>
      </w:r>
      <w:r>
        <w:rPr>
          <w:rFonts w:ascii="Times New Roman" w:eastAsia="仿宋" w:hAnsi="Times New Roman" w:cs="仿宋" w:hint="eastAsia"/>
          <w:i/>
          <w:iCs/>
        </w:rPr>
        <w:t>Block</w:t>
      </w:r>
      <w:r>
        <w:rPr>
          <w:rFonts w:ascii="仿宋" w:eastAsia="仿宋" w:hAnsi="仿宋" w:cs="仿宋" w:hint="eastAsia"/>
        </w:rPr>
        <w:t xml:space="preserve">, </w:t>
      </w:r>
      <w:r>
        <w:rPr>
          <w:rFonts w:ascii="Times New Roman" w:eastAsia="仿宋" w:hAnsi="Times New Roman" w:cs="仿宋" w:hint="eastAsia"/>
        </w:rPr>
        <w:t>Law</w:t>
      </w:r>
      <w:r>
        <w:rPr>
          <w:rFonts w:ascii="仿宋" w:eastAsia="仿宋" w:hAnsi="仿宋" w:cs="仿宋" w:hint="eastAsia"/>
        </w:rPr>
        <w:t xml:space="preserve"> </w:t>
      </w:r>
      <w:r>
        <w:rPr>
          <w:rFonts w:ascii="Times New Roman" w:eastAsia="仿宋" w:hAnsi="Times New Roman" w:cs="仿宋" w:hint="eastAsia"/>
        </w:rPr>
        <w:t>and</w:t>
      </w:r>
      <w:r>
        <w:rPr>
          <w:rFonts w:ascii="仿宋" w:eastAsia="仿宋" w:hAnsi="仿宋" w:cs="仿宋" w:hint="eastAsia"/>
        </w:rPr>
        <w:t xml:space="preserve"> </w:t>
      </w:r>
      <w:r>
        <w:rPr>
          <w:rFonts w:ascii="Times New Roman" w:eastAsia="仿宋" w:hAnsi="Times New Roman" w:cs="仿宋" w:hint="eastAsia"/>
        </w:rPr>
        <w:t>Financial</w:t>
      </w:r>
      <w:r>
        <w:rPr>
          <w:rFonts w:ascii="仿宋" w:eastAsia="仿宋" w:hAnsi="仿宋" w:cs="仿宋" w:hint="eastAsia"/>
        </w:rPr>
        <w:t xml:space="preserve"> </w:t>
      </w:r>
      <w:r>
        <w:rPr>
          <w:rFonts w:ascii="Times New Roman" w:eastAsia="仿宋" w:hAnsi="Times New Roman" w:cs="仿宋" w:hint="eastAsia"/>
        </w:rPr>
        <w:t>Markets</w:t>
      </w:r>
      <w:r>
        <w:rPr>
          <w:rFonts w:ascii="仿宋" w:eastAsia="仿宋" w:hAnsi="仿宋" w:cs="仿宋" w:hint="eastAsia"/>
        </w:rPr>
        <w:t xml:space="preserve"> </w:t>
      </w:r>
      <w:r>
        <w:rPr>
          <w:rFonts w:ascii="Times New Roman" w:eastAsia="仿宋" w:hAnsi="Times New Roman" w:cs="仿宋" w:hint="eastAsia"/>
        </w:rPr>
        <w:t>Review</w:t>
      </w:r>
      <w:r>
        <w:rPr>
          <w:rFonts w:ascii="仿宋" w:eastAsia="仿宋" w:hAnsi="仿宋" w:cs="仿宋" w:hint="eastAsia"/>
        </w:rPr>
        <w:t xml:space="preserve">, </w:t>
      </w:r>
      <w:r>
        <w:rPr>
          <w:rFonts w:ascii="Times New Roman" w:eastAsia="仿宋" w:hAnsi="Times New Roman" w:cs="仿宋" w:hint="eastAsia"/>
        </w:rPr>
        <w:t>Vol.16</w:t>
      </w:r>
      <w:r>
        <w:rPr>
          <w:rFonts w:ascii="仿宋" w:eastAsia="仿宋" w:hAnsi="仿宋" w:cs="仿宋" w:hint="eastAsia"/>
        </w:rPr>
        <w:t xml:space="preserve">, </w:t>
      </w:r>
      <w:r>
        <w:rPr>
          <w:rFonts w:ascii="Times New Roman" w:eastAsia="仿宋" w:hAnsi="Times New Roman" w:cs="仿宋" w:hint="eastAsia"/>
        </w:rPr>
        <w:t>p.23</w:t>
      </w:r>
      <w:r>
        <w:rPr>
          <w:rFonts w:ascii="仿宋" w:eastAsia="仿宋" w:hAnsi="仿宋" w:cs="仿宋" w:hint="eastAsia"/>
        </w:rPr>
        <w:t>-</w:t>
      </w:r>
      <w:r>
        <w:rPr>
          <w:rFonts w:ascii="Times New Roman" w:eastAsia="仿宋" w:hAnsi="Times New Roman" w:cs="仿宋" w:hint="eastAsia"/>
        </w:rPr>
        <w:t>33</w:t>
      </w:r>
      <w:r>
        <w:rPr>
          <w:rFonts w:ascii="仿宋" w:eastAsia="仿宋" w:hAnsi="仿宋" w:cs="仿宋" w:hint="eastAsia"/>
        </w:rPr>
        <w:t xml:space="preserve"> (</w:t>
      </w:r>
      <w:r>
        <w:rPr>
          <w:rFonts w:ascii="Times New Roman" w:eastAsia="仿宋" w:hAnsi="Times New Roman" w:cs="仿宋" w:hint="eastAsia"/>
        </w:rPr>
        <w:t>2022</w:t>
      </w:r>
      <w:r>
        <w:rPr>
          <w:rFonts w:ascii="仿宋" w:eastAsia="仿宋" w:hAnsi="仿宋" w:cs="仿宋" w:hint="eastAsia"/>
        </w:rPr>
        <w:t>)</w:t>
      </w:r>
      <w:r>
        <w:rPr>
          <w:rFonts w:ascii="Times New Roman" w:eastAsia="仿宋" w:hAnsi="Times New Roman" w:cs="仿宋" w:hint="eastAsia"/>
        </w:rPr>
        <w:t>.</w:t>
      </w:r>
    </w:p>
  </w:footnote>
  <w:footnote w:id="15">
    <w:p w14:paraId="46490AD4" w14:textId="77777777" w:rsidR="00844F3D" w:rsidRDefault="00000000">
      <w:pPr>
        <w:pStyle w:val="a9"/>
        <w:ind w:firstLineChars="200" w:firstLine="360"/>
        <w:rPr>
          <w:rFonts w:ascii="仿宋" w:eastAsia="仿宋" w:hAnsi="仿宋" w:cs="仿宋" w:hint="eastAsia"/>
        </w:rPr>
      </w:pPr>
      <w:r>
        <w:rPr>
          <w:rStyle w:val="af0"/>
          <w:rFonts w:ascii="仿宋" w:eastAsia="仿宋" w:hAnsi="仿宋" w:cs="仿宋" w:hint="eastAsia"/>
        </w:rPr>
        <w:footnoteRef/>
      </w:r>
      <w:r>
        <w:rPr>
          <w:rFonts w:ascii="仿宋" w:eastAsia="仿宋" w:hAnsi="仿宋" w:cs="仿宋" w:hint="eastAsia"/>
        </w:rPr>
        <w:t xml:space="preserve"> 参见《诉讼费用交纳办法》第</w:t>
      </w:r>
      <w:r>
        <w:rPr>
          <w:rFonts w:ascii="Times New Roman" w:eastAsia="仿宋" w:hAnsi="Times New Roman" w:cs="仿宋" w:hint="eastAsia"/>
        </w:rPr>
        <w:t>6</w:t>
      </w:r>
      <w:r>
        <w:rPr>
          <w:rFonts w:ascii="仿宋" w:eastAsia="仿宋" w:hAnsi="仿宋" w:cs="仿宋" w:hint="eastAsia"/>
        </w:rPr>
        <w:t>条。</w:t>
      </w:r>
    </w:p>
  </w:footnote>
  <w:footnote w:id="16">
    <w:p w14:paraId="7B3143B3" w14:textId="77777777" w:rsidR="00844F3D" w:rsidRDefault="00000000">
      <w:pPr>
        <w:pStyle w:val="a9"/>
        <w:ind w:firstLineChars="200" w:firstLine="360"/>
        <w:rPr>
          <w:rFonts w:ascii="仿宋" w:eastAsia="仿宋" w:hAnsi="仿宋" w:cs="仿宋" w:hint="eastAsia"/>
        </w:rPr>
      </w:pPr>
      <w:r>
        <w:rPr>
          <w:rStyle w:val="af0"/>
          <w:rFonts w:ascii="仿宋" w:eastAsia="仿宋" w:hAnsi="仿宋" w:cs="仿宋" w:hint="eastAsia"/>
        </w:rPr>
        <w:footnoteRef/>
      </w:r>
      <w:r>
        <w:rPr>
          <w:rFonts w:ascii="仿宋" w:eastAsia="仿宋" w:hAnsi="仿宋" w:cs="仿宋" w:hint="eastAsia"/>
        </w:rPr>
        <w:t xml:space="preserve"> 参见《诉讼费用交纳办法》第</w:t>
      </w:r>
      <w:r>
        <w:rPr>
          <w:rFonts w:ascii="Times New Roman" w:eastAsia="仿宋" w:hAnsi="Times New Roman" w:cs="仿宋" w:hint="eastAsia"/>
        </w:rPr>
        <w:t>12</w:t>
      </w:r>
      <w:r>
        <w:rPr>
          <w:rFonts w:ascii="仿宋" w:eastAsia="仿宋" w:hAnsi="仿宋" w:cs="仿宋" w:hint="eastAsia"/>
        </w:rPr>
        <w:t>条。</w:t>
      </w:r>
    </w:p>
  </w:footnote>
  <w:footnote w:id="17">
    <w:p w14:paraId="2BFF1E51" w14:textId="77777777" w:rsidR="00844F3D" w:rsidRDefault="00000000">
      <w:pPr>
        <w:pStyle w:val="a9"/>
        <w:ind w:firstLineChars="200" w:firstLine="360"/>
        <w:rPr>
          <w:rFonts w:ascii="仿宋" w:eastAsia="仿宋" w:hAnsi="仿宋" w:cs="仿宋" w:hint="eastAsia"/>
        </w:rPr>
      </w:pPr>
      <w:r>
        <w:rPr>
          <w:rStyle w:val="af0"/>
          <w:rFonts w:ascii="仿宋" w:eastAsia="仿宋" w:hAnsi="仿宋" w:cs="仿宋" w:hint="eastAsia"/>
        </w:rPr>
        <w:footnoteRef/>
      </w:r>
      <w:r>
        <w:rPr>
          <w:rFonts w:ascii="仿宋" w:eastAsia="仿宋" w:hAnsi="仿宋" w:cs="仿宋" w:hint="eastAsia"/>
        </w:rPr>
        <w:t xml:space="preserve"> 参见《诉讼费用交纳办法》第</w:t>
      </w:r>
      <w:r>
        <w:rPr>
          <w:rFonts w:ascii="Times New Roman" w:eastAsia="仿宋" w:hAnsi="Times New Roman" w:cs="仿宋" w:hint="eastAsia"/>
        </w:rPr>
        <w:t>6</w:t>
      </w:r>
      <w:r>
        <w:rPr>
          <w:rFonts w:ascii="仿宋" w:eastAsia="仿宋" w:hAnsi="仿宋" w:cs="仿宋" w:hint="eastAsia"/>
        </w:rPr>
        <w:t>条、第</w:t>
      </w:r>
      <w:r>
        <w:rPr>
          <w:rFonts w:ascii="Times New Roman" w:eastAsia="仿宋" w:hAnsi="Times New Roman" w:cs="仿宋" w:hint="eastAsia"/>
        </w:rPr>
        <w:t>10</w:t>
      </w:r>
      <w:r>
        <w:rPr>
          <w:rFonts w:ascii="仿宋" w:eastAsia="仿宋" w:hAnsi="仿宋" w:cs="仿宋" w:hint="eastAsia"/>
        </w:rPr>
        <w:t>条、第</w:t>
      </w:r>
      <w:r>
        <w:rPr>
          <w:rFonts w:ascii="Times New Roman" w:eastAsia="仿宋" w:hAnsi="Times New Roman" w:cs="仿宋" w:hint="eastAsia"/>
        </w:rPr>
        <w:t>13</w:t>
      </w:r>
      <w:r>
        <w:rPr>
          <w:rFonts w:ascii="仿宋" w:eastAsia="仿宋" w:hAnsi="仿宋" w:cs="仿宋" w:hint="eastAsia"/>
        </w:rPr>
        <w:t>条、第</w:t>
      </w:r>
      <w:r>
        <w:rPr>
          <w:rFonts w:ascii="Times New Roman" w:eastAsia="仿宋" w:hAnsi="Times New Roman" w:cs="仿宋" w:hint="eastAsia"/>
        </w:rPr>
        <w:t>14</w:t>
      </w:r>
      <w:r>
        <w:rPr>
          <w:rFonts w:ascii="仿宋" w:eastAsia="仿宋" w:hAnsi="仿宋" w:cs="仿宋" w:hint="eastAsia"/>
        </w:rPr>
        <w:t>条。</w:t>
      </w:r>
    </w:p>
  </w:footnote>
  <w:footnote w:id="18">
    <w:p w14:paraId="753ADFAA" w14:textId="77777777" w:rsidR="00844F3D" w:rsidRDefault="00000000">
      <w:pPr>
        <w:pStyle w:val="a9"/>
        <w:ind w:firstLineChars="200" w:firstLine="360"/>
        <w:rPr>
          <w:rFonts w:ascii="仿宋" w:eastAsia="仿宋" w:hAnsi="仿宋" w:cs="仿宋" w:hint="eastAsia"/>
        </w:rPr>
      </w:pPr>
      <w:r>
        <w:rPr>
          <w:rStyle w:val="af0"/>
          <w:rFonts w:ascii="仿宋" w:eastAsia="仿宋" w:hAnsi="仿宋" w:cs="仿宋" w:hint="eastAsia"/>
        </w:rPr>
        <w:footnoteRef/>
      </w:r>
      <w:r>
        <w:rPr>
          <w:rFonts w:ascii="仿宋" w:eastAsia="仿宋" w:hAnsi="仿宋" w:cs="仿宋" w:hint="eastAsia"/>
        </w:rPr>
        <w:t xml:space="preserve"> 对于中国律师的收费标准，各地有律师费指导价的相关规定，例如，依据《北京市律师诉讼代理服务收费政府指导价标准（试行）》第</w:t>
      </w:r>
      <w:r>
        <w:rPr>
          <w:rFonts w:ascii="Times New Roman" w:eastAsia="仿宋" w:hAnsi="Times New Roman" w:cs="仿宋" w:hint="eastAsia"/>
        </w:rPr>
        <w:t>2</w:t>
      </w:r>
      <w:r>
        <w:rPr>
          <w:rFonts w:ascii="仿宋" w:eastAsia="仿宋" w:hAnsi="仿宋" w:cs="仿宋" w:hint="eastAsia"/>
        </w:rPr>
        <w:t>条、第</w:t>
      </w:r>
      <w:r>
        <w:rPr>
          <w:rFonts w:ascii="Times New Roman" w:eastAsia="仿宋" w:hAnsi="Times New Roman" w:cs="仿宋" w:hint="eastAsia"/>
        </w:rPr>
        <w:t>4</w:t>
      </w:r>
      <w:r>
        <w:rPr>
          <w:rFonts w:ascii="仿宋" w:eastAsia="仿宋" w:hAnsi="仿宋" w:cs="仿宋" w:hint="eastAsia"/>
        </w:rPr>
        <w:t>条、第</w:t>
      </w:r>
      <w:r>
        <w:rPr>
          <w:rFonts w:ascii="Times New Roman" w:eastAsia="仿宋" w:hAnsi="Times New Roman" w:cs="仿宋" w:hint="eastAsia"/>
        </w:rPr>
        <w:t>5</w:t>
      </w:r>
      <w:r>
        <w:rPr>
          <w:rFonts w:ascii="仿宋" w:eastAsia="仿宋" w:hAnsi="仿宋" w:cs="仿宋" w:hint="eastAsia"/>
        </w:rPr>
        <w:t>条，对于争议金额为</w:t>
      </w:r>
      <w:r>
        <w:rPr>
          <w:rFonts w:ascii="Times New Roman" w:eastAsia="仿宋" w:hAnsi="Times New Roman" w:cs="仿宋" w:hint="eastAsia"/>
        </w:rPr>
        <w:t>100</w:t>
      </w:r>
      <w:r>
        <w:rPr>
          <w:rFonts w:ascii="仿宋" w:eastAsia="仿宋" w:hAnsi="仿宋" w:cs="仿宋" w:hint="eastAsia"/>
        </w:rPr>
        <w:t>万元的民事案件，指导价为不得高于</w:t>
      </w:r>
      <w:r>
        <w:rPr>
          <w:rFonts w:ascii="Times New Roman" w:eastAsia="仿宋" w:hAnsi="Times New Roman" w:cs="仿宋" w:hint="eastAsia"/>
        </w:rPr>
        <w:t>6</w:t>
      </w:r>
      <w:r>
        <w:rPr>
          <w:rFonts w:ascii="仿宋" w:eastAsia="仿宋" w:hAnsi="仿宋" w:cs="仿宋" w:hint="eastAsia"/>
        </w:rPr>
        <w:t>万元，但如果案件复杂或需要较高水平的法律服务，委托人和律师协商一致，可以突破该指导价，但不得高于</w:t>
      </w:r>
      <w:r>
        <w:rPr>
          <w:rFonts w:ascii="Times New Roman" w:eastAsia="仿宋" w:hAnsi="Times New Roman" w:cs="仿宋" w:hint="eastAsia"/>
        </w:rPr>
        <w:t>30</w:t>
      </w:r>
      <w:r>
        <w:rPr>
          <w:rFonts w:ascii="仿宋" w:eastAsia="仿宋" w:hAnsi="仿宋" w:cs="仿宋" w:hint="eastAsia"/>
        </w:rPr>
        <w:t>万元（原指导价的</w:t>
      </w:r>
      <w:r>
        <w:rPr>
          <w:rFonts w:ascii="Times New Roman" w:eastAsia="仿宋" w:hAnsi="Times New Roman" w:cs="仿宋" w:hint="eastAsia"/>
        </w:rPr>
        <w:t>5</w:t>
      </w:r>
      <w:r>
        <w:rPr>
          <w:rFonts w:ascii="仿宋" w:eastAsia="仿宋" w:hAnsi="仿宋" w:cs="仿宋" w:hint="eastAsia"/>
        </w:rPr>
        <w:t>倍）；如果该案采用风险收费，则律师费不得高于</w:t>
      </w:r>
      <w:r>
        <w:rPr>
          <w:rFonts w:ascii="Times New Roman" w:eastAsia="仿宋" w:hAnsi="Times New Roman" w:cs="仿宋" w:hint="eastAsia"/>
        </w:rPr>
        <w:t>30</w:t>
      </w:r>
      <w:r>
        <w:rPr>
          <w:rFonts w:ascii="仿宋" w:eastAsia="仿宋" w:hAnsi="仿宋" w:cs="仿宋" w:hint="eastAsia"/>
        </w:rPr>
        <w:t>万元（争议金额的</w:t>
      </w:r>
      <w:r>
        <w:rPr>
          <w:rFonts w:ascii="Times New Roman" w:eastAsia="仿宋" w:hAnsi="Times New Roman" w:cs="仿宋" w:hint="eastAsia"/>
        </w:rPr>
        <w:t>30</w:t>
      </w:r>
      <w:r>
        <w:rPr>
          <w:rFonts w:ascii="仿宋" w:eastAsia="仿宋" w:hAnsi="仿宋" w:cs="仿宋" w:hint="eastAsia"/>
        </w:rPr>
        <w:t>%）；如果采用计时收费，指导价为</w:t>
      </w:r>
      <w:r>
        <w:rPr>
          <w:rFonts w:ascii="Times New Roman" w:eastAsia="仿宋" w:hAnsi="Times New Roman" w:cs="仿宋" w:hint="eastAsia"/>
        </w:rPr>
        <w:t>100</w:t>
      </w:r>
      <w:r>
        <w:rPr>
          <w:rFonts w:ascii="仿宋" w:eastAsia="仿宋" w:hAnsi="仿宋" w:cs="仿宋" w:hint="eastAsia"/>
        </w:rPr>
        <w:t>元-</w:t>
      </w:r>
      <w:r>
        <w:rPr>
          <w:rFonts w:ascii="Times New Roman" w:eastAsia="仿宋" w:hAnsi="Times New Roman" w:cs="仿宋" w:hint="eastAsia"/>
        </w:rPr>
        <w:t>3000</w:t>
      </w:r>
      <w:r>
        <w:rPr>
          <w:rFonts w:ascii="仿宋" w:eastAsia="仿宋" w:hAnsi="仿宋" w:cs="仿宋" w:hint="eastAsia"/>
        </w:rPr>
        <w:t>元/有效工作小时。因此，如果按照律师越优秀、收费越高的一般市场规律，若当事人的诉讼请求为</w:t>
      </w:r>
      <w:r>
        <w:rPr>
          <w:rFonts w:ascii="Times New Roman" w:eastAsia="仿宋" w:hAnsi="Times New Roman" w:cs="仿宋" w:hint="eastAsia"/>
        </w:rPr>
        <w:t>100</w:t>
      </w:r>
      <w:r>
        <w:rPr>
          <w:rFonts w:ascii="仿宋" w:eastAsia="仿宋" w:hAnsi="仿宋" w:cs="仿宋" w:hint="eastAsia"/>
        </w:rPr>
        <w:t>万元，其聘请最优秀律师支付的律师费将近</w:t>
      </w:r>
      <w:r>
        <w:rPr>
          <w:rFonts w:ascii="Times New Roman" w:eastAsia="仿宋" w:hAnsi="Times New Roman" w:cs="仿宋" w:hint="eastAsia"/>
        </w:rPr>
        <w:t>30</w:t>
      </w:r>
      <w:r>
        <w:rPr>
          <w:rFonts w:ascii="仿宋" w:eastAsia="仿宋" w:hAnsi="仿宋" w:cs="仿宋" w:hint="eastAsia"/>
        </w:rPr>
        <w:t>万元。在实践中，律师收费高于指导价的情况较多，指导价的约束意义不大。见：张光磊《第三方诉讼融资：通往司法救济的商业化路径》，载《中国政法大学学报》</w:t>
      </w:r>
      <w:r>
        <w:rPr>
          <w:rFonts w:ascii="Times New Roman" w:eastAsia="仿宋" w:hAnsi="Times New Roman" w:cs="仿宋" w:hint="eastAsia"/>
        </w:rPr>
        <w:t>2016</w:t>
      </w:r>
      <w:r>
        <w:rPr>
          <w:rFonts w:ascii="仿宋" w:eastAsia="仿宋" w:hAnsi="仿宋" w:cs="仿宋" w:hint="eastAsia"/>
        </w:rPr>
        <w:t>年第</w:t>
      </w:r>
      <w:r>
        <w:rPr>
          <w:rFonts w:ascii="Times New Roman" w:eastAsia="仿宋" w:hAnsi="Times New Roman" w:cs="仿宋" w:hint="eastAsia"/>
        </w:rPr>
        <w:t>3</w:t>
      </w:r>
      <w:r>
        <w:rPr>
          <w:rFonts w:ascii="仿宋" w:eastAsia="仿宋" w:hAnsi="仿宋" w:cs="仿宋" w:hint="eastAsia"/>
        </w:rPr>
        <w:t>期。</w:t>
      </w:r>
    </w:p>
  </w:footnote>
  <w:footnote w:id="19">
    <w:p w14:paraId="6EA37F95" w14:textId="77777777" w:rsidR="00844F3D" w:rsidRDefault="00000000">
      <w:pPr>
        <w:pStyle w:val="a9"/>
        <w:ind w:firstLineChars="200" w:firstLine="360"/>
        <w:rPr>
          <w:rFonts w:ascii="仿宋" w:eastAsia="仿宋" w:hAnsi="仿宋" w:cs="仿宋" w:hint="eastAsia"/>
          <w:b/>
          <w:bCs/>
        </w:rPr>
      </w:pPr>
      <w:r>
        <w:rPr>
          <w:rStyle w:val="af0"/>
          <w:rFonts w:ascii="仿宋" w:eastAsia="仿宋" w:hAnsi="仿宋" w:cs="仿宋" w:hint="eastAsia"/>
        </w:rPr>
        <w:footnoteRef/>
      </w:r>
      <w:r>
        <w:rPr>
          <w:rFonts w:ascii="仿宋" w:eastAsia="仿宋" w:hAnsi="仿宋" w:cs="仿宋" w:hint="eastAsia"/>
        </w:rPr>
        <w:t xml:space="preserve"> 参见《中华人民共和国法律援助法》第</w:t>
      </w:r>
      <w:r>
        <w:rPr>
          <w:rFonts w:ascii="Times New Roman" w:eastAsia="仿宋" w:hAnsi="Times New Roman" w:cs="仿宋" w:hint="eastAsia"/>
        </w:rPr>
        <w:t>31</w:t>
      </w:r>
      <w:r>
        <w:rPr>
          <w:rFonts w:ascii="仿宋" w:eastAsia="仿宋" w:hAnsi="仿宋" w:cs="仿宋" w:hint="eastAsia"/>
        </w:rPr>
        <w:t>条、第</w:t>
      </w:r>
      <w:r>
        <w:rPr>
          <w:rFonts w:ascii="Times New Roman" w:eastAsia="仿宋" w:hAnsi="Times New Roman" w:cs="仿宋" w:hint="eastAsia"/>
        </w:rPr>
        <w:t>32</w:t>
      </w:r>
      <w:r>
        <w:rPr>
          <w:rFonts w:ascii="仿宋" w:eastAsia="仿宋" w:hAnsi="仿宋" w:cs="仿宋" w:hint="eastAsia"/>
        </w:rPr>
        <w:t>条。</w:t>
      </w:r>
    </w:p>
  </w:footnote>
  <w:footnote w:id="20">
    <w:p w14:paraId="116256AA" w14:textId="77777777" w:rsidR="00844F3D" w:rsidRDefault="00000000">
      <w:pPr>
        <w:pStyle w:val="a9"/>
        <w:ind w:firstLineChars="200" w:firstLine="360"/>
        <w:rPr>
          <w:rFonts w:ascii="仿宋" w:eastAsia="仿宋" w:hAnsi="仿宋" w:cs="仿宋" w:hint="eastAsia"/>
        </w:rPr>
      </w:pPr>
      <w:r>
        <w:rPr>
          <w:rStyle w:val="af0"/>
          <w:rFonts w:ascii="仿宋" w:eastAsia="仿宋" w:hAnsi="仿宋" w:cs="仿宋" w:hint="eastAsia"/>
        </w:rPr>
        <w:footnoteRef/>
      </w:r>
      <w:r>
        <w:rPr>
          <w:rFonts w:ascii="仿宋" w:eastAsia="仿宋" w:hAnsi="仿宋" w:cs="仿宋" w:hint="eastAsia"/>
        </w:rPr>
        <w:t xml:space="preserve"> 参见《律师服务收费管理办法》第</w:t>
      </w:r>
      <w:r>
        <w:rPr>
          <w:rFonts w:ascii="Times New Roman" w:eastAsia="仿宋" w:hAnsi="Times New Roman" w:cs="仿宋" w:hint="eastAsia"/>
        </w:rPr>
        <w:t>11</w:t>
      </w:r>
      <w:r>
        <w:rPr>
          <w:rFonts w:ascii="仿宋" w:eastAsia="仿宋" w:hAnsi="仿宋" w:cs="仿宋" w:hint="eastAsia"/>
        </w:rPr>
        <w:t>条、第</w:t>
      </w:r>
      <w:r>
        <w:rPr>
          <w:rFonts w:ascii="Times New Roman" w:eastAsia="仿宋" w:hAnsi="Times New Roman" w:cs="仿宋" w:hint="eastAsia"/>
        </w:rPr>
        <w:t>12</w:t>
      </w:r>
      <w:r>
        <w:rPr>
          <w:rFonts w:ascii="仿宋" w:eastAsia="仿宋" w:hAnsi="仿宋" w:cs="仿宋" w:hint="eastAsia"/>
        </w:rPr>
        <w:t>条、第</w:t>
      </w:r>
      <w:r>
        <w:rPr>
          <w:rFonts w:ascii="Times New Roman" w:eastAsia="仿宋" w:hAnsi="Times New Roman" w:cs="仿宋" w:hint="eastAsia"/>
        </w:rPr>
        <w:t>13</w:t>
      </w:r>
      <w:r>
        <w:rPr>
          <w:rFonts w:ascii="仿宋" w:eastAsia="仿宋" w:hAnsi="仿宋" w:cs="仿宋" w:hint="eastAsia"/>
        </w:rPr>
        <w:t>条。</w:t>
      </w:r>
    </w:p>
  </w:footnote>
  <w:footnote w:id="21">
    <w:p w14:paraId="04A38204" w14:textId="77777777" w:rsidR="00844F3D" w:rsidRDefault="00000000">
      <w:pPr>
        <w:pStyle w:val="a9"/>
        <w:ind w:firstLineChars="200" w:firstLine="360"/>
        <w:rPr>
          <w:rFonts w:ascii="仿宋" w:eastAsia="仿宋" w:hAnsi="仿宋" w:cs="仿宋" w:hint="eastAsia"/>
        </w:rPr>
      </w:pPr>
      <w:r>
        <w:rPr>
          <w:rStyle w:val="af0"/>
          <w:rFonts w:ascii="仿宋" w:eastAsia="仿宋" w:hAnsi="仿宋" w:cs="仿宋" w:hint="eastAsia"/>
        </w:rPr>
        <w:footnoteRef/>
      </w:r>
      <w:r>
        <w:rPr>
          <w:rFonts w:ascii="仿宋" w:eastAsia="仿宋" w:hAnsi="仿宋" w:cs="仿宋" w:hint="eastAsia"/>
        </w:rPr>
        <w:t xml:space="preserve"> </w:t>
      </w:r>
      <w:r>
        <w:rPr>
          <w:rFonts w:ascii="Times New Roman" w:eastAsia="仿宋" w:hAnsi="Times New Roman" w:cs="仿宋" w:hint="eastAsia"/>
        </w:rPr>
        <w:t>See</w:t>
      </w:r>
      <w:r>
        <w:rPr>
          <w:rFonts w:ascii="仿宋" w:eastAsia="仿宋" w:hAnsi="仿宋" w:cs="仿宋" w:hint="eastAsia"/>
        </w:rPr>
        <w:t xml:space="preserve"> </w:t>
      </w:r>
      <w:r>
        <w:rPr>
          <w:rFonts w:ascii="Times New Roman" w:eastAsia="仿宋" w:hAnsi="Times New Roman" w:cs="仿宋" w:hint="eastAsia"/>
        </w:rPr>
        <w:t>Deborah</w:t>
      </w:r>
      <w:r>
        <w:rPr>
          <w:rFonts w:ascii="仿宋" w:eastAsia="仿宋" w:hAnsi="仿宋" w:cs="仿宋" w:hint="eastAsia"/>
        </w:rPr>
        <w:t xml:space="preserve"> </w:t>
      </w:r>
      <w:r>
        <w:rPr>
          <w:rFonts w:ascii="Times New Roman" w:eastAsia="仿宋" w:hAnsi="Times New Roman" w:cs="仿宋" w:hint="eastAsia"/>
        </w:rPr>
        <w:t>R</w:t>
      </w:r>
      <w:r>
        <w:rPr>
          <w:rFonts w:ascii="仿宋" w:eastAsia="仿宋" w:hAnsi="仿宋" w:cs="仿宋" w:hint="eastAsia"/>
        </w:rPr>
        <w:t xml:space="preserve">. </w:t>
      </w:r>
      <w:r>
        <w:rPr>
          <w:rFonts w:ascii="Times New Roman" w:eastAsia="仿宋" w:hAnsi="Times New Roman" w:cs="仿宋" w:hint="eastAsia"/>
        </w:rPr>
        <w:t>Hensler</w:t>
      </w:r>
      <w:r>
        <w:rPr>
          <w:rFonts w:ascii="仿宋" w:eastAsia="仿宋" w:hAnsi="仿宋" w:cs="仿宋" w:hint="eastAsia"/>
        </w:rPr>
        <w:t xml:space="preserve">, </w:t>
      </w:r>
      <w:r>
        <w:rPr>
          <w:rFonts w:ascii="Times New Roman" w:eastAsia="仿宋" w:hAnsi="Times New Roman" w:cs="仿宋" w:hint="eastAsia"/>
          <w:i/>
          <w:iCs/>
        </w:rPr>
        <w:t>The</w:t>
      </w:r>
      <w:r>
        <w:rPr>
          <w:rFonts w:ascii="仿宋" w:eastAsia="仿宋" w:hAnsi="仿宋" w:cs="仿宋" w:hint="eastAsia"/>
          <w:i/>
          <w:iCs/>
        </w:rPr>
        <w:t xml:space="preserve"> </w:t>
      </w:r>
      <w:r>
        <w:rPr>
          <w:rFonts w:ascii="Times New Roman" w:eastAsia="仿宋" w:hAnsi="Times New Roman" w:cs="仿宋" w:hint="eastAsia"/>
          <w:i/>
          <w:iCs/>
        </w:rPr>
        <w:t>Future</w:t>
      </w:r>
      <w:r>
        <w:rPr>
          <w:rFonts w:ascii="仿宋" w:eastAsia="仿宋" w:hAnsi="仿宋" w:cs="仿宋" w:hint="eastAsia"/>
          <w:i/>
          <w:iCs/>
        </w:rPr>
        <w:t xml:space="preserve"> </w:t>
      </w:r>
      <w:r>
        <w:rPr>
          <w:rFonts w:ascii="Times New Roman" w:eastAsia="仿宋" w:hAnsi="Times New Roman" w:cs="仿宋" w:hint="eastAsia"/>
          <w:i/>
          <w:iCs/>
        </w:rPr>
        <w:t>of</w:t>
      </w:r>
      <w:r>
        <w:rPr>
          <w:rFonts w:ascii="仿宋" w:eastAsia="仿宋" w:hAnsi="仿宋" w:cs="仿宋" w:hint="eastAsia"/>
          <w:i/>
          <w:iCs/>
        </w:rPr>
        <w:t xml:space="preserve"> </w:t>
      </w:r>
      <w:r>
        <w:rPr>
          <w:rFonts w:ascii="Times New Roman" w:eastAsia="仿宋" w:hAnsi="Times New Roman" w:cs="仿宋" w:hint="eastAsia"/>
          <w:i/>
          <w:iCs/>
        </w:rPr>
        <w:t>Mass</w:t>
      </w:r>
      <w:r>
        <w:rPr>
          <w:rFonts w:ascii="仿宋" w:eastAsia="仿宋" w:hAnsi="仿宋" w:cs="仿宋" w:hint="eastAsia"/>
          <w:i/>
          <w:iCs/>
        </w:rPr>
        <w:t xml:space="preserve"> </w:t>
      </w:r>
      <w:r>
        <w:rPr>
          <w:rFonts w:ascii="Times New Roman" w:eastAsia="仿宋" w:hAnsi="Times New Roman" w:cs="仿宋" w:hint="eastAsia"/>
          <w:i/>
          <w:iCs/>
        </w:rPr>
        <w:t>Litigation</w:t>
      </w:r>
      <w:r>
        <w:rPr>
          <w:rFonts w:ascii="仿宋" w:eastAsia="仿宋" w:hAnsi="仿宋" w:cs="仿宋" w:hint="eastAsia"/>
          <w:i/>
          <w:iCs/>
        </w:rPr>
        <w:t xml:space="preserve">: </w:t>
      </w:r>
      <w:r>
        <w:rPr>
          <w:rFonts w:ascii="Times New Roman" w:eastAsia="仿宋" w:hAnsi="Times New Roman" w:cs="仿宋" w:hint="eastAsia"/>
          <w:i/>
          <w:iCs/>
        </w:rPr>
        <w:t>Global</w:t>
      </w:r>
      <w:r>
        <w:rPr>
          <w:rFonts w:ascii="仿宋" w:eastAsia="仿宋" w:hAnsi="仿宋" w:cs="仿宋" w:hint="eastAsia"/>
          <w:i/>
          <w:iCs/>
        </w:rPr>
        <w:t xml:space="preserve"> </w:t>
      </w:r>
      <w:r>
        <w:rPr>
          <w:rFonts w:ascii="Times New Roman" w:eastAsia="仿宋" w:hAnsi="Times New Roman" w:cs="仿宋" w:hint="eastAsia"/>
          <w:i/>
          <w:iCs/>
        </w:rPr>
        <w:t>Class</w:t>
      </w:r>
      <w:r>
        <w:rPr>
          <w:rFonts w:ascii="仿宋" w:eastAsia="仿宋" w:hAnsi="仿宋" w:cs="仿宋" w:hint="eastAsia"/>
          <w:i/>
          <w:iCs/>
        </w:rPr>
        <w:t xml:space="preserve"> </w:t>
      </w:r>
      <w:r>
        <w:rPr>
          <w:rFonts w:ascii="Times New Roman" w:eastAsia="仿宋" w:hAnsi="Times New Roman" w:cs="仿宋" w:hint="eastAsia"/>
          <w:i/>
          <w:iCs/>
        </w:rPr>
        <w:t>Actions</w:t>
      </w:r>
      <w:r>
        <w:rPr>
          <w:rFonts w:ascii="仿宋" w:eastAsia="仿宋" w:hAnsi="仿宋" w:cs="仿宋" w:hint="eastAsia"/>
          <w:i/>
          <w:iCs/>
        </w:rPr>
        <w:t xml:space="preserve"> </w:t>
      </w:r>
      <w:r>
        <w:rPr>
          <w:rFonts w:ascii="Times New Roman" w:eastAsia="仿宋" w:hAnsi="Times New Roman" w:cs="仿宋" w:hint="eastAsia"/>
          <w:i/>
          <w:iCs/>
        </w:rPr>
        <w:t>and</w:t>
      </w:r>
      <w:r>
        <w:rPr>
          <w:rFonts w:ascii="仿宋" w:eastAsia="仿宋" w:hAnsi="仿宋" w:cs="仿宋" w:hint="eastAsia"/>
          <w:i/>
          <w:iCs/>
        </w:rPr>
        <w:t xml:space="preserve"> </w:t>
      </w:r>
      <w:r>
        <w:rPr>
          <w:rFonts w:ascii="Times New Roman" w:eastAsia="仿宋" w:hAnsi="Times New Roman" w:cs="仿宋" w:hint="eastAsia"/>
          <w:i/>
          <w:iCs/>
        </w:rPr>
        <w:t>Third</w:t>
      </w:r>
      <w:r>
        <w:rPr>
          <w:rFonts w:ascii="仿宋" w:eastAsia="仿宋" w:hAnsi="仿宋" w:cs="仿宋" w:hint="eastAsia"/>
          <w:i/>
          <w:iCs/>
        </w:rPr>
        <w:t>-</w:t>
      </w:r>
      <w:r>
        <w:rPr>
          <w:rFonts w:ascii="Times New Roman" w:eastAsia="仿宋" w:hAnsi="Times New Roman" w:cs="仿宋" w:hint="eastAsia"/>
          <w:i/>
          <w:iCs/>
        </w:rPr>
        <w:t>Party</w:t>
      </w:r>
      <w:r>
        <w:rPr>
          <w:rFonts w:ascii="仿宋" w:eastAsia="仿宋" w:hAnsi="仿宋" w:cs="仿宋" w:hint="eastAsia"/>
          <w:i/>
          <w:iCs/>
        </w:rPr>
        <w:t xml:space="preserve"> </w:t>
      </w:r>
      <w:r>
        <w:rPr>
          <w:rFonts w:ascii="Times New Roman" w:eastAsia="仿宋" w:hAnsi="Times New Roman" w:cs="仿宋" w:hint="eastAsia"/>
          <w:i/>
          <w:iCs/>
        </w:rPr>
        <w:t>Litigation</w:t>
      </w:r>
      <w:r>
        <w:rPr>
          <w:rFonts w:ascii="仿宋" w:eastAsia="仿宋" w:hAnsi="仿宋" w:cs="仿宋" w:hint="eastAsia"/>
          <w:i/>
          <w:iCs/>
        </w:rPr>
        <w:t xml:space="preserve"> </w:t>
      </w:r>
      <w:r>
        <w:rPr>
          <w:rFonts w:ascii="Times New Roman" w:eastAsia="仿宋" w:hAnsi="Times New Roman" w:cs="仿宋" w:hint="eastAsia"/>
          <w:i/>
          <w:iCs/>
        </w:rPr>
        <w:t>Funding</w:t>
      </w:r>
      <w:r>
        <w:rPr>
          <w:rFonts w:ascii="仿宋" w:eastAsia="仿宋" w:hAnsi="仿宋" w:cs="仿宋" w:hint="eastAsia"/>
        </w:rPr>
        <w:t xml:space="preserve">, </w:t>
      </w:r>
      <w:r>
        <w:rPr>
          <w:rFonts w:ascii="Times New Roman" w:eastAsia="仿宋" w:hAnsi="Times New Roman" w:cs="仿宋" w:hint="eastAsia"/>
        </w:rPr>
        <w:t>George</w:t>
      </w:r>
      <w:r>
        <w:rPr>
          <w:rFonts w:ascii="仿宋" w:eastAsia="仿宋" w:hAnsi="仿宋" w:cs="仿宋" w:hint="eastAsia"/>
        </w:rPr>
        <w:t xml:space="preserve"> </w:t>
      </w:r>
      <w:r>
        <w:rPr>
          <w:rFonts w:ascii="Times New Roman" w:eastAsia="仿宋" w:hAnsi="Times New Roman" w:cs="仿宋" w:hint="eastAsia"/>
        </w:rPr>
        <w:t>Washington</w:t>
      </w:r>
      <w:r>
        <w:rPr>
          <w:rFonts w:ascii="仿宋" w:eastAsia="仿宋" w:hAnsi="仿宋" w:cs="仿宋" w:hint="eastAsia"/>
        </w:rPr>
        <w:t xml:space="preserve"> </w:t>
      </w:r>
      <w:r>
        <w:rPr>
          <w:rFonts w:ascii="Times New Roman" w:eastAsia="仿宋" w:hAnsi="Times New Roman" w:cs="仿宋" w:hint="eastAsia"/>
        </w:rPr>
        <w:t>Law</w:t>
      </w:r>
      <w:r>
        <w:rPr>
          <w:rFonts w:ascii="仿宋" w:eastAsia="仿宋" w:hAnsi="仿宋" w:cs="仿宋" w:hint="eastAsia"/>
        </w:rPr>
        <w:t xml:space="preserve"> </w:t>
      </w:r>
      <w:r>
        <w:rPr>
          <w:rFonts w:ascii="Times New Roman" w:eastAsia="仿宋" w:hAnsi="Times New Roman" w:cs="仿宋" w:hint="eastAsia"/>
        </w:rPr>
        <w:t>Review</w:t>
      </w:r>
      <w:r>
        <w:rPr>
          <w:rFonts w:ascii="仿宋" w:eastAsia="仿宋" w:hAnsi="仿宋" w:cs="仿宋" w:hint="eastAsia"/>
        </w:rPr>
        <w:t xml:space="preserve">, </w:t>
      </w:r>
      <w:r>
        <w:rPr>
          <w:rFonts w:ascii="Times New Roman" w:eastAsia="仿宋" w:hAnsi="Times New Roman" w:cs="仿宋" w:hint="eastAsia"/>
        </w:rPr>
        <w:t>Vol</w:t>
      </w:r>
      <w:r>
        <w:rPr>
          <w:rFonts w:ascii="仿宋" w:eastAsia="仿宋" w:hAnsi="仿宋" w:cs="仿宋" w:hint="eastAsia"/>
        </w:rPr>
        <w:t>.</w:t>
      </w:r>
      <w:r>
        <w:rPr>
          <w:rFonts w:ascii="Times New Roman" w:eastAsia="仿宋" w:hAnsi="Times New Roman" w:cs="仿宋" w:hint="eastAsia"/>
        </w:rPr>
        <w:t>79</w:t>
      </w:r>
      <w:r>
        <w:rPr>
          <w:rFonts w:ascii="仿宋" w:eastAsia="仿宋" w:hAnsi="仿宋" w:cs="仿宋" w:hint="eastAsia"/>
        </w:rPr>
        <w:t xml:space="preserve">, </w:t>
      </w:r>
      <w:r>
        <w:rPr>
          <w:rFonts w:ascii="Times New Roman" w:eastAsia="仿宋" w:hAnsi="Times New Roman" w:cs="仿宋" w:hint="eastAsia"/>
        </w:rPr>
        <w:t>p</w:t>
      </w:r>
      <w:r>
        <w:rPr>
          <w:rFonts w:ascii="仿宋" w:eastAsia="仿宋" w:hAnsi="仿宋" w:cs="仿宋" w:hint="eastAsia"/>
        </w:rPr>
        <w:t>.</w:t>
      </w:r>
      <w:r>
        <w:rPr>
          <w:rFonts w:ascii="Times New Roman" w:eastAsia="仿宋" w:hAnsi="Times New Roman" w:cs="仿宋" w:hint="eastAsia"/>
        </w:rPr>
        <w:t>321</w:t>
      </w:r>
      <w:r>
        <w:rPr>
          <w:rFonts w:ascii="仿宋" w:eastAsia="仿宋" w:hAnsi="仿宋" w:cs="仿宋" w:hint="eastAsia"/>
        </w:rPr>
        <w:t>-</w:t>
      </w:r>
      <w:r>
        <w:rPr>
          <w:rFonts w:ascii="Times New Roman" w:eastAsia="仿宋" w:hAnsi="Times New Roman" w:cs="仿宋" w:hint="eastAsia"/>
        </w:rPr>
        <w:t>322</w:t>
      </w:r>
      <w:r>
        <w:rPr>
          <w:rFonts w:ascii="仿宋" w:eastAsia="仿宋" w:hAnsi="仿宋" w:cs="仿宋" w:hint="eastAsia"/>
        </w:rPr>
        <w:t xml:space="preserve"> (</w:t>
      </w:r>
      <w:r>
        <w:rPr>
          <w:rFonts w:ascii="Times New Roman" w:eastAsia="仿宋" w:hAnsi="Times New Roman" w:cs="仿宋" w:hint="eastAsia"/>
        </w:rPr>
        <w:t>February</w:t>
      </w:r>
      <w:r>
        <w:rPr>
          <w:rFonts w:ascii="仿宋" w:eastAsia="仿宋" w:hAnsi="仿宋" w:cs="仿宋" w:hint="eastAsia"/>
        </w:rPr>
        <w:t xml:space="preserve"> </w:t>
      </w:r>
      <w:r>
        <w:rPr>
          <w:rFonts w:ascii="Times New Roman" w:eastAsia="仿宋" w:hAnsi="Times New Roman" w:cs="仿宋" w:hint="eastAsia"/>
        </w:rPr>
        <w:t>2011</w:t>
      </w:r>
      <w:r>
        <w:rPr>
          <w:rFonts w:ascii="仿宋" w:eastAsia="仿宋" w:hAnsi="仿宋" w:cs="仿宋" w:hint="eastAsia"/>
        </w:rPr>
        <w:t>).</w:t>
      </w:r>
    </w:p>
  </w:footnote>
  <w:footnote w:id="22">
    <w:p w14:paraId="0FBF8728" w14:textId="77777777" w:rsidR="00844F3D" w:rsidRDefault="00000000">
      <w:pPr>
        <w:pStyle w:val="a9"/>
        <w:ind w:firstLineChars="200" w:firstLine="360"/>
        <w:rPr>
          <w:rFonts w:ascii="仿宋" w:eastAsia="仿宋" w:hAnsi="仿宋" w:cs="仿宋" w:hint="eastAsia"/>
        </w:rPr>
      </w:pPr>
      <w:r>
        <w:rPr>
          <w:rStyle w:val="af0"/>
          <w:rFonts w:ascii="仿宋" w:eastAsia="仿宋" w:hAnsi="仿宋" w:cs="仿宋" w:hint="eastAsia"/>
        </w:rPr>
        <w:footnoteRef/>
      </w:r>
      <w:r>
        <w:rPr>
          <w:rFonts w:ascii="仿宋" w:eastAsia="仿宋" w:hAnsi="仿宋" w:cs="仿宋" w:hint="eastAsia"/>
        </w:rPr>
        <w:t xml:space="preserve"> 参见《中华人民共和国民法典》第</w:t>
      </w:r>
      <w:r>
        <w:rPr>
          <w:rFonts w:ascii="Times New Roman" w:eastAsia="仿宋" w:hAnsi="Times New Roman" w:cs="仿宋" w:hint="eastAsia"/>
        </w:rPr>
        <w:t>467</w:t>
      </w:r>
      <w:r>
        <w:rPr>
          <w:rFonts w:ascii="仿宋" w:eastAsia="仿宋" w:hAnsi="仿宋" w:cs="仿宋" w:hint="eastAsia"/>
        </w:rPr>
        <w:t>条。</w:t>
      </w:r>
    </w:p>
  </w:footnote>
  <w:footnote w:id="23">
    <w:p w14:paraId="41B0C9BF" w14:textId="77777777" w:rsidR="00844F3D" w:rsidRDefault="00000000">
      <w:pPr>
        <w:pStyle w:val="a9"/>
        <w:ind w:firstLineChars="200" w:firstLine="360"/>
        <w:rPr>
          <w:rFonts w:ascii="仿宋" w:eastAsia="仿宋" w:hAnsi="仿宋" w:cs="仿宋" w:hint="eastAsia"/>
        </w:rPr>
      </w:pPr>
      <w:r>
        <w:rPr>
          <w:rStyle w:val="af0"/>
          <w:rFonts w:ascii="仿宋" w:eastAsia="仿宋" w:hAnsi="仿宋" w:cs="仿宋" w:hint="eastAsia"/>
        </w:rPr>
        <w:footnoteRef/>
      </w:r>
      <w:r>
        <w:rPr>
          <w:rFonts w:ascii="仿宋" w:eastAsia="仿宋" w:hAnsi="仿宋" w:cs="仿宋" w:hint="eastAsia"/>
        </w:rPr>
        <w:t xml:space="preserve"> 参见巢志雄：《民事诉权合同研究——兼论我国司法裁判经验对法学理论发展的影响》，载《法学家》</w:t>
      </w:r>
      <w:r>
        <w:rPr>
          <w:rFonts w:ascii="Times New Roman" w:eastAsia="仿宋" w:hAnsi="Times New Roman" w:cs="仿宋" w:hint="eastAsia"/>
        </w:rPr>
        <w:t>2017</w:t>
      </w:r>
      <w:r>
        <w:rPr>
          <w:rFonts w:ascii="仿宋" w:eastAsia="仿宋" w:hAnsi="仿宋" w:cs="仿宋" w:hint="eastAsia"/>
        </w:rPr>
        <w:t>年第</w:t>
      </w:r>
      <w:r>
        <w:rPr>
          <w:rFonts w:ascii="Times New Roman" w:eastAsia="仿宋" w:hAnsi="Times New Roman" w:cs="仿宋" w:hint="eastAsia"/>
        </w:rPr>
        <w:t>1</w:t>
      </w:r>
      <w:r>
        <w:rPr>
          <w:rFonts w:ascii="仿宋" w:eastAsia="仿宋" w:hAnsi="仿宋" w:cs="仿宋" w:hint="eastAsia"/>
        </w:rPr>
        <w:t>期。</w:t>
      </w:r>
    </w:p>
  </w:footnote>
  <w:footnote w:id="24">
    <w:p w14:paraId="3638716A" w14:textId="77777777" w:rsidR="00844F3D" w:rsidRDefault="00000000">
      <w:pPr>
        <w:pStyle w:val="a9"/>
        <w:ind w:firstLineChars="200" w:firstLine="360"/>
        <w:rPr>
          <w:rFonts w:ascii="仿宋" w:eastAsia="仿宋" w:hAnsi="仿宋" w:cs="仿宋" w:hint="eastAsia"/>
        </w:rPr>
      </w:pPr>
      <w:r>
        <w:rPr>
          <w:rStyle w:val="af0"/>
          <w:rFonts w:ascii="仿宋" w:eastAsia="仿宋" w:hAnsi="仿宋" w:cs="仿宋" w:hint="eastAsia"/>
        </w:rPr>
        <w:footnoteRef/>
      </w:r>
      <w:r>
        <w:rPr>
          <w:rFonts w:ascii="仿宋" w:eastAsia="仿宋" w:hAnsi="仿宋" w:cs="仿宋" w:hint="eastAsia"/>
        </w:rPr>
        <w:t xml:space="preserve"> 参见程雪梅：《第三方诉讼融资：效力、发展及对我国的启示》，载《学术界》</w:t>
      </w:r>
      <w:r>
        <w:rPr>
          <w:rFonts w:ascii="Times New Roman" w:eastAsia="仿宋" w:hAnsi="Times New Roman" w:cs="仿宋" w:hint="eastAsia"/>
        </w:rPr>
        <w:t>2014</w:t>
      </w:r>
      <w:r>
        <w:rPr>
          <w:rFonts w:ascii="仿宋" w:eastAsia="仿宋" w:hAnsi="仿宋" w:cs="仿宋" w:hint="eastAsia"/>
        </w:rPr>
        <w:t>年第</w:t>
      </w:r>
      <w:r>
        <w:rPr>
          <w:rFonts w:ascii="Times New Roman" w:eastAsia="仿宋" w:hAnsi="Times New Roman" w:cs="仿宋" w:hint="eastAsia"/>
        </w:rPr>
        <w:t>4</w:t>
      </w:r>
      <w:r>
        <w:rPr>
          <w:rFonts w:ascii="仿宋" w:eastAsia="仿宋" w:hAnsi="仿宋" w:cs="仿宋" w:hint="eastAsia"/>
        </w:rPr>
        <w:t>期。</w:t>
      </w:r>
    </w:p>
  </w:footnote>
  <w:footnote w:id="25">
    <w:p w14:paraId="2E63BEDC" w14:textId="77777777" w:rsidR="00844F3D" w:rsidRDefault="00000000">
      <w:pPr>
        <w:pStyle w:val="a9"/>
        <w:ind w:firstLineChars="200" w:firstLine="360"/>
        <w:rPr>
          <w:rFonts w:ascii="仿宋" w:eastAsia="仿宋" w:hAnsi="仿宋" w:cs="仿宋" w:hint="eastAsia"/>
        </w:rPr>
      </w:pPr>
      <w:r>
        <w:rPr>
          <w:rStyle w:val="af0"/>
          <w:rFonts w:ascii="仿宋" w:eastAsia="仿宋" w:hAnsi="仿宋" w:cs="仿宋" w:hint="eastAsia"/>
        </w:rPr>
        <w:footnoteRef/>
      </w:r>
      <w:r>
        <w:rPr>
          <w:rFonts w:ascii="仿宋" w:eastAsia="仿宋" w:hAnsi="仿宋" w:cs="仿宋" w:hint="eastAsia"/>
        </w:rPr>
        <w:t xml:space="preserve"> </w:t>
      </w:r>
      <w:r>
        <w:rPr>
          <w:rFonts w:ascii="Times New Roman" w:eastAsia="仿宋" w:hAnsi="Times New Roman" w:cs="仿宋" w:hint="eastAsia"/>
        </w:rPr>
        <w:t>See</w:t>
      </w:r>
      <w:r>
        <w:rPr>
          <w:rFonts w:ascii="仿宋" w:eastAsia="仿宋" w:hAnsi="仿宋" w:cs="仿宋" w:hint="eastAsia"/>
        </w:rPr>
        <w:t xml:space="preserve"> </w:t>
      </w:r>
      <w:r>
        <w:rPr>
          <w:rFonts w:ascii="Times New Roman" w:eastAsia="仿宋" w:hAnsi="Times New Roman" w:cs="仿宋" w:hint="eastAsia"/>
        </w:rPr>
        <w:t>Joseph</w:t>
      </w:r>
      <w:r>
        <w:rPr>
          <w:rFonts w:ascii="仿宋" w:eastAsia="仿宋" w:hAnsi="仿宋" w:cs="仿宋" w:hint="eastAsia"/>
        </w:rPr>
        <w:t xml:space="preserve"> </w:t>
      </w:r>
      <w:r>
        <w:rPr>
          <w:rFonts w:ascii="Times New Roman" w:eastAsia="仿宋" w:hAnsi="Times New Roman" w:cs="仿宋" w:hint="eastAsia"/>
        </w:rPr>
        <w:t>J</w:t>
      </w:r>
      <w:r>
        <w:rPr>
          <w:rFonts w:ascii="仿宋" w:eastAsia="仿宋" w:hAnsi="仿宋" w:cs="仿宋" w:hint="eastAsia"/>
        </w:rPr>
        <w:t xml:space="preserve">. </w:t>
      </w:r>
      <w:r>
        <w:rPr>
          <w:rFonts w:ascii="Times New Roman" w:eastAsia="仿宋" w:hAnsi="Times New Roman" w:cs="仿宋" w:hint="eastAsia"/>
        </w:rPr>
        <w:t>Stroble</w:t>
      </w:r>
      <w:r>
        <w:rPr>
          <w:rFonts w:ascii="仿宋" w:eastAsia="仿宋" w:hAnsi="仿宋" w:cs="仿宋" w:hint="eastAsia"/>
        </w:rPr>
        <w:t xml:space="preserve"> </w:t>
      </w:r>
      <w:r>
        <w:rPr>
          <w:rFonts w:ascii="Times New Roman" w:eastAsia="仿宋" w:hAnsi="Times New Roman" w:cs="仿宋" w:hint="eastAsia"/>
        </w:rPr>
        <w:t>and</w:t>
      </w:r>
      <w:r>
        <w:rPr>
          <w:rFonts w:ascii="仿宋" w:eastAsia="仿宋" w:hAnsi="仿宋" w:cs="仿宋" w:hint="eastAsia"/>
        </w:rPr>
        <w:t xml:space="preserve"> </w:t>
      </w:r>
      <w:r>
        <w:rPr>
          <w:rFonts w:ascii="Times New Roman" w:eastAsia="仿宋" w:hAnsi="Times New Roman" w:cs="仿宋" w:hint="eastAsia"/>
        </w:rPr>
        <w:t>Laura</w:t>
      </w:r>
      <w:r>
        <w:rPr>
          <w:rFonts w:ascii="仿宋" w:eastAsia="仿宋" w:hAnsi="仿宋" w:cs="仿宋" w:hint="eastAsia"/>
        </w:rPr>
        <w:t xml:space="preserve"> </w:t>
      </w:r>
      <w:r>
        <w:rPr>
          <w:rFonts w:ascii="Times New Roman" w:eastAsia="仿宋" w:hAnsi="Times New Roman" w:cs="仿宋" w:hint="eastAsia"/>
        </w:rPr>
        <w:t>Welikson</w:t>
      </w:r>
      <w:r>
        <w:rPr>
          <w:rFonts w:ascii="仿宋" w:eastAsia="仿宋" w:hAnsi="仿宋" w:cs="仿宋" w:hint="eastAsia"/>
        </w:rPr>
        <w:t xml:space="preserve">, </w:t>
      </w:r>
      <w:r>
        <w:rPr>
          <w:rFonts w:ascii="Times New Roman" w:eastAsia="仿宋" w:hAnsi="Times New Roman" w:cs="仿宋" w:hint="eastAsia"/>
          <w:i/>
          <w:iCs/>
        </w:rPr>
        <w:t>Third</w:t>
      </w:r>
      <w:r>
        <w:rPr>
          <w:rFonts w:ascii="仿宋" w:eastAsia="仿宋" w:hAnsi="仿宋" w:cs="仿宋" w:hint="eastAsia"/>
          <w:i/>
          <w:iCs/>
        </w:rPr>
        <w:t>-</w:t>
      </w:r>
      <w:r>
        <w:rPr>
          <w:rFonts w:ascii="Times New Roman" w:eastAsia="仿宋" w:hAnsi="Times New Roman" w:cs="仿宋" w:hint="eastAsia"/>
          <w:i/>
          <w:iCs/>
        </w:rPr>
        <w:t>Party</w:t>
      </w:r>
      <w:r>
        <w:rPr>
          <w:rFonts w:ascii="仿宋" w:eastAsia="仿宋" w:hAnsi="仿宋" w:cs="仿宋" w:hint="eastAsia"/>
          <w:i/>
          <w:iCs/>
        </w:rPr>
        <w:t xml:space="preserve"> </w:t>
      </w:r>
      <w:r>
        <w:rPr>
          <w:rFonts w:ascii="Times New Roman" w:eastAsia="仿宋" w:hAnsi="Times New Roman" w:cs="仿宋" w:hint="eastAsia"/>
          <w:i/>
          <w:iCs/>
        </w:rPr>
        <w:t>Litigation</w:t>
      </w:r>
      <w:r>
        <w:rPr>
          <w:rFonts w:ascii="仿宋" w:eastAsia="仿宋" w:hAnsi="仿宋" w:cs="仿宋" w:hint="eastAsia"/>
          <w:i/>
          <w:iCs/>
        </w:rPr>
        <w:t xml:space="preserve"> </w:t>
      </w:r>
      <w:r>
        <w:rPr>
          <w:rFonts w:ascii="Times New Roman" w:eastAsia="仿宋" w:hAnsi="Times New Roman" w:cs="仿宋" w:hint="eastAsia"/>
          <w:i/>
          <w:iCs/>
        </w:rPr>
        <w:t>Funding</w:t>
      </w:r>
      <w:r>
        <w:rPr>
          <w:rFonts w:ascii="仿宋" w:eastAsia="仿宋" w:hAnsi="仿宋" w:cs="仿宋" w:hint="eastAsia"/>
          <w:i/>
          <w:iCs/>
        </w:rPr>
        <w:t xml:space="preserve">: </w:t>
      </w:r>
      <w:r>
        <w:rPr>
          <w:rFonts w:ascii="Times New Roman" w:eastAsia="仿宋" w:hAnsi="Times New Roman" w:cs="仿宋" w:hint="eastAsia"/>
          <w:i/>
          <w:iCs/>
        </w:rPr>
        <w:t>A</w:t>
      </w:r>
      <w:r>
        <w:rPr>
          <w:rFonts w:ascii="仿宋" w:eastAsia="仿宋" w:hAnsi="仿宋" w:cs="仿宋" w:hint="eastAsia"/>
          <w:i/>
          <w:iCs/>
        </w:rPr>
        <w:t xml:space="preserve"> </w:t>
      </w:r>
      <w:r>
        <w:rPr>
          <w:rFonts w:ascii="Times New Roman" w:eastAsia="仿宋" w:hAnsi="Times New Roman" w:cs="仿宋" w:hint="eastAsia"/>
          <w:i/>
          <w:iCs/>
        </w:rPr>
        <w:t>Review</w:t>
      </w:r>
      <w:r>
        <w:rPr>
          <w:rFonts w:ascii="仿宋" w:eastAsia="仿宋" w:hAnsi="仿宋" w:cs="仿宋" w:hint="eastAsia"/>
          <w:i/>
          <w:iCs/>
        </w:rPr>
        <w:t xml:space="preserve"> </w:t>
      </w:r>
      <w:r>
        <w:rPr>
          <w:rFonts w:ascii="Times New Roman" w:eastAsia="仿宋" w:hAnsi="Times New Roman" w:cs="仿宋" w:hint="eastAsia"/>
          <w:i/>
          <w:iCs/>
        </w:rPr>
        <w:t>of</w:t>
      </w:r>
      <w:r>
        <w:rPr>
          <w:rFonts w:ascii="仿宋" w:eastAsia="仿宋" w:hAnsi="仿宋" w:cs="仿宋" w:hint="eastAsia"/>
          <w:i/>
          <w:iCs/>
        </w:rPr>
        <w:t xml:space="preserve"> </w:t>
      </w:r>
      <w:r>
        <w:rPr>
          <w:rFonts w:ascii="Times New Roman" w:eastAsia="仿宋" w:hAnsi="Times New Roman" w:cs="仿宋" w:hint="eastAsia"/>
          <w:i/>
          <w:iCs/>
        </w:rPr>
        <w:t>Recent</w:t>
      </w:r>
      <w:r>
        <w:rPr>
          <w:rFonts w:ascii="仿宋" w:eastAsia="仿宋" w:hAnsi="仿宋" w:cs="仿宋" w:hint="eastAsia"/>
          <w:i/>
          <w:iCs/>
        </w:rPr>
        <w:t xml:space="preserve"> </w:t>
      </w:r>
      <w:r>
        <w:rPr>
          <w:rFonts w:ascii="Times New Roman" w:eastAsia="仿宋" w:hAnsi="Times New Roman" w:cs="仿宋" w:hint="eastAsia"/>
          <w:i/>
          <w:iCs/>
        </w:rPr>
        <w:t>Industry</w:t>
      </w:r>
      <w:r>
        <w:rPr>
          <w:rFonts w:ascii="仿宋" w:eastAsia="仿宋" w:hAnsi="仿宋" w:cs="仿宋" w:hint="eastAsia"/>
          <w:i/>
          <w:iCs/>
        </w:rPr>
        <w:t xml:space="preserve"> </w:t>
      </w:r>
      <w:r>
        <w:rPr>
          <w:rFonts w:ascii="Times New Roman" w:eastAsia="仿宋" w:hAnsi="Times New Roman" w:cs="仿宋" w:hint="eastAsia"/>
          <w:i/>
          <w:iCs/>
        </w:rPr>
        <w:t>Developments</w:t>
      </w:r>
      <w:r>
        <w:rPr>
          <w:rFonts w:ascii="仿宋" w:eastAsia="仿宋" w:hAnsi="仿宋" w:cs="仿宋" w:hint="eastAsia"/>
        </w:rPr>
        <w:t xml:space="preserve">, </w:t>
      </w:r>
      <w:r>
        <w:rPr>
          <w:rFonts w:ascii="Times New Roman" w:eastAsia="仿宋" w:hAnsi="Times New Roman" w:cs="仿宋" w:hint="eastAsia"/>
        </w:rPr>
        <w:t>Defense</w:t>
      </w:r>
      <w:r>
        <w:rPr>
          <w:rFonts w:ascii="仿宋" w:eastAsia="仿宋" w:hAnsi="仿宋" w:cs="仿宋" w:hint="eastAsia"/>
        </w:rPr>
        <w:t xml:space="preserve"> </w:t>
      </w:r>
      <w:r>
        <w:rPr>
          <w:rFonts w:ascii="Times New Roman" w:eastAsia="仿宋" w:hAnsi="Times New Roman" w:cs="仿宋" w:hint="eastAsia"/>
        </w:rPr>
        <w:t>Counsel</w:t>
      </w:r>
      <w:r>
        <w:rPr>
          <w:rFonts w:ascii="仿宋" w:eastAsia="仿宋" w:hAnsi="仿宋" w:cs="仿宋" w:hint="eastAsia"/>
        </w:rPr>
        <w:t xml:space="preserve"> </w:t>
      </w:r>
      <w:r>
        <w:rPr>
          <w:rFonts w:ascii="Times New Roman" w:eastAsia="仿宋" w:hAnsi="Times New Roman" w:cs="仿宋" w:hint="eastAsia"/>
        </w:rPr>
        <w:t>Journal</w:t>
      </w:r>
      <w:r>
        <w:rPr>
          <w:rFonts w:ascii="仿宋" w:eastAsia="仿宋" w:hAnsi="仿宋" w:cs="仿宋" w:hint="eastAsia"/>
        </w:rPr>
        <w:t xml:space="preserve">, </w:t>
      </w:r>
      <w:r>
        <w:rPr>
          <w:rFonts w:ascii="Times New Roman" w:eastAsia="仿宋" w:hAnsi="Times New Roman" w:cs="仿宋" w:hint="eastAsia"/>
        </w:rPr>
        <w:t>Vol</w:t>
      </w:r>
      <w:r>
        <w:rPr>
          <w:rFonts w:ascii="仿宋" w:eastAsia="仿宋" w:hAnsi="仿宋" w:cs="仿宋" w:hint="eastAsia"/>
        </w:rPr>
        <w:t>.</w:t>
      </w:r>
      <w:r>
        <w:rPr>
          <w:rFonts w:ascii="Times New Roman" w:eastAsia="仿宋" w:hAnsi="Times New Roman" w:cs="仿宋" w:hint="eastAsia"/>
        </w:rPr>
        <w:t>87</w:t>
      </w:r>
      <w:r>
        <w:rPr>
          <w:rFonts w:ascii="仿宋" w:eastAsia="仿宋" w:hAnsi="仿宋" w:cs="仿宋" w:hint="eastAsia"/>
        </w:rPr>
        <w:t xml:space="preserve">, </w:t>
      </w:r>
      <w:r>
        <w:rPr>
          <w:rFonts w:ascii="Times New Roman" w:eastAsia="仿宋" w:hAnsi="Times New Roman" w:cs="仿宋" w:hint="eastAsia"/>
        </w:rPr>
        <w:t>p</w:t>
      </w:r>
      <w:r>
        <w:rPr>
          <w:rFonts w:ascii="仿宋" w:eastAsia="仿宋" w:hAnsi="仿宋" w:cs="仿宋" w:hint="eastAsia"/>
        </w:rPr>
        <w:t>.</w:t>
      </w:r>
      <w:r>
        <w:rPr>
          <w:rFonts w:ascii="Times New Roman" w:eastAsia="仿宋" w:hAnsi="Times New Roman" w:cs="仿宋" w:hint="eastAsia"/>
        </w:rPr>
        <w:t>11</w:t>
      </w:r>
      <w:r>
        <w:rPr>
          <w:rFonts w:ascii="仿宋" w:eastAsia="仿宋" w:hAnsi="仿宋" w:cs="仿宋" w:hint="eastAsia"/>
        </w:rPr>
        <w:t>-</w:t>
      </w:r>
      <w:r>
        <w:rPr>
          <w:rFonts w:ascii="Times New Roman" w:eastAsia="仿宋" w:hAnsi="Times New Roman" w:cs="仿宋" w:hint="eastAsia"/>
        </w:rPr>
        <w:t>13</w:t>
      </w:r>
      <w:r>
        <w:rPr>
          <w:rFonts w:ascii="仿宋" w:eastAsia="仿宋" w:hAnsi="仿宋" w:cs="仿宋" w:hint="eastAsia"/>
        </w:rPr>
        <w:t xml:space="preserve"> (</w:t>
      </w:r>
      <w:r>
        <w:rPr>
          <w:rFonts w:ascii="Times New Roman" w:eastAsia="仿宋" w:hAnsi="Times New Roman" w:cs="仿宋" w:hint="eastAsia"/>
        </w:rPr>
        <w:t>January</w:t>
      </w:r>
      <w:r>
        <w:rPr>
          <w:rFonts w:ascii="仿宋" w:eastAsia="仿宋" w:hAnsi="仿宋" w:cs="仿宋" w:hint="eastAsia"/>
        </w:rPr>
        <w:t xml:space="preserve"> </w:t>
      </w:r>
      <w:r>
        <w:rPr>
          <w:rFonts w:ascii="Times New Roman" w:eastAsia="仿宋" w:hAnsi="Times New Roman" w:cs="仿宋" w:hint="eastAsia"/>
        </w:rPr>
        <w:t>2020</w:t>
      </w:r>
      <w:r>
        <w:rPr>
          <w:rFonts w:ascii="仿宋" w:eastAsia="仿宋" w:hAnsi="仿宋" w:cs="仿宋" w:hint="eastAsia"/>
        </w:rPr>
        <w:t>).</w:t>
      </w:r>
    </w:p>
  </w:footnote>
  <w:footnote w:id="26">
    <w:p w14:paraId="439DBF1C" w14:textId="77777777" w:rsidR="00844F3D" w:rsidRDefault="00000000">
      <w:pPr>
        <w:pStyle w:val="a9"/>
        <w:ind w:firstLineChars="200" w:firstLine="360"/>
        <w:rPr>
          <w:rFonts w:ascii="仿宋" w:eastAsia="仿宋" w:hAnsi="仿宋" w:cs="仿宋" w:hint="eastAsia"/>
        </w:rPr>
      </w:pPr>
      <w:r>
        <w:rPr>
          <w:rStyle w:val="af0"/>
          <w:rFonts w:ascii="仿宋" w:eastAsia="仿宋" w:hAnsi="仿宋" w:cs="仿宋" w:hint="eastAsia"/>
        </w:rPr>
        <w:footnoteRef/>
      </w:r>
      <w:r>
        <w:rPr>
          <w:rFonts w:ascii="仿宋" w:eastAsia="仿宋" w:hAnsi="仿宋" w:cs="仿宋" w:hint="eastAsia"/>
        </w:rPr>
        <w:t xml:space="preserve"> </w:t>
      </w:r>
      <w:r>
        <w:rPr>
          <w:rFonts w:ascii="Times New Roman" w:eastAsia="仿宋" w:hAnsi="Times New Roman" w:cs="仿宋" w:hint="eastAsia"/>
        </w:rPr>
        <w:t>See</w:t>
      </w:r>
      <w:r>
        <w:rPr>
          <w:rFonts w:ascii="仿宋" w:eastAsia="仿宋" w:hAnsi="仿宋" w:cs="仿宋" w:hint="eastAsia"/>
        </w:rPr>
        <w:t xml:space="preserve"> </w:t>
      </w:r>
      <w:r>
        <w:rPr>
          <w:rFonts w:ascii="Times New Roman" w:eastAsia="仿宋" w:hAnsi="Times New Roman" w:cs="仿宋" w:hint="eastAsia"/>
        </w:rPr>
        <w:t>Luther</w:t>
      </w:r>
      <w:r>
        <w:rPr>
          <w:rFonts w:ascii="仿宋" w:eastAsia="仿宋" w:hAnsi="仿宋" w:cs="仿宋" w:hint="eastAsia"/>
        </w:rPr>
        <w:t xml:space="preserve"> </w:t>
      </w:r>
      <w:r>
        <w:rPr>
          <w:rFonts w:ascii="Times New Roman" w:eastAsia="仿宋" w:hAnsi="Times New Roman" w:cs="仿宋" w:hint="eastAsia"/>
        </w:rPr>
        <w:t>Munford</w:t>
      </w:r>
      <w:r>
        <w:rPr>
          <w:rFonts w:ascii="仿宋" w:eastAsia="仿宋" w:hAnsi="仿宋" w:cs="仿宋" w:hint="eastAsia"/>
        </w:rPr>
        <w:t xml:space="preserve">, </w:t>
      </w:r>
      <w:r>
        <w:rPr>
          <w:rFonts w:ascii="Times New Roman" w:eastAsia="仿宋" w:hAnsi="Times New Roman" w:cs="仿宋" w:hint="eastAsia"/>
          <w:i/>
          <w:iCs/>
        </w:rPr>
        <w:t>What</w:t>
      </w:r>
      <w:r>
        <w:rPr>
          <w:rFonts w:ascii="仿宋" w:eastAsia="仿宋" w:hAnsi="仿宋" w:cs="仿宋" w:hint="eastAsia"/>
          <w:i/>
          <w:iCs/>
        </w:rPr>
        <w:t>'</w:t>
      </w:r>
      <w:r>
        <w:rPr>
          <w:rFonts w:ascii="Times New Roman" w:eastAsia="仿宋" w:hAnsi="Times New Roman" w:cs="仿宋" w:hint="eastAsia"/>
          <w:i/>
          <w:iCs/>
        </w:rPr>
        <w:t>s</w:t>
      </w:r>
      <w:r>
        <w:rPr>
          <w:rFonts w:ascii="仿宋" w:eastAsia="仿宋" w:hAnsi="仿宋" w:cs="仿宋" w:hint="eastAsia"/>
          <w:i/>
          <w:iCs/>
        </w:rPr>
        <w:t xml:space="preserve"> </w:t>
      </w:r>
      <w:r>
        <w:rPr>
          <w:rFonts w:ascii="Times New Roman" w:eastAsia="仿宋" w:hAnsi="Times New Roman" w:cs="仿宋" w:hint="eastAsia"/>
          <w:i/>
          <w:iCs/>
        </w:rPr>
        <w:t>Wrong</w:t>
      </w:r>
      <w:r>
        <w:rPr>
          <w:rFonts w:ascii="仿宋" w:eastAsia="仿宋" w:hAnsi="仿宋" w:cs="仿宋" w:hint="eastAsia"/>
          <w:i/>
          <w:iCs/>
        </w:rPr>
        <w:t xml:space="preserve"> </w:t>
      </w:r>
      <w:r>
        <w:rPr>
          <w:rFonts w:ascii="Times New Roman" w:eastAsia="仿宋" w:hAnsi="Times New Roman" w:cs="仿宋" w:hint="eastAsia"/>
          <w:i/>
          <w:iCs/>
        </w:rPr>
        <w:t>with</w:t>
      </w:r>
      <w:r>
        <w:rPr>
          <w:rFonts w:ascii="仿宋" w:eastAsia="仿宋" w:hAnsi="仿宋" w:cs="仿宋" w:hint="eastAsia"/>
          <w:i/>
          <w:iCs/>
        </w:rPr>
        <w:t xml:space="preserve"> </w:t>
      </w:r>
      <w:r>
        <w:rPr>
          <w:rFonts w:ascii="Times New Roman" w:eastAsia="仿宋" w:hAnsi="Times New Roman" w:cs="仿宋" w:hint="eastAsia"/>
          <w:i/>
          <w:iCs/>
        </w:rPr>
        <w:t>Third</w:t>
      </w:r>
      <w:r>
        <w:rPr>
          <w:rFonts w:ascii="仿宋" w:eastAsia="仿宋" w:hAnsi="仿宋" w:cs="仿宋" w:hint="eastAsia"/>
          <w:i/>
          <w:iCs/>
        </w:rPr>
        <w:t>-</w:t>
      </w:r>
      <w:r>
        <w:rPr>
          <w:rFonts w:ascii="Times New Roman" w:eastAsia="仿宋" w:hAnsi="Times New Roman" w:cs="仿宋" w:hint="eastAsia"/>
          <w:i/>
          <w:iCs/>
        </w:rPr>
        <w:t>Party</w:t>
      </w:r>
      <w:r>
        <w:rPr>
          <w:rFonts w:ascii="仿宋" w:eastAsia="仿宋" w:hAnsi="仿宋" w:cs="仿宋" w:hint="eastAsia"/>
          <w:i/>
          <w:iCs/>
        </w:rPr>
        <w:t xml:space="preserve"> </w:t>
      </w:r>
      <w:r>
        <w:rPr>
          <w:rFonts w:ascii="Times New Roman" w:eastAsia="仿宋" w:hAnsi="Times New Roman" w:cs="仿宋" w:hint="eastAsia"/>
          <w:i/>
          <w:iCs/>
        </w:rPr>
        <w:t>Litigation</w:t>
      </w:r>
      <w:r>
        <w:rPr>
          <w:rFonts w:ascii="仿宋" w:eastAsia="仿宋" w:hAnsi="仿宋" w:cs="仿宋" w:hint="eastAsia"/>
          <w:i/>
          <w:iCs/>
        </w:rPr>
        <w:t xml:space="preserve"> </w:t>
      </w:r>
      <w:r>
        <w:rPr>
          <w:rFonts w:ascii="Times New Roman" w:eastAsia="仿宋" w:hAnsi="Times New Roman" w:cs="仿宋" w:hint="eastAsia"/>
          <w:i/>
          <w:iCs/>
        </w:rPr>
        <w:t>Funding</w:t>
      </w:r>
      <w:r>
        <w:rPr>
          <w:rFonts w:ascii="仿宋" w:eastAsia="仿宋" w:hAnsi="仿宋" w:cs="仿宋" w:hint="eastAsia"/>
          <w:i/>
          <w:iCs/>
        </w:rPr>
        <w:t>?</w:t>
      </w:r>
      <w:r>
        <w:rPr>
          <w:rFonts w:ascii="仿宋" w:eastAsia="仿宋" w:hAnsi="仿宋" w:cs="仿宋" w:hint="eastAsia"/>
        </w:rPr>
        <w:t xml:space="preserve">, </w:t>
      </w:r>
      <w:r>
        <w:rPr>
          <w:rFonts w:ascii="Times New Roman" w:eastAsia="仿宋" w:hAnsi="Times New Roman" w:cs="仿宋" w:hint="eastAsia"/>
        </w:rPr>
        <w:t>Green</w:t>
      </w:r>
      <w:r>
        <w:rPr>
          <w:rFonts w:ascii="仿宋" w:eastAsia="仿宋" w:hAnsi="仿宋" w:cs="仿宋" w:hint="eastAsia"/>
        </w:rPr>
        <w:t xml:space="preserve"> </w:t>
      </w:r>
      <w:r>
        <w:rPr>
          <w:rFonts w:ascii="Times New Roman" w:eastAsia="仿宋" w:hAnsi="Times New Roman" w:cs="仿宋" w:hint="eastAsia"/>
        </w:rPr>
        <w:t>Bag</w:t>
      </w:r>
      <w:r>
        <w:rPr>
          <w:rFonts w:ascii="仿宋" w:eastAsia="仿宋" w:hAnsi="仿宋" w:cs="仿宋" w:hint="eastAsia"/>
        </w:rPr>
        <w:t xml:space="preserve">: </w:t>
      </w:r>
      <w:r>
        <w:rPr>
          <w:rFonts w:ascii="Times New Roman" w:eastAsia="仿宋" w:hAnsi="Times New Roman" w:cs="仿宋" w:hint="eastAsia"/>
        </w:rPr>
        <w:t>An</w:t>
      </w:r>
      <w:r>
        <w:rPr>
          <w:rFonts w:ascii="仿宋" w:eastAsia="仿宋" w:hAnsi="仿宋" w:cs="仿宋" w:hint="eastAsia"/>
        </w:rPr>
        <w:t xml:space="preserve"> </w:t>
      </w:r>
      <w:r>
        <w:rPr>
          <w:rFonts w:ascii="Times New Roman" w:eastAsia="仿宋" w:hAnsi="Times New Roman" w:cs="仿宋" w:hint="eastAsia"/>
        </w:rPr>
        <w:t>Entertaining</w:t>
      </w:r>
      <w:r>
        <w:rPr>
          <w:rFonts w:ascii="仿宋" w:eastAsia="仿宋" w:hAnsi="仿宋" w:cs="仿宋" w:hint="eastAsia"/>
        </w:rPr>
        <w:t xml:space="preserve"> </w:t>
      </w:r>
      <w:r>
        <w:rPr>
          <w:rFonts w:ascii="Times New Roman" w:eastAsia="仿宋" w:hAnsi="Times New Roman" w:cs="仿宋" w:hint="eastAsia"/>
        </w:rPr>
        <w:t>Journal</w:t>
      </w:r>
      <w:r>
        <w:rPr>
          <w:rFonts w:ascii="仿宋" w:eastAsia="仿宋" w:hAnsi="仿宋" w:cs="仿宋" w:hint="eastAsia"/>
        </w:rPr>
        <w:t xml:space="preserve"> </w:t>
      </w:r>
      <w:r>
        <w:rPr>
          <w:rFonts w:ascii="Times New Roman" w:eastAsia="仿宋" w:hAnsi="Times New Roman" w:cs="仿宋" w:hint="eastAsia"/>
        </w:rPr>
        <w:t>of</w:t>
      </w:r>
      <w:r>
        <w:rPr>
          <w:rFonts w:ascii="仿宋" w:eastAsia="仿宋" w:hAnsi="仿宋" w:cs="仿宋" w:hint="eastAsia"/>
        </w:rPr>
        <w:t xml:space="preserve"> </w:t>
      </w:r>
      <w:r>
        <w:rPr>
          <w:rFonts w:ascii="Times New Roman" w:eastAsia="仿宋" w:hAnsi="Times New Roman" w:cs="仿宋" w:hint="eastAsia"/>
        </w:rPr>
        <w:t>Law</w:t>
      </w:r>
      <w:r>
        <w:rPr>
          <w:rFonts w:ascii="仿宋" w:eastAsia="仿宋" w:hAnsi="仿宋" w:cs="仿宋" w:hint="eastAsia"/>
        </w:rPr>
        <w:t xml:space="preserve"> (</w:t>
      </w:r>
      <w:r>
        <w:rPr>
          <w:rFonts w:ascii="Times New Roman" w:eastAsia="仿宋" w:hAnsi="Times New Roman" w:cs="仿宋" w:hint="eastAsia"/>
        </w:rPr>
        <w:t>Second</w:t>
      </w:r>
      <w:r>
        <w:rPr>
          <w:rFonts w:ascii="仿宋" w:eastAsia="仿宋" w:hAnsi="仿宋" w:cs="仿宋" w:hint="eastAsia"/>
        </w:rPr>
        <w:t xml:space="preserve"> </w:t>
      </w:r>
      <w:r>
        <w:rPr>
          <w:rFonts w:ascii="Times New Roman" w:eastAsia="仿宋" w:hAnsi="Times New Roman" w:cs="仿宋" w:hint="eastAsia"/>
        </w:rPr>
        <w:t>Series</w:t>
      </w:r>
      <w:r>
        <w:rPr>
          <w:rFonts w:ascii="仿宋" w:eastAsia="仿宋" w:hAnsi="仿宋" w:cs="仿宋" w:hint="eastAsia"/>
        </w:rPr>
        <w:t xml:space="preserve">), </w:t>
      </w:r>
      <w:r>
        <w:rPr>
          <w:rFonts w:ascii="Times New Roman" w:eastAsia="仿宋" w:hAnsi="Times New Roman" w:cs="仿宋" w:hint="eastAsia"/>
        </w:rPr>
        <w:t>Vol</w:t>
      </w:r>
      <w:r>
        <w:rPr>
          <w:rFonts w:ascii="仿宋" w:eastAsia="仿宋" w:hAnsi="仿宋" w:cs="仿宋" w:hint="eastAsia"/>
        </w:rPr>
        <w:t>.</w:t>
      </w:r>
      <w:r>
        <w:rPr>
          <w:rFonts w:ascii="Times New Roman" w:eastAsia="仿宋" w:hAnsi="Times New Roman" w:cs="仿宋" w:hint="eastAsia"/>
        </w:rPr>
        <w:t>25</w:t>
      </w:r>
      <w:r>
        <w:rPr>
          <w:rFonts w:ascii="仿宋" w:eastAsia="仿宋" w:hAnsi="仿宋" w:cs="仿宋" w:hint="eastAsia"/>
        </w:rPr>
        <w:t xml:space="preserve">, </w:t>
      </w:r>
      <w:r>
        <w:rPr>
          <w:rFonts w:ascii="Times New Roman" w:eastAsia="仿宋" w:hAnsi="Times New Roman" w:cs="仿宋" w:hint="eastAsia"/>
        </w:rPr>
        <w:t>p</w:t>
      </w:r>
      <w:r>
        <w:rPr>
          <w:rFonts w:ascii="仿宋" w:eastAsia="仿宋" w:hAnsi="仿宋" w:cs="仿宋" w:hint="eastAsia"/>
        </w:rPr>
        <w:t>.</w:t>
      </w:r>
      <w:r>
        <w:rPr>
          <w:rFonts w:ascii="Times New Roman" w:eastAsia="仿宋" w:hAnsi="Times New Roman" w:cs="仿宋" w:hint="eastAsia"/>
        </w:rPr>
        <w:t>119</w:t>
      </w:r>
      <w:r>
        <w:rPr>
          <w:rFonts w:ascii="仿宋" w:eastAsia="仿宋" w:hAnsi="仿宋" w:cs="仿宋" w:hint="eastAsia"/>
        </w:rPr>
        <w:t>-</w:t>
      </w:r>
      <w:r>
        <w:rPr>
          <w:rFonts w:ascii="Times New Roman" w:eastAsia="仿宋" w:hAnsi="Times New Roman" w:cs="仿宋" w:hint="eastAsia"/>
        </w:rPr>
        <w:t>120</w:t>
      </w:r>
      <w:r>
        <w:rPr>
          <w:rFonts w:ascii="仿宋" w:eastAsia="仿宋" w:hAnsi="仿宋" w:cs="仿宋" w:hint="eastAsia"/>
        </w:rPr>
        <w:t xml:space="preserve"> (</w:t>
      </w:r>
      <w:r>
        <w:rPr>
          <w:rFonts w:ascii="Times New Roman" w:eastAsia="仿宋" w:hAnsi="Times New Roman" w:cs="仿宋" w:hint="eastAsia"/>
        </w:rPr>
        <w:t>Winter</w:t>
      </w:r>
      <w:r>
        <w:rPr>
          <w:rFonts w:ascii="仿宋" w:eastAsia="仿宋" w:hAnsi="仿宋" w:cs="仿宋" w:hint="eastAsia"/>
        </w:rPr>
        <w:t xml:space="preserve"> </w:t>
      </w:r>
      <w:r>
        <w:rPr>
          <w:rFonts w:ascii="Times New Roman" w:eastAsia="仿宋" w:hAnsi="Times New Roman" w:cs="仿宋" w:hint="eastAsia"/>
        </w:rPr>
        <w:t>2022</w:t>
      </w:r>
      <w:r>
        <w:rPr>
          <w:rFonts w:ascii="仿宋" w:eastAsia="仿宋" w:hAnsi="仿宋" w:cs="仿宋" w:hint="eastAsia"/>
        </w:rPr>
        <w:t>).</w:t>
      </w:r>
    </w:p>
  </w:footnote>
  <w:footnote w:id="27">
    <w:p w14:paraId="15B97010" w14:textId="77777777" w:rsidR="00844F3D" w:rsidRDefault="00000000">
      <w:pPr>
        <w:pStyle w:val="a9"/>
        <w:ind w:firstLineChars="200" w:firstLine="360"/>
        <w:rPr>
          <w:rFonts w:ascii="仿宋" w:eastAsia="仿宋" w:hAnsi="仿宋" w:cs="仿宋" w:hint="eastAsia"/>
        </w:rPr>
      </w:pPr>
      <w:r>
        <w:rPr>
          <w:rStyle w:val="af0"/>
          <w:rFonts w:ascii="仿宋" w:eastAsia="仿宋" w:hAnsi="仿宋" w:cs="仿宋" w:hint="eastAsia"/>
        </w:rPr>
        <w:footnoteRef/>
      </w:r>
      <w:r>
        <w:rPr>
          <w:rFonts w:ascii="仿宋" w:eastAsia="仿宋" w:hAnsi="仿宋" w:cs="仿宋" w:hint="eastAsia"/>
        </w:rPr>
        <w:t xml:space="preserve"> 参见《律师服务收费管理办法》第</w:t>
      </w:r>
      <w:r>
        <w:rPr>
          <w:rFonts w:ascii="Times New Roman" w:eastAsia="仿宋" w:hAnsi="Times New Roman" w:cs="仿宋" w:hint="eastAsia"/>
        </w:rPr>
        <w:t>11</w:t>
      </w:r>
      <w:r>
        <w:rPr>
          <w:rFonts w:ascii="仿宋" w:eastAsia="仿宋" w:hAnsi="仿宋" w:cs="仿宋" w:hint="eastAsia"/>
        </w:rPr>
        <w:t>条、第</w:t>
      </w:r>
      <w:r>
        <w:rPr>
          <w:rFonts w:ascii="Times New Roman" w:eastAsia="仿宋" w:hAnsi="Times New Roman" w:cs="Times New Roman"/>
        </w:rPr>
        <w:t>12</w:t>
      </w:r>
      <w:r>
        <w:rPr>
          <w:rFonts w:ascii="仿宋" w:eastAsia="仿宋" w:hAnsi="仿宋" w:cs="仿宋" w:hint="eastAsia"/>
        </w:rPr>
        <w:t>条。</w:t>
      </w:r>
    </w:p>
  </w:footnote>
  <w:footnote w:id="28">
    <w:p w14:paraId="060CD5F4" w14:textId="77777777" w:rsidR="00844F3D" w:rsidRDefault="00000000">
      <w:pPr>
        <w:pStyle w:val="a9"/>
        <w:ind w:firstLineChars="200" w:firstLine="360"/>
        <w:rPr>
          <w:rFonts w:ascii="仿宋" w:eastAsia="仿宋" w:hAnsi="仿宋" w:cs="仿宋" w:hint="eastAsia"/>
        </w:rPr>
      </w:pPr>
      <w:r>
        <w:rPr>
          <w:rFonts w:ascii="仿宋" w:eastAsia="仿宋" w:hAnsi="仿宋" w:cs="仿宋" w:hint="eastAsia"/>
          <w:vertAlign w:val="superscript"/>
        </w:rPr>
        <w:footnoteRef/>
      </w:r>
      <w:r>
        <w:rPr>
          <w:rFonts w:ascii="仿宋" w:eastAsia="仿宋" w:hAnsi="仿宋" w:cs="仿宋" w:hint="eastAsia"/>
        </w:rPr>
        <w:t xml:space="preserve"> 此处之所以未将《律师服务收费管理办法》第</w:t>
      </w:r>
      <w:r>
        <w:rPr>
          <w:rFonts w:ascii="Times New Roman" w:eastAsia="仿宋" w:hAnsi="Times New Roman" w:cs="Times New Roman"/>
        </w:rPr>
        <w:t>12</w:t>
      </w:r>
      <w:r>
        <w:rPr>
          <w:rFonts w:ascii="仿宋" w:eastAsia="仿宋" w:hAnsi="仿宋" w:cs="仿宋" w:hint="eastAsia"/>
        </w:rPr>
        <w:t>条中提及的群体性诉讼也一并纳入第三方诉讼融资制度的适用禁区的原因在于：如前文所述，特别代表人诉讼制度（群体性诉讼的一种）对第三方诉讼融资的市场发展至关重要，且域外实践亦证明第三方诉讼融资制度适用于此类案件并无不妥，故在立法时应有选择地参考律师风险代理制度的适用禁区规定，以确定第三方诉讼融资制度的边界所在。</w:t>
      </w:r>
    </w:p>
  </w:footnote>
  <w:footnote w:id="29">
    <w:p w14:paraId="3578B7B3" w14:textId="77777777" w:rsidR="00844F3D" w:rsidRDefault="00000000">
      <w:pPr>
        <w:pStyle w:val="a9"/>
        <w:ind w:firstLineChars="200" w:firstLine="360"/>
        <w:rPr>
          <w:rFonts w:ascii="仿宋" w:eastAsia="仿宋" w:hAnsi="仿宋" w:cs="仿宋" w:hint="eastAsia"/>
          <w:color w:val="000000"/>
          <w:kern w:val="0"/>
          <w:szCs w:val="18"/>
        </w:rPr>
      </w:pPr>
      <w:r>
        <w:rPr>
          <w:rFonts w:ascii="仿宋" w:eastAsia="仿宋" w:hAnsi="仿宋" w:cs="仿宋" w:hint="eastAsia"/>
          <w:color w:val="000000"/>
          <w:kern w:val="0"/>
          <w:szCs w:val="18"/>
          <w:vertAlign w:val="superscript"/>
        </w:rPr>
        <w:footnoteRef/>
      </w:r>
      <w:r>
        <w:rPr>
          <w:rFonts w:ascii="仿宋" w:eastAsia="仿宋" w:hAnsi="仿宋" w:cs="仿宋" w:hint="eastAsia"/>
          <w:color w:val="000000"/>
          <w:kern w:val="0"/>
          <w:szCs w:val="18"/>
        </w:rPr>
        <w:t xml:space="preserve"> 参见《中华人民共和国民法典》第</w:t>
      </w:r>
      <w:r>
        <w:rPr>
          <w:rFonts w:ascii="Times New Roman" w:eastAsia="仿宋" w:hAnsi="Times New Roman" w:cs="仿宋" w:hint="eastAsia"/>
          <w:color w:val="000000"/>
          <w:kern w:val="0"/>
          <w:szCs w:val="18"/>
        </w:rPr>
        <w:t>468</w:t>
      </w:r>
      <w:r>
        <w:rPr>
          <w:rFonts w:ascii="仿宋" w:eastAsia="仿宋" w:hAnsi="仿宋" w:cs="仿宋" w:hint="eastAsia"/>
          <w:color w:val="000000"/>
          <w:kern w:val="0"/>
          <w:szCs w:val="18"/>
        </w:rPr>
        <w:t>条、第</w:t>
      </w:r>
      <w:r>
        <w:rPr>
          <w:rFonts w:ascii="Times New Roman" w:eastAsia="仿宋" w:hAnsi="Times New Roman" w:cs="仿宋" w:hint="eastAsia"/>
          <w:color w:val="000000"/>
          <w:kern w:val="0"/>
          <w:szCs w:val="18"/>
        </w:rPr>
        <w:t>545</w:t>
      </w:r>
      <w:r>
        <w:rPr>
          <w:rFonts w:ascii="仿宋" w:eastAsia="仿宋" w:hAnsi="仿宋" w:cs="仿宋" w:hint="eastAsia"/>
          <w:color w:val="000000"/>
          <w:kern w:val="0"/>
          <w:szCs w:val="18"/>
        </w:rPr>
        <w:t>条。</w:t>
      </w:r>
    </w:p>
  </w:footnote>
  <w:footnote w:id="30">
    <w:p w14:paraId="732C217F" w14:textId="77777777" w:rsidR="00844F3D" w:rsidRDefault="00000000">
      <w:pPr>
        <w:pStyle w:val="a9"/>
        <w:ind w:firstLineChars="200" w:firstLine="360"/>
        <w:rPr>
          <w:rFonts w:ascii="仿宋" w:eastAsia="仿宋" w:hAnsi="仿宋" w:cs="仿宋" w:hint="eastAsia"/>
        </w:rPr>
      </w:pPr>
      <w:r>
        <w:rPr>
          <w:rStyle w:val="af0"/>
          <w:rFonts w:ascii="仿宋" w:eastAsia="仿宋" w:hAnsi="仿宋" w:cs="仿宋" w:hint="eastAsia"/>
        </w:rPr>
        <w:footnoteRef/>
      </w:r>
      <w:r>
        <w:rPr>
          <w:rFonts w:ascii="仿宋" w:eastAsia="仿宋" w:hAnsi="仿宋" w:cs="仿宋" w:hint="eastAsia"/>
        </w:rPr>
        <w:t xml:space="preserve"> </w:t>
      </w:r>
      <w:r>
        <w:rPr>
          <w:rFonts w:ascii="Times New Roman" w:eastAsia="仿宋" w:hAnsi="Times New Roman" w:cs="仿宋" w:hint="eastAsia"/>
        </w:rPr>
        <w:t>See</w:t>
      </w:r>
      <w:r>
        <w:rPr>
          <w:rFonts w:ascii="仿宋" w:eastAsia="仿宋" w:hAnsi="仿宋" w:cs="仿宋" w:hint="eastAsia"/>
        </w:rPr>
        <w:t xml:space="preserve"> </w:t>
      </w:r>
      <w:r>
        <w:rPr>
          <w:rFonts w:ascii="Times New Roman" w:eastAsia="仿宋" w:hAnsi="Times New Roman" w:cs="仿宋" w:hint="eastAsia"/>
        </w:rPr>
        <w:t>Julien</w:t>
      </w:r>
      <w:r>
        <w:rPr>
          <w:rFonts w:ascii="仿宋" w:eastAsia="仿宋" w:hAnsi="仿宋" w:cs="仿宋" w:hint="eastAsia"/>
        </w:rPr>
        <w:t xml:space="preserve"> </w:t>
      </w:r>
      <w:proofErr w:type="spellStart"/>
      <w:r>
        <w:rPr>
          <w:rFonts w:ascii="Times New Roman" w:eastAsia="仿宋" w:hAnsi="Times New Roman" w:cs="仿宋" w:hint="eastAsia"/>
        </w:rPr>
        <w:t>Chaisse</w:t>
      </w:r>
      <w:proofErr w:type="spellEnd"/>
      <w:r>
        <w:rPr>
          <w:rFonts w:ascii="仿宋" w:eastAsia="仿宋" w:hAnsi="仿宋" w:cs="仿宋" w:hint="eastAsia"/>
        </w:rPr>
        <w:t xml:space="preserve"> </w:t>
      </w:r>
      <w:r>
        <w:rPr>
          <w:rFonts w:ascii="Times New Roman" w:eastAsia="仿宋" w:hAnsi="Times New Roman" w:cs="仿宋" w:hint="eastAsia"/>
        </w:rPr>
        <w:t>and</w:t>
      </w:r>
      <w:r>
        <w:rPr>
          <w:rFonts w:ascii="仿宋" w:eastAsia="仿宋" w:hAnsi="仿宋" w:cs="仿宋" w:hint="eastAsia"/>
        </w:rPr>
        <w:t xml:space="preserve"> </w:t>
      </w:r>
      <w:r>
        <w:rPr>
          <w:rFonts w:ascii="Times New Roman" w:eastAsia="仿宋" w:hAnsi="Times New Roman" w:cs="仿宋" w:hint="eastAsia"/>
        </w:rPr>
        <w:t>Jamieson</w:t>
      </w:r>
      <w:r>
        <w:rPr>
          <w:rFonts w:ascii="仿宋" w:eastAsia="仿宋" w:hAnsi="仿宋" w:cs="仿宋" w:hint="eastAsia"/>
        </w:rPr>
        <w:t xml:space="preserve"> </w:t>
      </w:r>
      <w:r>
        <w:rPr>
          <w:rFonts w:ascii="Times New Roman" w:eastAsia="仿宋" w:hAnsi="Times New Roman" w:cs="仿宋" w:hint="eastAsia"/>
        </w:rPr>
        <w:t>Kirkwood</w:t>
      </w:r>
      <w:r>
        <w:rPr>
          <w:rFonts w:ascii="仿宋" w:eastAsia="仿宋" w:hAnsi="仿宋" w:cs="仿宋" w:hint="eastAsia"/>
        </w:rPr>
        <w:t xml:space="preserve">, </w:t>
      </w:r>
      <w:proofErr w:type="spellStart"/>
      <w:r>
        <w:rPr>
          <w:rFonts w:ascii="Times New Roman" w:eastAsia="仿宋" w:hAnsi="Times New Roman" w:cs="仿宋" w:hint="eastAsia"/>
          <w:i/>
          <w:iCs/>
        </w:rPr>
        <w:t>Tokenised</w:t>
      </w:r>
      <w:proofErr w:type="spellEnd"/>
      <w:r>
        <w:rPr>
          <w:rFonts w:ascii="仿宋" w:eastAsia="仿宋" w:hAnsi="仿宋" w:cs="仿宋" w:hint="eastAsia"/>
          <w:i/>
          <w:iCs/>
        </w:rPr>
        <w:t xml:space="preserve"> </w:t>
      </w:r>
      <w:r>
        <w:rPr>
          <w:rFonts w:ascii="Times New Roman" w:eastAsia="仿宋" w:hAnsi="Times New Roman" w:cs="仿宋" w:hint="eastAsia"/>
          <w:i/>
          <w:iCs/>
        </w:rPr>
        <w:t>Funding</w:t>
      </w:r>
      <w:r>
        <w:rPr>
          <w:rFonts w:ascii="仿宋" w:eastAsia="仿宋" w:hAnsi="仿宋" w:cs="仿宋" w:hint="eastAsia"/>
          <w:i/>
          <w:iCs/>
        </w:rPr>
        <w:t xml:space="preserve"> </w:t>
      </w:r>
      <w:r>
        <w:rPr>
          <w:rFonts w:ascii="Times New Roman" w:eastAsia="仿宋" w:hAnsi="Times New Roman" w:cs="仿宋" w:hint="eastAsia"/>
          <w:i/>
          <w:iCs/>
        </w:rPr>
        <w:t>and</w:t>
      </w:r>
      <w:r>
        <w:rPr>
          <w:rFonts w:ascii="仿宋" w:eastAsia="仿宋" w:hAnsi="仿宋" w:cs="仿宋" w:hint="eastAsia"/>
          <w:i/>
          <w:iCs/>
        </w:rPr>
        <w:t xml:space="preserve"> </w:t>
      </w:r>
      <w:r>
        <w:rPr>
          <w:rFonts w:ascii="Times New Roman" w:eastAsia="仿宋" w:hAnsi="Times New Roman" w:cs="仿宋" w:hint="eastAsia"/>
          <w:i/>
          <w:iCs/>
        </w:rPr>
        <w:t>Initial</w:t>
      </w:r>
      <w:r>
        <w:rPr>
          <w:rFonts w:ascii="仿宋" w:eastAsia="仿宋" w:hAnsi="仿宋" w:cs="仿宋" w:hint="eastAsia"/>
          <w:i/>
          <w:iCs/>
        </w:rPr>
        <w:t xml:space="preserve"> </w:t>
      </w:r>
      <w:r>
        <w:rPr>
          <w:rFonts w:ascii="Times New Roman" w:eastAsia="仿宋" w:hAnsi="Times New Roman" w:cs="仿宋" w:hint="eastAsia"/>
          <w:i/>
          <w:iCs/>
        </w:rPr>
        <w:t>Litigation</w:t>
      </w:r>
      <w:r>
        <w:rPr>
          <w:rFonts w:ascii="仿宋" w:eastAsia="仿宋" w:hAnsi="仿宋" w:cs="仿宋" w:hint="eastAsia"/>
          <w:i/>
          <w:iCs/>
        </w:rPr>
        <w:t xml:space="preserve"> </w:t>
      </w:r>
      <w:r>
        <w:rPr>
          <w:rFonts w:ascii="Times New Roman" w:eastAsia="仿宋" w:hAnsi="Times New Roman" w:cs="仿宋" w:hint="eastAsia"/>
          <w:i/>
          <w:iCs/>
        </w:rPr>
        <w:t>Offerings</w:t>
      </w:r>
      <w:r>
        <w:rPr>
          <w:rFonts w:ascii="仿宋" w:eastAsia="仿宋" w:hAnsi="仿宋" w:cs="仿宋" w:hint="eastAsia"/>
          <w:i/>
          <w:iCs/>
        </w:rPr>
        <w:t xml:space="preserve">: </w:t>
      </w:r>
      <w:r>
        <w:rPr>
          <w:rFonts w:ascii="Times New Roman" w:eastAsia="仿宋" w:hAnsi="Times New Roman" w:cs="仿宋" w:hint="eastAsia"/>
          <w:i/>
          <w:iCs/>
        </w:rPr>
        <w:t>The</w:t>
      </w:r>
      <w:r>
        <w:rPr>
          <w:rFonts w:ascii="仿宋" w:eastAsia="仿宋" w:hAnsi="仿宋" w:cs="仿宋" w:hint="eastAsia"/>
          <w:i/>
          <w:iCs/>
        </w:rPr>
        <w:t xml:space="preserve"> </w:t>
      </w:r>
      <w:r>
        <w:rPr>
          <w:rFonts w:ascii="Times New Roman" w:eastAsia="仿宋" w:hAnsi="Times New Roman" w:cs="仿宋" w:hint="eastAsia"/>
          <w:i/>
          <w:iCs/>
        </w:rPr>
        <w:t>New</w:t>
      </w:r>
      <w:r>
        <w:rPr>
          <w:rFonts w:ascii="仿宋" w:eastAsia="仿宋" w:hAnsi="仿宋" w:cs="仿宋" w:hint="eastAsia"/>
          <w:i/>
          <w:iCs/>
        </w:rPr>
        <w:t xml:space="preserve"> </w:t>
      </w:r>
      <w:r>
        <w:rPr>
          <w:rFonts w:ascii="Times New Roman" w:eastAsia="仿宋" w:hAnsi="Times New Roman" w:cs="仿宋" w:hint="eastAsia"/>
          <w:i/>
          <w:iCs/>
        </w:rPr>
        <w:t>Kids</w:t>
      </w:r>
      <w:r>
        <w:rPr>
          <w:rFonts w:ascii="仿宋" w:eastAsia="仿宋" w:hAnsi="仿宋" w:cs="仿宋" w:hint="eastAsia"/>
          <w:i/>
          <w:iCs/>
        </w:rPr>
        <w:t xml:space="preserve"> </w:t>
      </w:r>
      <w:r>
        <w:rPr>
          <w:rFonts w:ascii="Times New Roman" w:eastAsia="仿宋" w:hAnsi="Times New Roman" w:cs="仿宋" w:hint="eastAsia"/>
          <w:i/>
          <w:iCs/>
        </w:rPr>
        <w:t>Putting</w:t>
      </w:r>
      <w:r>
        <w:rPr>
          <w:rFonts w:ascii="仿宋" w:eastAsia="仿宋" w:hAnsi="仿宋" w:cs="仿宋" w:hint="eastAsia"/>
          <w:i/>
          <w:iCs/>
        </w:rPr>
        <w:t xml:space="preserve"> </w:t>
      </w:r>
      <w:r>
        <w:rPr>
          <w:rFonts w:ascii="Times New Roman" w:eastAsia="仿宋" w:hAnsi="Times New Roman" w:cs="仿宋" w:hint="eastAsia"/>
          <w:i/>
          <w:iCs/>
        </w:rPr>
        <w:t>Third</w:t>
      </w:r>
      <w:r>
        <w:rPr>
          <w:rFonts w:ascii="仿宋" w:eastAsia="仿宋" w:hAnsi="仿宋" w:cs="仿宋" w:hint="eastAsia"/>
          <w:i/>
          <w:iCs/>
        </w:rPr>
        <w:t>-</w:t>
      </w:r>
      <w:r>
        <w:rPr>
          <w:rFonts w:ascii="Times New Roman" w:eastAsia="仿宋" w:hAnsi="Times New Roman" w:cs="仿宋" w:hint="eastAsia"/>
          <w:i/>
          <w:iCs/>
        </w:rPr>
        <w:t>Party</w:t>
      </w:r>
      <w:r>
        <w:rPr>
          <w:rFonts w:ascii="仿宋" w:eastAsia="仿宋" w:hAnsi="仿宋" w:cs="仿宋" w:hint="eastAsia"/>
          <w:i/>
          <w:iCs/>
        </w:rPr>
        <w:t xml:space="preserve"> </w:t>
      </w:r>
      <w:r>
        <w:rPr>
          <w:rFonts w:ascii="Times New Roman" w:eastAsia="仿宋" w:hAnsi="Times New Roman" w:cs="仿宋" w:hint="eastAsia"/>
          <w:i/>
          <w:iCs/>
        </w:rPr>
        <w:t>Funding</w:t>
      </w:r>
      <w:r>
        <w:rPr>
          <w:rFonts w:ascii="仿宋" w:eastAsia="仿宋" w:hAnsi="仿宋" w:cs="仿宋" w:hint="eastAsia"/>
          <w:i/>
          <w:iCs/>
        </w:rPr>
        <w:t xml:space="preserve"> </w:t>
      </w:r>
      <w:r>
        <w:rPr>
          <w:rFonts w:ascii="Times New Roman" w:eastAsia="仿宋" w:hAnsi="Times New Roman" w:cs="仿宋" w:hint="eastAsia"/>
          <w:i/>
          <w:iCs/>
        </w:rPr>
        <w:t>on</w:t>
      </w:r>
      <w:r>
        <w:rPr>
          <w:rFonts w:ascii="仿宋" w:eastAsia="仿宋" w:hAnsi="仿宋" w:cs="仿宋" w:hint="eastAsia"/>
          <w:i/>
          <w:iCs/>
        </w:rPr>
        <w:t xml:space="preserve"> </w:t>
      </w:r>
      <w:r>
        <w:rPr>
          <w:rFonts w:ascii="Times New Roman" w:eastAsia="仿宋" w:hAnsi="Times New Roman" w:cs="仿宋" w:hint="eastAsia"/>
          <w:i/>
          <w:iCs/>
        </w:rPr>
        <w:t>the</w:t>
      </w:r>
      <w:r>
        <w:rPr>
          <w:rFonts w:ascii="仿宋" w:eastAsia="仿宋" w:hAnsi="仿宋" w:cs="仿宋" w:hint="eastAsia"/>
          <w:i/>
          <w:iCs/>
        </w:rPr>
        <w:t xml:space="preserve"> </w:t>
      </w:r>
      <w:r>
        <w:rPr>
          <w:rFonts w:ascii="Times New Roman" w:eastAsia="仿宋" w:hAnsi="Times New Roman" w:cs="仿宋" w:hint="eastAsia"/>
          <w:i/>
          <w:iCs/>
        </w:rPr>
        <w:t>Block</w:t>
      </w:r>
      <w:r>
        <w:rPr>
          <w:rFonts w:ascii="仿宋" w:eastAsia="仿宋" w:hAnsi="仿宋" w:cs="仿宋" w:hint="eastAsia"/>
        </w:rPr>
        <w:t xml:space="preserve">, </w:t>
      </w:r>
      <w:r>
        <w:rPr>
          <w:rFonts w:ascii="Times New Roman" w:eastAsia="仿宋" w:hAnsi="Times New Roman" w:cs="仿宋" w:hint="eastAsia"/>
        </w:rPr>
        <w:t>Law</w:t>
      </w:r>
      <w:r>
        <w:rPr>
          <w:rFonts w:ascii="仿宋" w:eastAsia="仿宋" w:hAnsi="仿宋" w:cs="仿宋" w:hint="eastAsia"/>
        </w:rPr>
        <w:t xml:space="preserve"> </w:t>
      </w:r>
      <w:r>
        <w:rPr>
          <w:rFonts w:ascii="Times New Roman" w:eastAsia="仿宋" w:hAnsi="Times New Roman" w:cs="仿宋" w:hint="eastAsia"/>
        </w:rPr>
        <w:t>and</w:t>
      </w:r>
      <w:r>
        <w:rPr>
          <w:rFonts w:ascii="仿宋" w:eastAsia="仿宋" w:hAnsi="仿宋" w:cs="仿宋" w:hint="eastAsia"/>
        </w:rPr>
        <w:t xml:space="preserve"> </w:t>
      </w:r>
      <w:r>
        <w:rPr>
          <w:rFonts w:ascii="Times New Roman" w:eastAsia="仿宋" w:hAnsi="Times New Roman" w:cs="仿宋" w:hint="eastAsia"/>
        </w:rPr>
        <w:t>Financial</w:t>
      </w:r>
      <w:r>
        <w:rPr>
          <w:rFonts w:ascii="仿宋" w:eastAsia="仿宋" w:hAnsi="仿宋" w:cs="仿宋" w:hint="eastAsia"/>
        </w:rPr>
        <w:t xml:space="preserve"> </w:t>
      </w:r>
      <w:r>
        <w:rPr>
          <w:rFonts w:ascii="Times New Roman" w:eastAsia="仿宋" w:hAnsi="Times New Roman" w:cs="仿宋" w:hint="eastAsia"/>
        </w:rPr>
        <w:t>Markets</w:t>
      </w:r>
      <w:r>
        <w:rPr>
          <w:rFonts w:ascii="仿宋" w:eastAsia="仿宋" w:hAnsi="仿宋" w:cs="仿宋" w:hint="eastAsia"/>
        </w:rPr>
        <w:t xml:space="preserve"> </w:t>
      </w:r>
      <w:r>
        <w:rPr>
          <w:rFonts w:ascii="Times New Roman" w:eastAsia="仿宋" w:hAnsi="Times New Roman" w:cs="仿宋" w:hint="eastAsia"/>
        </w:rPr>
        <w:t>Review</w:t>
      </w:r>
      <w:r>
        <w:rPr>
          <w:rFonts w:ascii="仿宋" w:eastAsia="仿宋" w:hAnsi="仿宋" w:cs="仿宋" w:hint="eastAsia"/>
        </w:rPr>
        <w:t xml:space="preserve">, </w:t>
      </w:r>
      <w:r>
        <w:rPr>
          <w:rFonts w:ascii="Times New Roman" w:eastAsia="仿宋" w:hAnsi="Times New Roman" w:cs="仿宋" w:hint="eastAsia"/>
        </w:rPr>
        <w:t>Vol</w:t>
      </w:r>
      <w:r>
        <w:rPr>
          <w:rFonts w:ascii="仿宋" w:eastAsia="仿宋" w:hAnsi="仿宋" w:cs="仿宋" w:hint="eastAsia"/>
        </w:rPr>
        <w:t>.</w:t>
      </w:r>
      <w:r>
        <w:rPr>
          <w:rFonts w:ascii="Times New Roman" w:eastAsia="仿宋" w:hAnsi="Times New Roman" w:cs="仿宋" w:hint="eastAsia"/>
        </w:rPr>
        <w:t>16</w:t>
      </w:r>
      <w:r>
        <w:rPr>
          <w:rFonts w:ascii="仿宋" w:eastAsia="仿宋" w:hAnsi="仿宋" w:cs="仿宋" w:hint="eastAsia"/>
        </w:rPr>
        <w:t xml:space="preserve">, </w:t>
      </w:r>
      <w:r>
        <w:rPr>
          <w:rFonts w:ascii="Times New Roman" w:eastAsia="仿宋" w:hAnsi="Times New Roman" w:cs="仿宋" w:hint="eastAsia"/>
        </w:rPr>
        <w:t>p</w:t>
      </w:r>
      <w:r>
        <w:rPr>
          <w:rFonts w:ascii="仿宋" w:eastAsia="仿宋" w:hAnsi="仿宋" w:cs="仿宋" w:hint="eastAsia"/>
        </w:rPr>
        <w:t>.</w:t>
      </w:r>
      <w:r>
        <w:rPr>
          <w:rFonts w:ascii="Times New Roman" w:eastAsia="仿宋" w:hAnsi="Times New Roman" w:cs="仿宋" w:hint="eastAsia"/>
        </w:rPr>
        <w:t>23</w:t>
      </w:r>
      <w:r>
        <w:rPr>
          <w:rFonts w:ascii="仿宋" w:eastAsia="仿宋" w:hAnsi="仿宋" w:cs="仿宋" w:hint="eastAsia"/>
        </w:rPr>
        <w:t>-</w:t>
      </w:r>
      <w:r>
        <w:rPr>
          <w:rFonts w:ascii="Times New Roman" w:eastAsia="仿宋" w:hAnsi="Times New Roman" w:cs="仿宋" w:hint="eastAsia"/>
        </w:rPr>
        <w:t>33</w:t>
      </w:r>
      <w:r>
        <w:rPr>
          <w:rFonts w:ascii="仿宋" w:eastAsia="仿宋" w:hAnsi="仿宋" w:cs="仿宋" w:hint="eastAsia"/>
        </w:rPr>
        <w:t xml:space="preserve"> (</w:t>
      </w:r>
      <w:r>
        <w:rPr>
          <w:rFonts w:ascii="Times New Roman" w:eastAsia="仿宋" w:hAnsi="Times New Roman" w:cs="仿宋" w:hint="eastAsia"/>
        </w:rPr>
        <w:t>2022</w:t>
      </w:r>
      <w:r>
        <w:rPr>
          <w:rFonts w:ascii="仿宋" w:eastAsia="仿宋" w:hAnsi="仿宋" w:cs="仿宋" w:hint="eastAsia"/>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63AD7"/>
    <w:multiLevelType w:val="hybridMultilevel"/>
    <w:tmpl w:val="DE4485A6"/>
    <w:lvl w:ilvl="0" w:tplc="AB707A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266381C"/>
    <w:multiLevelType w:val="singleLevel"/>
    <w:tmpl w:val="1266381C"/>
    <w:lvl w:ilvl="0">
      <w:start w:val="2"/>
      <w:numFmt w:val="decimal"/>
      <w:suff w:val="nothing"/>
      <w:lvlText w:val="%1."/>
      <w:lvlJc w:val="left"/>
      <w:rPr>
        <w:rFonts w:ascii="Times New Roman" w:hAnsi="Times New Roman" w:cs="Times New Roman" w:hint="default"/>
      </w:rPr>
    </w:lvl>
  </w:abstractNum>
  <w:abstractNum w:abstractNumId="2" w15:restartNumberingAfterBreak="0">
    <w:nsid w:val="786E53F5"/>
    <w:multiLevelType w:val="singleLevel"/>
    <w:tmpl w:val="786E53F5"/>
    <w:lvl w:ilvl="0">
      <w:start w:val="2"/>
      <w:numFmt w:val="chineseCounting"/>
      <w:suff w:val="nothing"/>
      <w:lvlText w:val="%1、"/>
      <w:lvlJc w:val="left"/>
      <w:rPr>
        <w:rFonts w:hint="eastAsia"/>
      </w:rPr>
    </w:lvl>
  </w:abstractNum>
  <w:num w:numId="1" w16cid:durableId="1511945167">
    <w:abstractNumId w:val="2"/>
  </w:num>
  <w:num w:numId="2" w16cid:durableId="2055496185">
    <w:abstractNumId w:val="1"/>
  </w:num>
  <w:num w:numId="3" w16cid:durableId="58222481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审稿人2">
    <w15:presenceInfo w15:providerId="None" w15:userId="审稿人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09"/>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50" fillcolor="white">
      <v:fill color="white"/>
    </o:shapedefaults>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mE4YWE2NWM2NjkyMzUxOGRkNDNkNjJlMmYxYjJlZDkifQ=="/>
  </w:docVars>
  <w:rsids>
    <w:rsidRoot w:val="00F6713D"/>
    <w:rsid w:val="00015DD2"/>
    <w:rsid w:val="00024985"/>
    <w:rsid w:val="000603C4"/>
    <w:rsid w:val="0006452B"/>
    <w:rsid w:val="000D71E6"/>
    <w:rsid w:val="000F7F8E"/>
    <w:rsid w:val="0010328C"/>
    <w:rsid w:val="001A6FEB"/>
    <w:rsid w:val="00203C4D"/>
    <w:rsid w:val="00214F59"/>
    <w:rsid w:val="00230C9D"/>
    <w:rsid w:val="00233D64"/>
    <w:rsid w:val="002351C6"/>
    <w:rsid w:val="00290874"/>
    <w:rsid w:val="00293393"/>
    <w:rsid w:val="002B4586"/>
    <w:rsid w:val="002B4C9D"/>
    <w:rsid w:val="002E03B4"/>
    <w:rsid w:val="003010AE"/>
    <w:rsid w:val="0034569D"/>
    <w:rsid w:val="003656CC"/>
    <w:rsid w:val="00374865"/>
    <w:rsid w:val="0038721D"/>
    <w:rsid w:val="00390035"/>
    <w:rsid w:val="003A6B6B"/>
    <w:rsid w:val="003B6B02"/>
    <w:rsid w:val="003C2CA0"/>
    <w:rsid w:val="003C7958"/>
    <w:rsid w:val="003F15F2"/>
    <w:rsid w:val="0040627D"/>
    <w:rsid w:val="00407344"/>
    <w:rsid w:val="00420989"/>
    <w:rsid w:val="0042213D"/>
    <w:rsid w:val="004373C9"/>
    <w:rsid w:val="00441319"/>
    <w:rsid w:val="00442067"/>
    <w:rsid w:val="00445D93"/>
    <w:rsid w:val="00467D4C"/>
    <w:rsid w:val="004971E1"/>
    <w:rsid w:val="004A71FA"/>
    <w:rsid w:val="005454A0"/>
    <w:rsid w:val="00552BCF"/>
    <w:rsid w:val="005720FB"/>
    <w:rsid w:val="0063018F"/>
    <w:rsid w:val="006F0290"/>
    <w:rsid w:val="006F4B8C"/>
    <w:rsid w:val="00703496"/>
    <w:rsid w:val="00712358"/>
    <w:rsid w:val="0071502F"/>
    <w:rsid w:val="00771AAC"/>
    <w:rsid w:val="0077348D"/>
    <w:rsid w:val="007C2405"/>
    <w:rsid w:val="007D4119"/>
    <w:rsid w:val="007D6A53"/>
    <w:rsid w:val="007E127A"/>
    <w:rsid w:val="007E2FB6"/>
    <w:rsid w:val="007F1DCD"/>
    <w:rsid w:val="0080231F"/>
    <w:rsid w:val="008029B8"/>
    <w:rsid w:val="008320C1"/>
    <w:rsid w:val="00832B4D"/>
    <w:rsid w:val="00844F3D"/>
    <w:rsid w:val="008476DB"/>
    <w:rsid w:val="008865FC"/>
    <w:rsid w:val="008B1D87"/>
    <w:rsid w:val="0091194F"/>
    <w:rsid w:val="00921B0E"/>
    <w:rsid w:val="009758FF"/>
    <w:rsid w:val="00991ED3"/>
    <w:rsid w:val="00995451"/>
    <w:rsid w:val="00996931"/>
    <w:rsid w:val="009B54DD"/>
    <w:rsid w:val="009E24C2"/>
    <w:rsid w:val="009E7BAF"/>
    <w:rsid w:val="00A5758D"/>
    <w:rsid w:val="00A9773B"/>
    <w:rsid w:val="00B073A8"/>
    <w:rsid w:val="00B33F3C"/>
    <w:rsid w:val="00B372F4"/>
    <w:rsid w:val="00B65CD7"/>
    <w:rsid w:val="00BC4804"/>
    <w:rsid w:val="00BD084A"/>
    <w:rsid w:val="00BD588A"/>
    <w:rsid w:val="00BE4B7A"/>
    <w:rsid w:val="00C015E1"/>
    <w:rsid w:val="00C322A4"/>
    <w:rsid w:val="00C91450"/>
    <w:rsid w:val="00CA1B46"/>
    <w:rsid w:val="00D03641"/>
    <w:rsid w:val="00D47DA0"/>
    <w:rsid w:val="00E05FE0"/>
    <w:rsid w:val="00E102F7"/>
    <w:rsid w:val="00E1296C"/>
    <w:rsid w:val="00E6723A"/>
    <w:rsid w:val="00E67FA3"/>
    <w:rsid w:val="00EA6D9F"/>
    <w:rsid w:val="00EB17A1"/>
    <w:rsid w:val="00EC76E9"/>
    <w:rsid w:val="00F12261"/>
    <w:rsid w:val="00F13F21"/>
    <w:rsid w:val="00F55F60"/>
    <w:rsid w:val="00F6713D"/>
    <w:rsid w:val="00FB23DF"/>
    <w:rsid w:val="014642B4"/>
    <w:rsid w:val="019D115B"/>
    <w:rsid w:val="01AA3877"/>
    <w:rsid w:val="02642D03"/>
    <w:rsid w:val="034F1961"/>
    <w:rsid w:val="03524787"/>
    <w:rsid w:val="03A26EFC"/>
    <w:rsid w:val="03AA208C"/>
    <w:rsid w:val="03D62BD7"/>
    <w:rsid w:val="043801DA"/>
    <w:rsid w:val="0490211B"/>
    <w:rsid w:val="04913DE8"/>
    <w:rsid w:val="05171224"/>
    <w:rsid w:val="05B10E10"/>
    <w:rsid w:val="05C574F8"/>
    <w:rsid w:val="05E1268E"/>
    <w:rsid w:val="067526A6"/>
    <w:rsid w:val="06A25465"/>
    <w:rsid w:val="06BB2927"/>
    <w:rsid w:val="06FE3FC2"/>
    <w:rsid w:val="07610E7C"/>
    <w:rsid w:val="077B0190"/>
    <w:rsid w:val="07E234ED"/>
    <w:rsid w:val="08095317"/>
    <w:rsid w:val="085A5FF7"/>
    <w:rsid w:val="08663050"/>
    <w:rsid w:val="08BB42A8"/>
    <w:rsid w:val="095E64EE"/>
    <w:rsid w:val="09B07E99"/>
    <w:rsid w:val="09FE29B2"/>
    <w:rsid w:val="0A0855E6"/>
    <w:rsid w:val="0A531FE1"/>
    <w:rsid w:val="0AC7549A"/>
    <w:rsid w:val="0B1701D0"/>
    <w:rsid w:val="0BB53545"/>
    <w:rsid w:val="0BB579E9"/>
    <w:rsid w:val="0C01678A"/>
    <w:rsid w:val="0C7D2C01"/>
    <w:rsid w:val="0CC35BCC"/>
    <w:rsid w:val="0CD619C5"/>
    <w:rsid w:val="0CF63E15"/>
    <w:rsid w:val="0D0B3D64"/>
    <w:rsid w:val="0DF50570"/>
    <w:rsid w:val="0EBB220F"/>
    <w:rsid w:val="0EC00B7E"/>
    <w:rsid w:val="0F1E68BF"/>
    <w:rsid w:val="0F5F0397"/>
    <w:rsid w:val="0F746DA5"/>
    <w:rsid w:val="10066A65"/>
    <w:rsid w:val="10093F76"/>
    <w:rsid w:val="10552419"/>
    <w:rsid w:val="10A739ED"/>
    <w:rsid w:val="1187600B"/>
    <w:rsid w:val="12D270D2"/>
    <w:rsid w:val="12E76021"/>
    <w:rsid w:val="13836075"/>
    <w:rsid w:val="14811EA9"/>
    <w:rsid w:val="14D26F15"/>
    <w:rsid w:val="15453B8B"/>
    <w:rsid w:val="15A22D8C"/>
    <w:rsid w:val="15AF54A9"/>
    <w:rsid w:val="16315EBE"/>
    <w:rsid w:val="16475611"/>
    <w:rsid w:val="16745F8D"/>
    <w:rsid w:val="16862DBB"/>
    <w:rsid w:val="169C5A2D"/>
    <w:rsid w:val="171952CF"/>
    <w:rsid w:val="171F709D"/>
    <w:rsid w:val="173C0FBE"/>
    <w:rsid w:val="1742079A"/>
    <w:rsid w:val="17BF2407"/>
    <w:rsid w:val="19340585"/>
    <w:rsid w:val="19AA792E"/>
    <w:rsid w:val="19B94B48"/>
    <w:rsid w:val="1A194191"/>
    <w:rsid w:val="1A231FC1"/>
    <w:rsid w:val="1A466094"/>
    <w:rsid w:val="1B2B737F"/>
    <w:rsid w:val="1B8F3DB2"/>
    <w:rsid w:val="1C224C26"/>
    <w:rsid w:val="1C741B07"/>
    <w:rsid w:val="1C8651B5"/>
    <w:rsid w:val="1CC161ED"/>
    <w:rsid w:val="1CF245F9"/>
    <w:rsid w:val="1E3C2FE7"/>
    <w:rsid w:val="1FE8712A"/>
    <w:rsid w:val="200563F1"/>
    <w:rsid w:val="20907437"/>
    <w:rsid w:val="209D023F"/>
    <w:rsid w:val="20C92113"/>
    <w:rsid w:val="21162880"/>
    <w:rsid w:val="231D6A8C"/>
    <w:rsid w:val="23B048C6"/>
    <w:rsid w:val="23B80833"/>
    <w:rsid w:val="240864B0"/>
    <w:rsid w:val="241242B9"/>
    <w:rsid w:val="245B0CD5"/>
    <w:rsid w:val="246B0B58"/>
    <w:rsid w:val="247E2C16"/>
    <w:rsid w:val="2536704D"/>
    <w:rsid w:val="257638ED"/>
    <w:rsid w:val="257C53A7"/>
    <w:rsid w:val="25C122D4"/>
    <w:rsid w:val="26633E71"/>
    <w:rsid w:val="267C4F33"/>
    <w:rsid w:val="26B26BA7"/>
    <w:rsid w:val="26C8136C"/>
    <w:rsid w:val="26D11723"/>
    <w:rsid w:val="271D5BF6"/>
    <w:rsid w:val="274D7D67"/>
    <w:rsid w:val="27EC07BB"/>
    <w:rsid w:val="281E208B"/>
    <w:rsid w:val="2833540D"/>
    <w:rsid w:val="28A80261"/>
    <w:rsid w:val="28E953E3"/>
    <w:rsid w:val="29883BEF"/>
    <w:rsid w:val="29E03A2B"/>
    <w:rsid w:val="2A7A370B"/>
    <w:rsid w:val="2A8D22D0"/>
    <w:rsid w:val="2AAB2EAD"/>
    <w:rsid w:val="2B1C0A93"/>
    <w:rsid w:val="2B894E52"/>
    <w:rsid w:val="2BCA3AB8"/>
    <w:rsid w:val="2C475FE3"/>
    <w:rsid w:val="2C634BDE"/>
    <w:rsid w:val="2D236108"/>
    <w:rsid w:val="2D423C3A"/>
    <w:rsid w:val="2E296BEE"/>
    <w:rsid w:val="2E6764C9"/>
    <w:rsid w:val="2E823302"/>
    <w:rsid w:val="2EA76F9B"/>
    <w:rsid w:val="2EE61AE3"/>
    <w:rsid w:val="2F012479"/>
    <w:rsid w:val="2F0D7070"/>
    <w:rsid w:val="2F177EEF"/>
    <w:rsid w:val="2F57653D"/>
    <w:rsid w:val="2FCA6D0F"/>
    <w:rsid w:val="2FD37061"/>
    <w:rsid w:val="30395E61"/>
    <w:rsid w:val="30521F14"/>
    <w:rsid w:val="31C14142"/>
    <w:rsid w:val="32024E86"/>
    <w:rsid w:val="32BE133C"/>
    <w:rsid w:val="32C4038E"/>
    <w:rsid w:val="339064C2"/>
    <w:rsid w:val="340D366E"/>
    <w:rsid w:val="35BD237C"/>
    <w:rsid w:val="35E84393"/>
    <w:rsid w:val="363475D8"/>
    <w:rsid w:val="3702407C"/>
    <w:rsid w:val="371F5B92"/>
    <w:rsid w:val="37A83DDA"/>
    <w:rsid w:val="37DD77A1"/>
    <w:rsid w:val="37F54E9C"/>
    <w:rsid w:val="381274A5"/>
    <w:rsid w:val="389307DD"/>
    <w:rsid w:val="38FB1854"/>
    <w:rsid w:val="390D2B5F"/>
    <w:rsid w:val="39602492"/>
    <w:rsid w:val="39D14B69"/>
    <w:rsid w:val="3A6F6286"/>
    <w:rsid w:val="3AC52EF5"/>
    <w:rsid w:val="3ACE7FFB"/>
    <w:rsid w:val="3AE24489"/>
    <w:rsid w:val="3B64626A"/>
    <w:rsid w:val="3BB05953"/>
    <w:rsid w:val="3BC33613"/>
    <w:rsid w:val="3BE11443"/>
    <w:rsid w:val="3C177780"/>
    <w:rsid w:val="3C575DCE"/>
    <w:rsid w:val="3C787BC6"/>
    <w:rsid w:val="3C9568F7"/>
    <w:rsid w:val="3D714C2C"/>
    <w:rsid w:val="3DDC2A2F"/>
    <w:rsid w:val="3DE96EFA"/>
    <w:rsid w:val="3E630A5B"/>
    <w:rsid w:val="3E734A16"/>
    <w:rsid w:val="3E822C5F"/>
    <w:rsid w:val="3E847B24"/>
    <w:rsid w:val="3EE6343A"/>
    <w:rsid w:val="3F0F6B1E"/>
    <w:rsid w:val="3FAA090B"/>
    <w:rsid w:val="3FAB62C4"/>
    <w:rsid w:val="3FBB31B6"/>
    <w:rsid w:val="400B75FC"/>
    <w:rsid w:val="40572841"/>
    <w:rsid w:val="409B56A6"/>
    <w:rsid w:val="40A610D2"/>
    <w:rsid w:val="410D4CAE"/>
    <w:rsid w:val="412940AD"/>
    <w:rsid w:val="414F52C6"/>
    <w:rsid w:val="41652357"/>
    <w:rsid w:val="41994793"/>
    <w:rsid w:val="42584485"/>
    <w:rsid w:val="42EA174A"/>
    <w:rsid w:val="43A318F9"/>
    <w:rsid w:val="44047448"/>
    <w:rsid w:val="44171B9B"/>
    <w:rsid w:val="446A2417"/>
    <w:rsid w:val="44781760"/>
    <w:rsid w:val="44E346A3"/>
    <w:rsid w:val="44FF34A7"/>
    <w:rsid w:val="4508235C"/>
    <w:rsid w:val="458F0387"/>
    <w:rsid w:val="459841C5"/>
    <w:rsid w:val="46362EF9"/>
    <w:rsid w:val="46436B7B"/>
    <w:rsid w:val="46DC584E"/>
    <w:rsid w:val="47881532"/>
    <w:rsid w:val="493168F3"/>
    <w:rsid w:val="49A5461D"/>
    <w:rsid w:val="4A534079"/>
    <w:rsid w:val="4A571325"/>
    <w:rsid w:val="4A844B95"/>
    <w:rsid w:val="4A882E17"/>
    <w:rsid w:val="4A8C20F0"/>
    <w:rsid w:val="4B904E59"/>
    <w:rsid w:val="4C6572B6"/>
    <w:rsid w:val="4C9170DB"/>
    <w:rsid w:val="4C993243"/>
    <w:rsid w:val="4CB005F3"/>
    <w:rsid w:val="4D75655B"/>
    <w:rsid w:val="4D967F48"/>
    <w:rsid w:val="4DEB0F49"/>
    <w:rsid w:val="4E636855"/>
    <w:rsid w:val="4EE259CC"/>
    <w:rsid w:val="4EFD5288"/>
    <w:rsid w:val="4EFF6939"/>
    <w:rsid w:val="4F337FD5"/>
    <w:rsid w:val="4FAA3E7B"/>
    <w:rsid w:val="4FB37368"/>
    <w:rsid w:val="4FD839B8"/>
    <w:rsid w:val="4FDA66A3"/>
    <w:rsid w:val="5003209D"/>
    <w:rsid w:val="503F7F3F"/>
    <w:rsid w:val="51031C29"/>
    <w:rsid w:val="512D711E"/>
    <w:rsid w:val="530C1269"/>
    <w:rsid w:val="530C3017"/>
    <w:rsid w:val="530D5212"/>
    <w:rsid w:val="53191BD8"/>
    <w:rsid w:val="53605111"/>
    <w:rsid w:val="536F2B78"/>
    <w:rsid w:val="537A670B"/>
    <w:rsid w:val="537D3F15"/>
    <w:rsid w:val="538C5F06"/>
    <w:rsid w:val="53BA6F17"/>
    <w:rsid w:val="54196BAA"/>
    <w:rsid w:val="545509EE"/>
    <w:rsid w:val="54797C3F"/>
    <w:rsid w:val="54E83610"/>
    <w:rsid w:val="5545078F"/>
    <w:rsid w:val="55B04C29"/>
    <w:rsid w:val="562276C7"/>
    <w:rsid w:val="56332FB1"/>
    <w:rsid w:val="569033F4"/>
    <w:rsid w:val="56B8686D"/>
    <w:rsid w:val="57234DD3"/>
    <w:rsid w:val="57477D6D"/>
    <w:rsid w:val="57C659BC"/>
    <w:rsid w:val="58555460"/>
    <w:rsid w:val="58A4393E"/>
    <w:rsid w:val="58D26AB1"/>
    <w:rsid w:val="5932754F"/>
    <w:rsid w:val="5982238A"/>
    <w:rsid w:val="59997AA8"/>
    <w:rsid w:val="59D957AC"/>
    <w:rsid w:val="5A032C9A"/>
    <w:rsid w:val="5A0802B0"/>
    <w:rsid w:val="5A490FF5"/>
    <w:rsid w:val="5BDD0946"/>
    <w:rsid w:val="5BF5493D"/>
    <w:rsid w:val="5C166CB5"/>
    <w:rsid w:val="5C337866"/>
    <w:rsid w:val="5CB5471F"/>
    <w:rsid w:val="5CF875D5"/>
    <w:rsid w:val="5D172CE4"/>
    <w:rsid w:val="5D8440F2"/>
    <w:rsid w:val="5E127950"/>
    <w:rsid w:val="5EC0115A"/>
    <w:rsid w:val="5EDE381B"/>
    <w:rsid w:val="5F57386C"/>
    <w:rsid w:val="5F5F12DE"/>
    <w:rsid w:val="5F866B80"/>
    <w:rsid w:val="5FDC73C0"/>
    <w:rsid w:val="609B1E7E"/>
    <w:rsid w:val="61A86601"/>
    <w:rsid w:val="61B76844"/>
    <w:rsid w:val="61D90EB0"/>
    <w:rsid w:val="61E91EFB"/>
    <w:rsid w:val="6239194F"/>
    <w:rsid w:val="62661F32"/>
    <w:rsid w:val="62790482"/>
    <w:rsid w:val="6285080B"/>
    <w:rsid w:val="62917095"/>
    <w:rsid w:val="636D5D54"/>
    <w:rsid w:val="63700BA5"/>
    <w:rsid w:val="637B1AF3"/>
    <w:rsid w:val="63984453"/>
    <w:rsid w:val="64803865"/>
    <w:rsid w:val="6493559F"/>
    <w:rsid w:val="652F7039"/>
    <w:rsid w:val="654900FB"/>
    <w:rsid w:val="65A765CA"/>
    <w:rsid w:val="66707909"/>
    <w:rsid w:val="668533B4"/>
    <w:rsid w:val="68077DF9"/>
    <w:rsid w:val="68B57855"/>
    <w:rsid w:val="69F04FE9"/>
    <w:rsid w:val="6A117CEA"/>
    <w:rsid w:val="6A876FCF"/>
    <w:rsid w:val="6AC36259"/>
    <w:rsid w:val="6AEF704E"/>
    <w:rsid w:val="6B1765A5"/>
    <w:rsid w:val="6B52582F"/>
    <w:rsid w:val="6CE6249F"/>
    <w:rsid w:val="6CE65D88"/>
    <w:rsid w:val="6DB30807"/>
    <w:rsid w:val="6DC107A3"/>
    <w:rsid w:val="6E035A70"/>
    <w:rsid w:val="6E98432A"/>
    <w:rsid w:val="6ED70525"/>
    <w:rsid w:val="6F42518A"/>
    <w:rsid w:val="6F8977DB"/>
    <w:rsid w:val="6FE32EFA"/>
    <w:rsid w:val="707A385E"/>
    <w:rsid w:val="709D754D"/>
    <w:rsid w:val="71481334"/>
    <w:rsid w:val="714E7111"/>
    <w:rsid w:val="71D96059"/>
    <w:rsid w:val="71EC16A6"/>
    <w:rsid w:val="72FD42D3"/>
    <w:rsid w:val="73AB2DA4"/>
    <w:rsid w:val="73C10152"/>
    <w:rsid w:val="746F2FAE"/>
    <w:rsid w:val="74D15A17"/>
    <w:rsid w:val="74FC6F38"/>
    <w:rsid w:val="755D3FD0"/>
    <w:rsid w:val="755D54FC"/>
    <w:rsid w:val="75640639"/>
    <w:rsid w:val="75CF2457"/>
    <w:rsid w:val="76035DE0"/>
    <w:rsid w:val="7673540D"/>
    <w:rsid w:val="775A46BB"/>
    <w:rsid w:val="775F730A"/>
    <w:rsid w:val="779D6084"/>
    <w:rsid w:val="77CF69C3"/>
    <w:rsid w:val="787E6113"/>
    <w:rsid w:val="795310F0"/>
    <w:rsid w:val="796706F8"/>
    <w:rsid w:val="79C8388C"/>
    <w:rsid w:val="79DD7BAA"/>
    <w:rsid w:val="7ABF424E"/>
    <w:rsid w:val="7AC57DCC"/>
    <w:rsid w:val="7AF661D7"/>
    <w:rsid w:val="7BDA3CDF"/>
    <w:rsid w:val="7C1D7794"/>
    <w:rsid w:val="7C72188D"/>
    <w:rsid w:val="7CD73DE6"/>
    <w:rsid w:val="7D8215F9"/>
    <w:rsid w:val="7E040C0B"/>
    <w:rsid w:val="7ECA59B1"/>
    <w:rsid w:val="7EF0534A"/>
    <w:rsid w:val="7F3437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0D5B1A6"/>
  <w15:docId w15:val="{666762DF-9B05-49A3-9433-670BAAA6E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footnote text" w:qFormat="1"/>
    <w:lsdException w:name="annotation text" w:qFormat="1"/>
    <w:lsdException w:name="header" w:qFormat="1"/>
    <w:lsdException w:name="footer" w:qFormat="1"/>
    <w:lsdException w:name="caption" w:semiHidden="1" w:unhideWhenUsed="1" w:qFormat="1"/>
    <w:lsdException w:name="footnote reference"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autoRedefine/>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autoRedefine/>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qFormat/>
    <w:pPr>
      <w:jc w:val="left"/>
    </w:pPr>
  </w:style>
  <w:style w:type="paragraph" w:styleId="TOC3">
    <w:name w:val="toc 3"/>
    <w:basedOn w:val="a"/>
    <w:next w:val="a"/>
    <w:autoRedefine/>
    <w:qFormat/>
    <w:pPr>
      <w:ind w:leftChars="400" w:left="840"/>
    </w:pPr>
  </w:style>
  <w:style w:type="paragraph" w:styleId="a5">
    <w:name w:val="Balloon Text"/>
    <w:basedOn w:val="a"/>
    <w:link w:val="a6"/>
    <w:autoRedefine/>
    <w:qFormat/>
    <w:rPr>
      <w:sz w:val="18"/>
      <w:szCs w:val="18"/>
    </w:rPr>
  </w:style>
  <w:style w:type="paragraph" w:styleId="a7">
    <w:name w:val="footer"/>
    <w:basedOn w:val="a"/>
    <w:autoRedefine/>
    <w:qFormat/>
    <w:pPr>
      <w:tabs>
        <w:tab w:val="center" w:pos="4153"/>
        <w:tab w:val="right" w:pos="8306"/>
      </w:tabs>
      <w:snapToGrid w:val="0"/>
      <w:jc w:val="left"/>
    </w:pPr>
    <w:rPr>
      <w:sz w:val="18"/>
    </w:rPr>
  </w:style>
  <w:style w:type="paragraph" w:styleId="a8">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autoRedefine/>
    <w:qFormat/>
  </w:style>
  <w:style w:type="paragraph" w:styleId="a9">
    <w:name w:val="footnote text"/>
    <w:basedOn w:val="a"/>
    <w:link w:val="aa"/>
    <w:autoRedefine/>
    <w:qFormat/>
    <w:pPr>
      <w:snapToGrid w:val="0"/>
      <w:jc w:val="left"/>
    </w:pPr>
    <w:rPr>
      <w:sz w:val="18"/>
    </w:rPr>
  </w:style>
  <w:style w:type="paragraph" w:styleId="TOC2">
    <w:name w:val="toc 2"/>
    <w:basedOn w:val="a"/>
    <w:next w:val="a"/>
    <w:autoRedefine/>
    <w:qFormat/>
    <w:pPr>
      <w:ind w:leftChars="200" w:left="420"/>
    </w:pPr>
  </w:style>
  <w:style w:type="paragraph" w:styleId="HTML">
    <w:name w:val="HTML Preformatted"/>
    <w:basedOn w:val="a"/>
    <w:autoRedefine/>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b">
    <w:name w:val="Normal (Web)"/>
    <w:basedOn w:val="a"/>
    <w:autoRedefine/>
    <w:qFormat/>
    <w:pPr>
      <w:widowControl/>
      <w:spacing w:beforeAutospacing="1" w:afterAutospacing="1"/>
      <w:jc w:val="left"/>
    </w:pPr>
    <w:rPr>
      <w:rFonts w:ascii="宋体" w:eastAsia="宋体" w:hAnsi="宋体" w:cs="Times New Roman"/>
      <w:kern w:val="0"/>
      <w:sz w:val="24"/>
    </w:rPr>
  </w:style>
  <w:style w:type="table" w:styleId="ac">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styleId="ad">
    <w:name w:val="Strong"/>
    <w:basedOn w:val="a0"/>
    <w:autoRedefine/>
    <w:qFormat/>
    <w:rPr>
      <w:b/>
    </w:rPr>
  </w:style>
  <w:style w:type="character" w:styleId="ae">
    <w:name w:val="Emphasis"/>
    <w:basedOn w:val="a0"/>
    <w:qFormat/>
    <w:rPr>
      <w:i/>
    </w:rPr>
  </w:style>
  <w:style w:type="character" w:styleId="af">
    <w:name w:val="Hyperlink"/>
    <w:basedOn w:val="a0"/>
    <w:autoRedefine/>
    <w:qFormat/>
    <w:rPr>
      <w:color w:val="0000FF"/>
      <w:u w:val="single"/>
    </w:rPr>
  </w:style>
  <w:style w:type="character" w:styleId="af0">
    <w:name w:val="footnote reference"/>
    <w:autoRedefine/>
    <w:qFormat/>
    <w:rPr>
      <w:rFonts w:ascii="Times New Roman" w:eastAsiaTheme="minorEastAsia" w:hAnsi="Times New Roman" w:cs="Times New Roman"/>
      <w:kern w:val="2"/>
      <w:sz w:val="18"/>
      <w:szCs w:val="24"/>
      <w:vertAlign w:val="superscript"/>
      <w:lang w:val="en-US" w:eastAsia="zh-CN" w:bidi="ar-SA"/>
    </w:rPr>
  </w:style>
  <w:style w:type="paragraph" w:customStyle="1" w:styleId="WPSOffice1">
    <w:name w:val="WPSOffice手动目录 1"/>
    <w:autoRedefine/>
    <w:qFormat/>
  </w:style>
  <w:style w:type="paragraph" w:customStyle="1" w:styleId="WPSOffice2">
    <w:name w:val="WPSOffice手动目录 2"/>
    <w:autoRedefine/>
    <w:qFormat/>
    <w:pPr>
      <w:ind w:leftChars="200" w:left="200"/>
    </w:pPr>
  </w:style>
  <w:style w:type="paragraph" w:customStyle="1" w:styleId="WPSOffice3">
    <w:name w:val="WPSOffice手动目录 3"/>
    <w:autoRedefine/>
    <w:qFormat/>
    <w:pPr>
      <w:ind w:leftChars="400" w:left="400"/>
    </w:pPr>
  </w:style>
  <w:style w:type="character" w:customStyle="1" w:styleId="a6">
    <w:name w:val="批注框文本 字符"/>
    <w:basedOn w:val="a0"/>
    <w:link w:val="a5"/>
    <w:autoRedefine/>
    <w:qFormat/>
    <w:rPr>
      <w:rFonts w:asciiTheme="minorHAnsi" w:eastAsiaTheme="minorEastAsia" w:hAnsiTheme="minorHAnsi" w:cstheme="minorBidi"/>
      <w:kern w:val="2"/>
      <w:sz w:val="18"/>
      <w:szCs w:val="18"/>
    </w:rPr>
  </w:style>
  <w:style w:type="character" w:customStyle="1" w:styleId="aa">
    <w:name w:val="脚注文本 字符"/>
    <w:link w:val="a9"/>
    <w:qFormat/>
    <w:rPr>
      <w:sz w:val="18"/>
    </w:rPr>
  </w:style>
  <w:style w:type="character" w:styleId="af1">
    <w:name w:val="annotation reference"/>
    <w:basedOn w:val="a0"/>
    <w:rsid w:val="00771AAC"/>
    <w:rPr>
      <w:sz w:val="21"/>
      <w:szCs w:val="21"/>
    </w:rPr>
  </w:style>
  <w:style w:type="paragraph" w:styleId="af2">
    <w:name w:val="annotation subject"/>
    <w:basedOn w:val="a3"/>
    <w:next w:val="a3"/>
    <w:link w:val="af3"/>
    <w:rsid w:val="00771AAC"/>
    <w:rPr>
      <w:b/>
      <w:bCs/>
    </w:rPr>
  </w:style>
  <w:style w:type="character" w:customStyle="1" w:styleId="a4">
    <w:name w:val="批注文字 字符"/>
    <w:basedOn w:val="a0"/>
    <w:link w:val="a3"/>
    <w:rsid w:val="00771AAC"/>
    <w:rPr>
      <w:rFonts w:asciiTheme="minorHAnsi" w:eastAsiaTheme="minorEastAsia" w:hAnsiTheme="minorHAnsi" w:cstheme="minorBidi"/>
      <w:kern w:val="2"/>
      <w:sz w:val="21"/>
      <w:szCs w:val="24"/>
    </w:rPr>
  </w:style>
  <w:style w:type="character" w:customStyle="1" w:styleId="af3">
    <w:name w:val="批注主题 字符"/>
    <w:basedOn w:val="a4"/>
    <w:link w:val="af2"/>
    <w:rsid w:val="00771AAC"/>
    <w:rPr>
      <w:rFonts w:asciiTheme="minorHAnsi" w:eastAsiaTheme="minorEastAsia" w:hAnsiTheme="minorHAnsi" w:cstheme="minorBidi"/>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microsoft.com/office/2018/08/relationships/commentsExtensible" Target="commentsExtensible.xml"/><Relationship Id="rId10" Type="http://schemas.openxmlformats.org/officeDocument/2006/relationships/customXml" Target="ink/ink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3-10T15:26:50"/>
    </inkml:context>
    <inkml:brush xml:id="br0">
      <inkml:brushProperty name="width" value="0.09701" units="cm"/>
      <inkml:brushProperty name="height" value="0.09701" units="cm"/>
      <inkml:brushProperty name="color" value="#1B7CCB"/>
    </inkml:brush>
  </inkml:definitions>
  <inkml:trace contextRef="#ctx0" brushRef="#br0">5586 2128 767</inkml:trace>
</inkml:ink>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ntractReview xmlns="http://schemas.wps.cn/vas-ai-hub/contract-review">
  <reviewItems>
    <reviewItem>
      <errorID>7eac729d-26fc-466f-8297-af96b76f5f46</errorID>
      <errorWord>需要</errorWord>
      <group>L1_AI</group>
      <groupName>深度校对</groupName>
      <ability>L2_AI_Punc</ability>
      <abilityName>标点纠错</abilityName>
      <candidateList>
        <item>，需要</item>
      </candidateList>
      <explain/>
      <paraID> ABB364E</paraID>
      <start>331</start>
      <end>334</end>
      <status>modified</status>
      <modifiedWord>，需要</modifiedWord>
      <trackRevisions>true</trackRevisions>
    </reviewItem>
    <reviewItem>
      <errorID>3c109b0f-1ea0-4257-998a-6ecde0453e0b</errorID>
      <errorWord>之中</errorWord>
      <group>L1_AI</group>
      <groupName>深度校对</groupName>
      <ability>L2_AI_Word</ability>
      <abilityName>字词纠错</abilityName>
      <candidateList>
        <item>中</item>
      </candidateList>
      <explain/>
      <paraID> ABB364E</paraID>
      <start>339</start>
      <end>341</end>
      <status>ignored</status>
      <modifiedWord/>
      <trackRevisions>false</trackRevisions>
    </reviewItem>
    <reviewItem>
      <errorID>38b1fae4-1056-4f63-b364-994a9894b023</errorID>
      <errorWord>并</errorWord>
      <group>L1_AI</group>
      <groupName>深度校对</groupName>
      <ability>L2_AI_Word</ability>
      <abilityName>字词纠错</abilityName>
      <candidateList>
        <item>，</item>
      </candidateList>
      <explain/>
      <paraID> ABB364E</paraID>
      <start>347</start>
      <end>348</end>
      <status>ignored</status>
      <modifiedWord/>
      <trackRevisions>false</trackRevisions>
    </reviewItem>
    <reviewItem>
      <errorID>c972d8ba-9a9b-4e88-bbc2-30bc6a9204c3</errorID>
      <errorWord>构建</errorWord>
      <group>L1_AI</group>
      <groupName>深度校对</groupName>
      <ability>L2_AI_Punc</ability>
      <abilityName>标点纠错</abilityName>
      <candidateList>
        <item>，构建</item>
      </candidateList>
      <explain/>
      <paraID> ABB364E</paraID>
      <start>356</start>
      <end>358</end>
      <status>ignored</status>
      <modifiedWord/>
      <trackRevisions>false</trackRevisions>
    </reviewItem>
    <reviewItem>
      <errorID>8a68e34e-c876-44af-9311-1324d7ecf08b</errorID>
      <errorWord>进而</errorWord>
      <group>L1_AI</group>
      <groupName>深度校对</groupName>
      <ability>L2_AI_Punc</ability>
      <abilityName>标点纠错</abilityName>
      <candidateList>
        <item>，进而</item>
      </candidateList>
      <explain/>
      <paraID> ABB364E</paraID>
      <start>370</start>
      <end>373</end>
      <status>modified</status>
      <modifiedWord>，进而</modifiedWord>
      <trackRevisions>true</trackRevisions>
    </reviewItem>
    <reviewItem>
      <errorID>22d50497-7c0d-4ae7-826b-77ddc196262c</errorID>
      <errorWord>不难看出</errorWord>
      <group>L1_AI</group>
      <groupName>深度校对</groupName>
      <ability>L2_AI_Punc</ability>
      <abilityName>标点纠错</abilityName>
      <candidateList>
        <item>，不难看出</item>
      </candidateList>
      <explain/>
      <paraID>416F6E0B</paraID>
      <start>56</start>
      <end>60</end>
      <status>ignored</status>
      <modifiedWord/>
      <trackRevisions>false</trackRevisions>
    </reviewItem>
    <reviewItem>
      <errorID>b3cbd28d-a542-4927-bd0e-24d929762867</errorID>
      <errorWord>“</errorWord>
      <group>L1_AI</group>
      <groupName>深度校对</groupName>
      <ability>L2_AI_Punc</ability>
      <abilityName>标点纠错</abilityName>
      <candidateList>
        <item>，“</item>
      </candidateList>
      <explain/>
      <paraID>416F6E0B</paraID>
      <start>60</start>
      <end>61</end>
      <status>ignored</status>
      <modifiedWord/>
      <trackRevisions>false</trackRevisions>
    </reviewItem>
    <reviewItem>
      <errorID>2ae82347-93a1-44dc-afb8-eda94842298b</errorID>
      <errorWord>试图</errorWord>
      <group>L1_AI</group>
      <groupName>深度校对</groupName>
      <ability>L2_AI_Punc</ability>
      <abilityName>标点纠错</abilityName>
      <candidateList>
        <item>，试图</item>
      </candidateList>
      <explain/>
      <paraID>416F6E0B</paraID>
      <start>126</start>
      <end>128</end>
      <status>ignored</status>
      <modifiedWord/>
      <trackRevisions>false</trackRevisions>
    </reviewItem>
    <reviewItem>
      <errorID>fd8d1d1c-a6e4-4e7b-bec1-08b35f4955f5</errorID>
      <errorWord>赢火虫</errorWord>
      <group>L1_Word</group>
      <groupName>字词问题</groupName>
      <ability>L2_Typo</ability>
      <abilityName>字词错误</abilityName>
      <candidateList>
        <item>萤火虫</item>
      </candidateList>
      <explain/>
      <paraID> AC105D9</paraID>
      <start>98</start>
      <end>101</end>
      <status>ignored</status>
      <modifiedWord/>
      <trackRevisions>false</trackRevisions>
    </reviewItem>
    <reviewItem>
      <errorID>7b6af341-6608-4ad2-af2d-3ca32ce7e668</errorID>
      <errorWord>之下</errorWord>
      <group>L1_AI</group>
      <groupName>深度校对</groupName>
      <ability>L2_AI_Word</ability>
      <abilityName>字词纠错</abilityName>
      <candidateList>
        <item>框架内</item>
      </candidateList>
      <explain/>
      <paraID> AC105D9</paraID>
      <start>252</start>
      <end>254</end>
      <status>ignored</status>
      <modifiedWord/>
      <trackRevisions>false</trackRevisions>
    </reviewItem>
    <reviewItem>
      <errorID>83c1f67d-a014-48c9-96a3-75c1bd43a4f9</errorID>
      <errorWord>“被</errorWord>
      <group>L1_AI</group>
      <groupName>深度校对</groupName>
      <ability>L2_AI_Word</ability>
      <abilityName>字词纠错</abilityName>
      <candidateList>
        <item>“</item>
      </candidateList>
      <explain/>
      <paraID> AC105D9</paraID>
      <start>263</start>
      <end>265</end>
      <status>ignored</status>
      <modifiedWord/>
      <trackRevisions>false</trackRevisions>
    </reviewItem>
    <reviewItem>
      <errorID>88879eeb-12d1-40fb-acb3-52a288cf6ee2</errorID>
      <errorWord>证</errorWord>
      <group>L1_AI</group>
      <groupName>深度校对</groupName>
      <ability>L2_AI_Word</ability>
      <abilityName>字词纠错</abilityName>
      <candidateList>
        <item>制度</item>
      </candidateList>
      <explain/>
      <paraID>2E7DC526</paraID>
      <start>27</start>
      <end>29</end>
      <status>modified</status>
      <modifiedWord>制度</modifiedWord>
      <trackRevisions>true</trackRevisions>
    </reviewItem>
    <reviewItem>
      <errorID>72b7a144-4da2-43dd-8502-d8757d7287e0</errorID>
      <errorWord>存在于其上</errorWord>
      <group>L1_AI</group>
      <groupName>深度校对</groupName>
      <ability>L2_AI_Grammar</ability>
      <abilityName>语法纠错</abilityName>
      <candidateList>
        <item>存在</item>
      </candidateList>
      <explain/>
      <paraID>2E7DC526</paraID>
      <start>50</start>
      <end>55</end>
      <status>ignored</status>
      <modifiedWord/>
      <trackRevisions>false</trackRevisions>
    </reviewItem>
    <reviewItem>
      <errorID>bf346749-fb59-47b7-96b8-58d77be16692</errorID>
      <errorWord>称之为</errorWord>
      <group>L1_Word</group>
      <groupName>字词问题</groupName>
      <ability>L2_Typo</ability>
      <abilityName>字词错误</abilityName>
      <candidateList>
        <item>称为</item>
      </candidateList>
      <explain/>
      <paraID>1983FB59</paraID>
      <start>39</start>
      <end>42</end>
      <status>ignored</status>
      <modifiedWord/>
      <trackRevisions>false</trackRevisions>
    </reviewItem>
    <reviewItem>
      <errorID>97e1a50c-8e64-4081-99a8-678d9a2aa924</errorID>
      <errorWord>一尘不变</errorWord>
      <group>L1_Knowledge</group>
      <groupName>知识性问题</groupName>
      <ability>L2_Idiom</ability>
      <abilityName>成语和诗歌</abilityName>
      <candidateList>
        <item>一尘不缁</item>
      </candidateList>
      <explain>犹一尘不染。泛指丝毫不受坏习惯，坏风气的影响。也用来形容非常清洁、干净。</explain>
      <paraID>1983FB59</paraID>
      <start>164</start>
      <end>168</end>
      <status>ignored</status>
      <modifiedWord/>
      <trackRevisions>false</trackRevisions>
    </reviewItem>
    <reviewItem>
      <errorID>51b7de3b-691b-4e4d-9c3c-dffca79cb2be</errorID>
      <errorWord>年时</errorWord>
      <group>L1_Word</group>
      <groupName>字词问题</groupName>
      <ability>L2_Typo</ability>
      <abilityName>字词错误</abilityName>
      <candidateList>
        <item>年</item>
      </candidateList>
      <explain/>
      <paraID>25769A88</paraID>
      <start>208</start>
      <end>210</end>
      <status>ignored</status>
      <modifiedWord/>
      <trackRevisions>false</trackRevisions>
    </reviewItem>
    <reviewItem>
      <errorID>3f952698-639d-48fa-9770-8f8ad807b832</errorID>
      <errorWord>对于</errorWord>
      <group>L1_Word</group>
      <groupName>字词问题</groupName>
      <ability>L2_Typo</ability>
      <abilityName>字词错误</abilityName>
      <candidateList>
        <item>对</item>
      </candidateList>
      <explain>（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25769A88</paraID>
      <start>333</start>
      <end>335</end>
      <status>ignored</status>
      <modifiedWord/>
      <trackRevisions>false</trackRevisions>
    </reviewItem>
    <reviewItem>
      <errorID>940aaa88-8f60-4b25-8c2f-87be4e6c6616</errorID>
      <errorWord>转移有</errorWord>
      <group>L1_Word</group>
      <groupName>字词问题</groupName>
      <ability>L2_Typo</ability>
      <abilityName>字词错误</abilityName>
      <candidateList>
        <item>转移</item>
      </candidateList>
      <explain/>
      <paraID>7606702E</paraID>
      <start>66</start>
      <end>69</end>
      <status>ignored</status>
      <modifiedWord/>
      <trackRevisions>false</trackRevisions>
    </reviewItem>
    <reviewItem>
      <errorID>aaf28f29-051b-4337-bf39-4a4666c39118</errorID>
      <errorWord>接受到</errorWord>
      <group>L1_Word</group>
      <groupName>字词问题</groupName>
      <ability>L2_Typo</ability>
      <abilityName>字词错误</abilityName>
      <candidateList>
        <item>接受</item>
      </candidateList>
      <explain>〈动〉❶收取（给予的东西）：～礼品｜～捐款。❷对事物容纳而不拒绝：～任务｜～考验｜～教训｜虚心～批评。</explain>
      <paraID> 67FCF92</paraID>
      <start>264</start>
      <end>267</end>
      <status>ignored</status>
      <modifiedWord/>
      <trackRevisions>false</trackRevisions>
    </reviewItem>
    <reviewItem>
      <errorID>38f09f28-6fea-4a88-a1ca-89fa399c155e</errorID>
      <errorWord>《民法典》</errorWord>
      <group>L1_Word</group>
      <groupName>字词问题</groupName>
      <ability>L2_Typo</ability>
      <abilityName>字词错误</abilityName>
      <candidateList>
        <item>《中华人民共和国民法典》</item>
      </candidateList>
      <explain/>
      <paraID>445AA6BE</paraID>
      <start>358</start>
      <end>363</end>
      <status>ignored</status>
      <modifiedWord/>
      <trackRevisions>false</trackRevisions>
    </reviewItem>
    <reviewItem>
      <errorID>ecd9289e-18c2-4dee-ae7d-031ba9b64d0a</errorID>
      <errorWord>第545条</errorWord>
      <group>L1_Knowledge</group>
      <groupName>知识性问题</groupName>
      <ability>L2_Knowledge</ability>
      <abilityName>其他知识</abilityName>
      <candidateList>
        <item>第五百四十五条</item>
      </candidateList>
      <explain/>
      <paraID>445AA6BE</paraID>
      <start>363</start>
      <end>368</end>
      <status>ignored</status>
      <modifiedWord/>
      <trackRevisions>false</trackRevisions>
    </reviewItem>
    <reviewItem>
      <errorID>bee3ebe0-ae22-4f9b-b865-8a8263d1dce7</errorID>
      <errorWord>是否是</errorWord>
      <group>L1_Word</group>
      <groupName>字词问题</groupName>
      <ability>L2_Typo</ability>
      <abilityName>字词错误</abilityName>
      <candidateList>
        <item>是不是</item>
      </candidateList>
      <explain/>
      <paraID>  EBF1C6</paraID>
      <start>242</start>
      <end>245</end>
      <status>ignored</status>
      <modifiedWord/>
      <trackRevisions>false</trackRevisions>
    </reviewItem>
    <reviewItem>
      <errorID>f92c0fc4-7555-40f0-83c6-07d331064f5f</errorID>
      <errorWord>《民法典》</errorWord>
      <group>L1_Word</group>
      <groupName>字词问题</groupName>
      <ability>L2_Typo</ability>
      <abilityName>字词错误</abilityName>
      <candidateList>
        <item>《中华人民共和国民法典》</item>
      </candidateList>
      <explain/>
      <paraID>38B9CB31</paraID>
      <start>465</start>
      <end>470</end>
      <status>ignored</status>
      <modifiedWord/>
      <trackRevisions>false</trackRevisions>
    </reviewItem>
    <reviewItem>
      <errorID>4fcda0b8-c09d-4ffb-8d6d-f97566a22004</errorID>
      <errorWord>已然</errorWord>
      <group>L1_Word</group>
      <groupName>字词问题</groupName>
      <ability>L2_Typo</ability>
      <abilityName>字词错误</abilityName>
      <candidateList>
        <item>已</item>
      </candidateList>
      <explain>❶停止：争论不～｜有加无～。❷〈副〉已经（跟“未”相对）：时间～过｜此事～设法解决。❸〈书〉副后来；过了一会儿：～而｜～忽不见。❹〈书〉副太；过：不为～甚。❺（Yǐ）〈名〉姓。</explain>
      <paraID>69BB0803</paraID>
      <start>168</start>
      <end>170</end>
      <status>ignored</status>
      <modifiedWord/>
      <trackRevisions>false</trackRevisions>
    </reviewItem>
    <reviewItem>
      <errorID>b6f76308-605f-4533-a2f4-a121ec607b53</errorID>
      <errorWord>由</errorWord>
      <group>L1_Word</group>
      <groupName>字词问题</groupName>
      <ability>L2_Typo</ability>
      <abilityName>字词错误</abilityName>
      <candidateList>
        <item>有</item>
      </candidateList>
      <explain>〈书〉同“又”▲：三十～八年。</explain>
      <paraID>2CE8C21A</paraID>
      <start>26</start>
      <end>27</end>
      <status>ignored</status>
      <modifiedWord/>
      <trackRevisions>false</trackRevisions>
    </reviewItem>
    <reviewItem>
      <errorID>c2d17eea-2c02-4cb5-bbc9-b9c771330ac5</errorID>
      <errorWord>之中</errorWord>
      <group>L1_Word</group>
      <groupName>字词问题</groupName>
      <ability>L2_Typo</ability>
      <abilityName>字词错误</abilityName>
      <candidateList>
        <item>中</item>
      </candidateList>
      <explain>〈动〉❶正对上；恰好合上：～选｜猜～了｜三枪都打～了目标。❷受到；遭受：～毒｜～暑｜胳膊上～了一枪。</explain>
      <paraID>2CE8C21A</paraID>
      <start>106</start>
      <end>108</end>
      <status>ignored</status>
      <modifiedWord/>
      <trackRevisions>false</trackRevisions>
    </reviewItem>
  </reviewItems>
  <config/>
</contractReview>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94856BF8-3214-46F0-8AAE-B87DD7CBF035}">
  <ds:schemaRefs>
    <ds:schemaRef ds:uri="http://schemas.wps.cn/vas-ai-hub/contract-review"/>
  </ds:schemaRefs>
</ds:datastoreItem>
</file>

<file path=customXml/itemProps2.xml><?xml version="1.0" encoding="utf-8"?>
<ds:datastoreItem xmlns:ds="http://schemas.openxmlformats.org/officeDocument/2006/customXml" ds:itemID="{603EE2F9-5B86-4557-8BB6-91F6A4897023}">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12</Pages>
  <Words>2231</Words>
  <Characters>12718</Characters>
  <Application>Microsoft Office Word</Application>
  <DocSecurity>0</DocSecurity>
  <Lines>105</Lines>
  <Paragraphs>29</Paragraphs>
  <ScaleCrop>false</ScaleCrop>
  <Company>HP</Company>
  <LinksUpToDate>false</LinksUpToDate>
  <CharactersWithSpaces>14920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star</dc:creator>
  <cp:lastModifiedBy>审稿人2</cp:lastModifiedBy>
  <cp:revision>6</cp:revision>
  <dcterms:created xsi:type="dcterms:W3CDTF">2026-03-31T09:14:00Z</dcterms:created>
  <dcterms:modified xsi:type="dcterms:W3CDTF">2026-04-03T12:49:00Z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733CBC8FA3B744EB990A7A463E2232DD_13</vt:lpwstr>
  </property>
  <property fmtid="{D5CDD505-2E9C-101B-9397-08002B2CF9AE}" pid="4" name="KSOTemplateDocerSaveRecord">
    <vt:lpwstr>eyJoZGlkIjoiNmE4YWE2NWM2NjkyMzUxOGRkNDNkNjJlMmYxYjJlZDkiLCJ1c2VySWQiOiIxMTIzNjcyNDU5In0=</vt:lpwstr>
  </property>
</Properties>
</file>