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225C" w:rsidRDefault="00000000">
      <w:pPr>
        <w:jc w:val="center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中国政法大学研究生学报审稿评分表</w:t>
      </w:r>
    </w:p>
    <w:p w:rsidR="0047225C" w:rsidRDefault="0047225C">
      <w:pPr>
        <w:rPr>
          <w:sz w:val="24"/>
        </w:rPr>
      </w:pPr>
    </w:p>
    <w:p w:rsidR="0047225C" w:rsidRDefault="00000000">
      <w:pPr>
        <w:rPr>
          <w:sz w:val="24"/>
        </w:rPr>
      </w:pPr>
      <w:r>
        <w:rPr>
          <w:rFonts w:hint="eastAsia"/>
          <w:sz w:val="24"/>
        </w:rPr>
        <w:t>论文题目：</w:t>
      </w:r>
      <w:r w:rsidR="00F24C1B">
        <w:rPr>
          <w:rFonts w:hint="eastAsia"/>
          <w:sz w:val="24"/>
        </w:rPr>
        <w:t>《</w:t>
      </w:r>
      <w:r w:rsidR="007E2512" w:rsidRPr="007E2512">
        <w:rPr>
          <w:rFonts w:hint="eastAsia"/>
          <w:sz w:val="24"/>
        </w:rPr>
        <w:t>个人数据受托的模式选择与制度构建</w:t>
      </w:r>
      <w:r w:rsidR="00F24C1B">
        <w:rPr>
          <w:rFonts w:hint="eastAsia"/>
          <w:sz w:val="24"/>
        </w:rPr>
        <w:t>》</w:t>
      </w:r>
    </w:p>
    <w:p w:rsidR="0047225C" w:rsidRDefault="00000000">
      <w:pPr>
        <w:rPr>
          <w:sz w:val="24"/>
        </w:rPr>
      </w:pPr>
      <w:r>
        <w:rPr>
          <w:rFonts w:hint="eastAsia"/>
          <w:sz w:val="24"/>
        </w:rPr>
        <w:t>论文作者：</w:t>
      </w:r>
    </w:p>
    <w:p w:rsidR="0047225C" w:rsidRDefault="0047225C">
      <w:pPr>
        <w:rPr>
          <w:sz w:val="24"/>
        </w:rPr>
      </w:pPr>
    </w:p>
    <w:tbl>
      <w:tblPr>
        <w:tblW w:w="87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9"/>
        <w:gridCol w:w="901"/>
        <w:gridCol w:w="5767"/>
        <w:gridCol w:w="1442"/>
      </w:tblGrid>
      <w:tr w:rsidR="0047225C">
        <w:trPr>
          <w:trHeight w:val="586"/>
        </w:trPr>
        <w:tc>
          <w:tcPr>
            <w:tcW w:w="649" w:type="dxa"/>
          </w:tcPr>
          <w:p w:rsidR="0047225C" w:rsidRDefault="0000000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:rsidR="0047225C" w:rsidRDefault="0000000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:rsidR="0047225C" w:rsidRDefault="0000000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:rsidR="0047225C" w:rsidRDefault="0047225C">
            <w:pPr>
              <w:rPr>
                <w:b/>
                <w:sz w:val="18"/>
                <w:szCs w:val="18"/>
              </w:rPr>
            </w:pPr>
          </w:p>
        </w:tc>
      </w:tr>
      <w:tr w:rsidR="0047225C">
        <w:trPr>
          <w:trHeight w:val="289"/>
        </w:trPr>
        <w:tc>
          <w:tcPr>
            <w:tcW w:w="649" w:type="dxa"/>
            <w:vMerge w:val="restart"/>
          </w:tcPr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  <w:p w:rsidR="0047225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901" w:type="dxa"/>
            <w:vMerge w:val="restart"/>
          </w:tcPr>
          <w:p w:rsidR="0047225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:rsidR="0047225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:rsidR="0047225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:rsidR="0047225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:rsidR="0047225C">
        <w:trPr>
          <w:trHeight w:val="312"/>
        </w:trPr>
        <w:tc>
          <w:tcPr>
            <w:tcW w:w="649" w:type="dxa"/>
            <w:vMerge/>
          </w:tcPr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:rsidR="0047225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:rsidR="0047225C">
        <w:trPr>
          <w:trHeight w:val="302"/>
        </w:trPr>
        <w:tc>
          <w:tcPr>
            <w:tcW w:w="649" w:type="dxa"/>
            <w:vMerge/>
          </w:tcPr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:rsidR="0047225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225C">
        <w:trPr>
          <w:trHeight w:val="321"/>
        </w:trPr>
        <w:tc>
          <w:tcPr>
            <w:tcW w:w="649" w:type="dxa"/>
            <w:vMerge w:val="restart"/>
          </w:tcPr>
          <w:p w:rsidR="0047225C" w:rsidRDefault="0047225C">
            <w:pPr>
              <w:rPr>
                <w:b/>
                <w:sz w:val="18"/>
                <w:szCs w:val="18"/>
              </w:rPr>
            </w:pPr>
          </w:p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restart"/>
          </w:tcPr>
          <w:p w:rsidR="0047225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:rsidR="0047225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:rsidR="0047225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:rsidR="0047225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225C">
        <w:trPr>
          <w:trHeight w:val="302"/>
        </w:trPr>
        <w:tc>
          <w:tcPr>
            <w:tcW w:w="649" w:type="dxa"/>
            <w:vMerge/>
          </w:tcPr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:rsidR="0047225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225C">
        <w:trPr>
          <w:trHeight w:val="389"/>
        </w:trPr>
        <w:tc>
          <w:tcPr>
            <w:tcW w:w="649" w:type="dxa"/>
            <w:vMerge/>
          </w:tcPr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:rsidR="0047225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225C">
        <w:trPr>
          <w:trHeight w:val="302"/>
        </w:trPr>
        <w:tc>
          <w:tcPr>
            <w:tcW w:w="649" w:type="dxa"/>
            <w:vMerge w:val="restart"/>
          </w:tcPr>
          <w:p w:rsidR="0047225C" w:rsidRDefault="0047225C">
            <w:pPr>
              <w:rPr>
                <w:b/>
                <w:sz w:val="18"/>
                <w:szCs w:val="18"/>
              </w:rPr>
            </w:pPr>
          </w:p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901" w:type="dxa"/>
            <w:vMerge w:val="restart"/>
          </w:tcPr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  <w:p w:rsidR="0047225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:rsidR="0047225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:rsidR="0047225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:rsidR="0047225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225C">
        <w:trPr>
          <w:trHeight w:val="302"/>
        </w:trPr>
        <w:tc>
          <w:tcPr>
            <w:tcW w:w="649" w:type="dxa"/>
            <w:vMerge/>
          </w:tcPr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:rsidR="0047225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225C">
        <w:trPr>
          <w:trHeight w:val="302"/>
        </w:trPr>
        <w:tc>
          <w:tcPr>
            <w:tcW w:w="649" w:type="dxa"/>
            <w:vMerge/>
          </w:tcPr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:rsidR="0047225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225C">
        <w:trPr>
          <w:trHeight w:val="302"/>
        </w:trPr>
        <w:tc>
          <w:tcPr>
            <w:tcW w:w="649" w:type="dxa"/>
            <w:vMerge/>
          </w:tcPr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:rsidR="0047225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225C">
        <w:trPr>
          <w:trHeight w:val="293"/>
        </w:trPr>
        <w:tc>
          <w:tcPr>
            <w:tcW w:w="649" w:type="dxa"/>
            <w:vMerge w:val="restart"/>
          </w:tcPr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901" w:type="dxa"/>
            <w:vMerge w:val="restart"/>
          </w:tcPr>
          <w:p w:rsidR="0047225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:rsidR="0047225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:rsidR="0047225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:rsidR="0047225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225C">
        <w:trPr>
          <w:trHeight w:val="605"/>
        </w:trPr>
        <w:tc>
          <w:tcPr>
            <w:tcW w:w="649" w:type="dxa"/>
            <w:vMerge/>
          </w:tcPr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:rsidR="0047225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225C">
        <w:trPr>
          <w:trHeight w:val="337"/>
        </w:trPr>
        <w:tc>
          <w:tcPr>
            <w:tcW w:w="649" w:type="dxa"/>
            <w:vMerge w:val="restart"/>
          </w:tcPr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901" w:type="dxa"/>
            <w:vMerge w:val="restart"/>
          </w:tcPr>
          <w:p w:rsidR="0047225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:rsidR="0047225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225C">
        <w:trPr>
          <w:trHeight w:val="538"/>
        </w:trPr>
        <w:tc>
          <w:tcPr>
            <w:tcW w:w="649" w:type="dxa"/>
            <w:vMerge/>
          </w:tcPr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:rsidR="0047225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225C">
        <w:trPr>
          <w:trHeight w:val="293"/>
        </w:trPr>
        <w:tc>
          <w:tcPr>
            <w:tcW w:w="649" w:type="dxa"/>
            <w:vMerge w:val="restart"/>
          </w:tcPr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901" w:type="dxa"/>
            <w:vMerge w:val="restart"/>
          </w:tcPr>
          <w:p w:rsidR="0047225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:rsidR="0047225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:rsidR="0047225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225C">
        <w:trPr>
          <w:trHeight w:val="302"/>
        </w:trPr>
        <w:tc>
          <w:tcPr>
            <w:tcW w:w="649" w:type="dxa"/>
            <w:vMerge/>
          </w:tcPr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:rsidR="0047225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:rsidR="0047225C" w:rsidRDefault="0047225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225C">
        <w:trPr>
          <w:trHeight w:val="504"/>
        </w:trPr>
        <w:tc>
          <w:tcPr>
            <w:tcW w:w="649" w:type="dxa"/>
            <w:vMerge/>
          </w:tcPr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:rsidR="0047225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:rsidR="0047225C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:rsidR="0047225C">
        <w:trPr>
          <w:trHeight w:val="512"/>
        </w:trPr>
        <w:tc>
          <w:tcPr>
            <w:tcW w:w="1550" w:type="dxa"/>
            <w:gridSpan w:val="2"/>
            <w:vAlign w:val="center"/>
          </w:tcPr>
          <w:p w:rsidR="0047225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:rsidR="0047225C" w:rsidRDefault="00E41CC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75</w:t>
            </w:r>
          </w:p>
        </w:tc>
      </w:tr>
      <w:tr w:rsidR="0047225C">
        <w:trPr>
          <w:trHeight w:val="512"/>
        </w:trPr>
        <w:tc>
          <w:tcPr>
            <w:tcW w:w="1550" w:type="dxa"/>
            <w:gridSpan w:val="2"/>
            <w:vAlign w:val="center"/>
          </w:tcPr>
          <w:p w:rsidR="0047225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:rsidR="0047225C" w:rsidRDefault="00E4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返修</w:t>
            </w:r>
          </w:p>
        </w:tc>
      </w:tr>
      <w:tr w:rsidR="0047225C">
        <w:trPr>
          <w:trHeight w:val="512"/>
        </w:trPr>
        <w:tc>
          <w:tcPr>
            <w:tcW w:w="1550" w:type="dxa"/>
            <w:gridSpan w:val="2"/>
            <w:vAlign w:val="center"/>
          </w:tcPr>
          <w:p w:rsidR="0047225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:rsidR="00E41CCA" w:rsidRDefault="00E41CCA" w:rsidP="008B4497">
            <w:pPr>
              <w:ind w:firstLineChars="200" w:firstLine="360"/>
              <w:jc w:val="left"/>
              <w:rPr>
                <w:sz w:val="18"/>
                <w:szCs w:val="18"/>
              </w:rPr>
            </w:pPr>
            <w:r w:rsidRPr="00E41CCA">
              <w:rPr>
                <w:rFonts w:hint="eastAsia"/>
                <w:sz w:val="18"/>
                <w:szCs w:val="18"/>
              </w:rPr>
              <w:t>本文聚焦于“个人数据受托制度”的理论界定与制度构建，紧扣数据要素市场化配置的制度空白，立足中国语境，尝试将信托机制引入个人数据治理体系，具有较强的现实针对性与学理探索价值。文章在分析路径上较为清晰，通过“受托机制的法理辨析”与“制度构建四要素”两大部分展开论证，能够较好地结合现有信托法原理与数据流通实践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:rsidR="00F70856" w:rsidRDefault="00F70856" w:rsidP="008B4497">
            <w:pPr>
              <w:ind w:firstLineChars="200" w:firstLine="360"/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但是本文也存在一定的问题。首先是</w:t>
            </w:r>
            <w:r w:rsidR="00E41CCA">
              <w:rPr>
                <w:rFonts w:hint="eastAsia"/>
                <w:sz w:val="18"/>
                <w:szCs w:val="18"/>
              </w:rPr>
              <w:t>在多个部分都存在罗列观点的倾向，而没有深入挖掘各个观点之间的逻辑联系；其次可以增强一些前后文的联系，提升文章整体的连贯性；再次本文重点论证了数据信托制度的可行性，建议增加一些合法性与必要性的论证；最后是模式选择部分，现有的框架结构并不能很好地体现作者的观点，建议修改。</w:t>
            </w:r>
          </w:p>
          <w:p w:rsidR="0047225C" w:rsidRPr="00E41CCA" w:rsidRDefault="0047225C">
            <w:pPr>
              <w:jc w:val="center"/>
              <w:rPr>
                <w:sz w:val="18"/>
                <w:szCs w:val="18"/>
              </w:rPr>
            </w:pPr>
          </w:p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  <w:p w:rsidR="0047225C" w:rsidRDefault="0047225C">
            <w:pPr>
              <w:jc w:val="center"/>
              <w:rPr>
                <w:sz w:val="18"/>
                <w:szCs w:val="18"/>
              </w:rPr>
            </w:pPr>
          </w:p>
          <w:p w:rsidR="0047225C" w:rsidRDefault="0047225C" w:rsidP="008B4497">
            <w:pPr>
              <w:rPr>
                <w:sz w:val="18"/>
                <w:szCs w:val="18"/>
              </w:rPr>
            </w:pPr>
          </w:p>
        </w:tc>
      </w:tr>
      <w:tr w:rsidR="0047225C">
        <w:trPr>
          <w:trHeight w:val="512"/>
        </w:trPr>
        <w:tc>
          <w:tcPr>
            <w:tcW w:w="1550" w:type="dxa"/>
            <w:gridSpan w:val="2"/>
            <w:vAlign w:val="center"/>
          </w:tcPr>
          <w:p w:rsidR="0047225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加挂导师建议</w:t>
            </w:r>
          </w:p>
          <w:p w:rsidR="0047225C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（复审专用，仅适用于正常来稿情况，非必填）</w:t>
            </w:r>
          </w:p>
        </w:tc>
        <w:tc>
          <w:tcPr>
            <w:tcW w:w="7209" w:type="dxa"/>
            <w:gridSpan w:val="2"/>
            <w:vAlign w:val="center"/>
          </w:tcPr>
          <w:p w:rsidR="0047225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</w:t>
            </w:r>
            <w:r>
              <w:rPr>
                <w:rFonts w:hint="eastAsia"/>
                <w:sz w:val="18"/>
                <w:szCs w:val="18"/>
              </w:rPr>
              <w:t>优秀硕博士论文，不建议加挂导师。</w:t>
            </w:r>
          </w:p>
          <w:p w:rsidR="0047225C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论文质量较高，但未达到特别优秀程度。建议加挂导师。</w:t>
            </w:r>
          </w:p>
          <w:p w:rsidR="0047225C" w:rsidRDefault="0047225C">
            <w:pPr>
              <w:rPr>
                <w:sz w:val="18"/>
                <w:szCs w:val="18"/>
              </w:rPr>
            </w:pPr>
          </w:p>
          <w:p w:rsidR="0047225C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（如有，请在选项后打√）</w:t>
            </w:r>
          </w:p>
        </w:tc>
      </w:tr>
    </w:tbl>
    <w:p w:rsidR="0047225C" w:rsidRDefault="0047225C"/>
    <w:sectPr w:rsidR="004722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7D6C" w:rsidRDefault="000B7D6C" w:rsidP="00F24C1B">
      <w:r>
        <w:separator/>
      </w:r>
    </w:p>
  </w:endnote>
  <w:endnote w:type="continuationSeparator" w:id="0">
    <w:p w:rsidR="000B7D6C" w:rsidRDefault="000B7D6C" w:rsidP="00F24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7D6C" w:rsidRDefault="000B7D6C" w:rsidP="00F24C1B">
      <w:r>
        <w:separator/>
      </w:r>
    </w:p>
  </w:footnote>
  <w:footnote w:type="continuationSeparator" w:id="0">
    <w:p w:rsidR="000B7D6C" w:rsidRDefault="000B7D6C" w:rsidP="00F24C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9F8"/>
    <w:rsid w:val="000B7D6C"/>
    <w:rsid w:val="002D6BB0"/>
    <w:rsid w:val="0047225C"/>
    <w:rsid w:val="005A2667"/>
    <w:rsid w:val="005C47B9"/>
    <w:rsid w:val="00681E02"/>
    <w:rsid w:val="006C5930"/>
    <w:rsid w:val="006F297A"/>
    <w:rsid w:val="007E2512"/>
    <w:rsid w:val="007E6A59"/>
    <w:rsid w:val="008B4497"/>
    <w:rsid w:val="009C5B92"/>
    <w:rsid w:val="00A14D34"/>
    <w:rsid w:val="00A22690"/>
    <w:rsid w:val="00A34FE4"/>
    <w:rsid w:val="00A71146"/>
    <w:rsid w:val="00BA3247"/>
    <w:rsid w:val="00BE3ED7"/>
    <w:rsid w:val="00C17DEA"/>
    <w:rsid w:val="00C70E73"/>
    <w:rsid w:val="00C749F8"/>
    <w:rsid w:val="00CF60D9"/>
    <w:rsid w:val="00DD4CD6"/>
    <w:rsid w:val="00E41CCA"/>
    <w:rsid w:val="00E60674"/>
    <w:rsid w:val="00EC1143"/>
    <w:rsid w:val="00F24C1B"/>
    <w:rsid w:val="00F70856"/>
    <w:rsid w:val="00F75CA2"/>
    <w:rsid w:val="00F96E67"/>
    <w:rsid w:val="7E3A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05B47"/>
  <w15:docId w15:val="{5C474359-C56D-4D1A-9D47-9D918762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zhi</cp:lastModifiedBy>
  <cp:revision>3</cp:revision>
  <dcterms:created xsi:type="dcterms:W3CDTF">2025-07-11T03:44:00Z</dcterms:created>
  <dcterms:modified xsi:type="dcterms:W3CDTF">2025-07-11T03:50:00Z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E0F7B6C8D4DD8B79F961F166366CE078_42</vt:lpwstr>
  </property>
  <property fmtid="{D5CDD505-2E9C-101B-9397-08002B2CF9AE}" pid="4" name="GrammarlyDocumentId">
    <vt:lpwstr>1d23802313fe71f2f88f731f753dc3080f5e1f93e939bdfdbbb00b03105cc1c8</vt:lpwstr>
  </property>
</Properties>
</file>