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6D93" w14:textId="77777777" w:rsidR="00DD4CD6" w:rsidRDefault="00DD4CD6" w:rsidP="00DD4CD6">
      <w:pPr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中国政法大学研究生学报审稿评分表</w:t>
      </w:r>
    </w:p>
    <w:p w14:paraId="140363C4" w14:textId="4A49FB52" w:rsidR="00DD4CD6" w:rsidRPr="006001A9" w:rsidRDefault="00DD4CD6" w:rsidP="00DD4CD6">
      <w:pPr>
        <w:rPr>
          <w:sz w:val="24"/>
        </w:rPr>
      </w:pPr>
      <w:r>
        <w:rPr>
          <w:rFonts w:hint="eastAsia"/>
          <w:sz w:val="24"/>
        </w:rPr>
        <w:t>论文题目：</w:t>
      </w:r>
      <w:r w:rsidR="006001A9" w:rsidRPr="006001A9">
        <w:rPr>
          <w:rFonts w:hint="eastAsia"/>
          <w:sz w:val="24"/>
        </w:rPr>
        <w:t>以物抵债执行和解协议的救济路径类型化研究</w:t>
      </w:r>
    </w:p>
    <w:p w14:paraId="6117207E" w14:textId="77777777" w:rsidR="00DD4CD6" w:rsidRDefault="00DD4CD6" w:rsidP="00DD4CD6">
      <w:pPr>
        <w:rPr>
          <w:sz w:val="24"/>
        </w:rPr>
      </w:pPr>
      <w:r>
        <w:rPr>
          <w:rFonts w:hint="eastAsia"/>
          <w:sz w:val="24"/>
        </w:rPr>
        <w:t>论文作者：</w:t>
      </w:r>
      <w:r>
        <w:rPr>
          <w:rFonts w:hint="eastAsia"/>
          <w:sz w:val="24"/>
        </w:rPr>
        <w:t xml:space="preserve">                                  </w:t>
      </w:r>
      <w:r>
        <w:rPr>
          <w:rFonts w:hint="eastAsia"/>
          <w:sz w:val="24"/>
        </w:rPr>
        <w:t>学生编辑：</w:t>
      </w:r>
      <w:r>
        <w:rPr>
          <w:rFonts w:hint="eastAsia"/>
          <w:sz w:val="24"/>
        </w:rPr>
        <w:t xml:space="preserve"> </w:t>
      </w:r>
    </w:p>
    <w:tbl>
      <w:tblPr>
        <w:tblW w:w="8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9"/>
        <w:gridCol w:w="901"/>
        <w:gridCol w:w="5767"/>
        <w:gridCol w:w="1442"/>
      </w:tblGrid>
      <w:tr w:rsidR="00DD4CD6" w14:paraId="4E28FB38" w14:textId="77777777" w:rsidTr="000D14FA">
        <w:trPr>
          <w:trHeight w:val="586"/>
        </w:trPr>
        <w:tc>
          <w:tcPr>
            <w:tcW w:w="649" w:type="dxa"/>
          </w:tcPr>
          <w:p w14:paraId="4F467281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</w:p>
        </w:tc>
      </w:tr>
      <w:tr w:rsidR="00DD4CD6" w14:paraId="6C24A5B3" w14:textId="77777777" w:rsidTr="000D14FA">
        <w:trPr>
          <w:trHeight w:val="289"/>
        </w:trPr>
        <w:tc>
          <w:tcPr>
            <w:tcW w:w="649" w:type="dxa"/>
            <w:vMerge w:val="restart"/>
          </w:tcPr>
          <w:p w14:paraId="153A6073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7B92CBBA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:rsidR="00DD4CD6" w14:paraId="331F0975" w14:textId="77777777" w:rsidTr="000D14FA">
        <w:trPr>
          <w:trHeight w:val="312"/>
        </w:trPr>
        <w:tc>
          <w:tcPr>
            <w:tcW w:w="649" w:type="dxa"/>
            <w:vMerge/>
          </w:tcPr>
          <w:p w14:paraId="54F5C042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2DD841B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:rsidR="00DD4CD6" w14:paraId="6EF24D81" w14:textId="77777777" w:rsidTr="000D14FA">
        <w:trPr>
          <w:trHeight w:val="302"/>
        </w:trPr>
        <w:tc>
          <w:tcPr>
            <w:tcW w:w="649" w:type="dxa"/>
            <w:vMerge/>
          </w:tcPr>
          <w:p w14:paraId="48BA9C1A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A03800A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17E8EE8C" w14:textId="77777777" w:rsidTr="000D14FA">
        <w:trPr>
          <w:trHeight w:val="321"/>
        </w:trPr>
        <w:tc>
          <w:tcPr>
            <w:tcW w:w="649" w:type="dxa"/>
            <w:vMerge w:val="restart"/>
          </w:tcPr>
          <w:p w14:paraId="609448AB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</w:p>
          <w:p w14:paraId="33B4BD3C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6C35916B" w14:textId="77777777" w:rsidTr="000D14FA">
        <w:trPr>
          <w:trHeight w:val="302"/>
        </w:trPr>
        <w:tc>
          <w:tcPr>
            <w:tcW w:w="649" w:type="dxa"/>
            <w:vMerge/>
          </w:tcPr>
          <w:p w14:paraId="5E1436E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488BA8D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59E2B3D5" w14:textId="77777777" w:rsidTr="000D14FA">
        <w:trPr>
          <w:trHeight w:val="389"/>
        </w:trPr>
        <w:tc>
          <w:tcPr>
            <w:tcW w:w="649" w:type="dxa"/>
            <w:vMerge/>
          </w:tcPr>
          <w:p w14:paraId="5E189AF3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0FD377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1F7F50E4" w14:textId="77777777" w:rsidTr="000D14FA">
        <w:trPr>
          <w:trHeight w:val="302"/>
        </w:trPr>
        <w:tc>
          <w:tcPr>
            <w:tcW w:w="649" w:type="dxa"/>
            <w:vMerge w:val="restart"/>
          </w:tcPr>
          <w:p w14:paraId="6919CB18" w14:textId="77777777" w:rsidR="00DD4CD6" w:rsidRDefault="00DD4CD6" w:rsidP="000D14FA">
            <w:pPr>
              <w:rPr>
                <w:b/>
                <w:sz w:val="18"/>
                <w:szCs w:val="18"/>
              </w:rPr>
            </w:pPr>
          </w:p>
          <w:p w14:paraId="1D9133F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4BE945A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613B67ED" w14:textId="77777777" w:rsidTr="000D14FA">
        <w:trPr>
          <w:trHeight w:val="302"/>
        </w:trPr>
        <w:tc>
          <w:tcPr>
            <w:tcW w:w="649" w:type="dxa"/>
            <w:vMerge/>
          </w:tcPr>
          <w:p w14:paraId="724EFEB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5B8E7BA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4D514B95" w14:textId="77777777" w:rsidTr="000D14FA">
        <w:trPr>
          <w:trHeight w:val="302"/>
        </w:trPr>
        <w:tc>
          <w:tcPr>
            <w:tcW w:w="649" w:type="dxa"/>
            <w:vMerge/>
          </w:tcPr>
          <w:p w14:paraId="3F0EE70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9C2FCD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3C6DF94" w14:textId="77777777" w:rsidTr="000D14FA">
        <w:trPr>
          <w:trHeight w:val="302"/>
        </w:trPr>
        <w:tc>
          <w:tcPr>
            <w:tcW w:w="649" w:type="dxa"/>
            <w:vMerge/>
          </w:tcPr>
          <w:p w14:paraId="42CD65C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5CC6442E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601EE57A" w14:textId="77777777" w:rsidTr="000D14FA">
        <w:trPr>
          <w:trHeight w:val="293"/>
        </w:trPr>
        <w:tc>
          <w:tcPr>
            <w:tcW w:w="649" w:type="dxa"/>
            <w:vMerge w:val="restart"/>
          </w:tcPr>
          <w:p w14:paraId="2F7C1DA3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  <w:p w14:paraId="4789CD3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13B36C4" w14:textId="77777777" w:rsidTr="000D14FA">
        <w:trPr>
          <w:trHeight w:val="605"/>
        </w:trPr>
        <w:tc>
          <w:tcPr>
            <w:tcW w:w="649" w:type="dxa"/>
            <w:vMerge/>
          </w:tcPr>
          <w:p w14:paraId="1C5650E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66AE172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4DC27411" w14:textId="77777777" w:rsidTr="000D14FA">
        <w:trPr>
          <w:trHeight w:val="337"/>
        </w:trPr>
        <w:tc>
          <w:tcPr>
            <w:tcW w:w="649" w:type="dxa"/>
            <w:vMerge w:val="restart"/>
          </w:tcPr>
          <w:p w14:paraId="07B0F29F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  <w:p w14:paraId="2A58632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F4A3084" w14:textId="77777777" w:rsidTr="000D14FA">
        <w:trPr>
          <w:trHeight w:val="538"/>
        </w:trPr>
        <w:tc>
          <w:tcPr>
            <w:tcW w:w="649" w:type="dxa"/>
            <w:vMerge/>
          </w:tcPr>
          <w:p w14:paraId="37EB8A2A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62204CD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</w:t>
            </w:r>
            <w:proofErr w:type="gramStart"/>
            <w:r>
              <w:rPr>
                <w:rFonts w:hint="eastAsia"/>
                <w:sz w:val="18"/>
                <w:szCs w:val="18"/>
              </w:rPr>
              <w:t>较不足</w:t>
            </w:r>
            <w:proofErr w:type="gramEnd"/>
          </w:p>
        </w:tc>
        <w:tc>
          <w:tcPr>
            <w:tcW w:w="1442" w:type="dxa"/>
          </w:tcPr>
          <w:p w14:paraId="697EAE15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3ABF845C" w14:textId="77777777" w:rsidTr="000D14FA">
        <w:trPr>
          <w:trHeight w:val="293"/>
        </w:trPr>
        <w:tc>
          <w:tcPr>
            <w:tcW w:w="649" w:type="dxa"/>
            <w:vMerge w:val="restart"/>
          </w:tcPr>
          <w:p w14:paraId="5C3442F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  <w:p w14:paraId="5BF915A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7458C42B" w14:textId="77777777" w:rsidTr="000D14FA">
        <w:trPr>
          <w:trHeight w:val="302"/>
        </w:trPr>
        <w:tc>
          <w:tcPr>
            <w:tcW w:w="649" w:type="dxa"/>
            <w:vMerge/>
          </w:tcPr>
          <w:p w14:paraId="604583EE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65E3186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D4CD6" w14:paraId="1E1D4AAE" w14:textId="77777777" w:rsidTr="000D14FA">
        <w:trPr>
          <w:trHeight w:val="504"/>
        </w:trPr>
        <w:tc>
          <w:tcPr>
            <w:tcW w:w="649" w:type="dxa"/>
            <w:vMerge/>
          </w:tcPr>
          <w:p w14:paraId="0C6A95F1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006FCD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 w14:textId="77777777" w:rsidR="00DD4CD6" w:rsidRDefault="00DD4CD6" w:rsidP="000D14F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 w14:textId="77777777" w:rsidR="00DD4CD6" w:rsidRDefault="00DD4CD6" w:rsidP="000D14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:rsidR="00DD4CD6" w14:paraId="5BB71FE8" w14:textId="77777777" w:rsidTr="000D14FA">
        <w:trPr>
          <w:trHeight w:val="512"/>
        </w:trPr>
        <w:tc>
          <w:tcPr>
            <w:tcW w:w="1550" w:type="dxa"/>
            <w:gridSpan w:val="2"/>
            <w:vAlign w:val="center"/>
          </w:tcPr>
          <w:p w14:paraId="64C6B054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 w14:textId="17C56BF8" w:rsidR="00DD4CD6" w:rsidRDefault="006001A9" w:rsidP="000D14F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70</w:t>
            </w:r>
          </w:p>
        </w:tc>
      </w:tr>
      <w:tr w:rsidR="00DD4CD6" w14:paraId="3D860866" w14:textId="77777777" w:rsidTr="000D14FA">
        <w:trPr>
          <w:trHeight w:val="512"/>
        </w:trPr>
        <w:tc>
          <w:tcPr>
            <w:tcW w:w="1550" w:type="dxa"/>
            <w:gridSpan w:val="2"/>
            <w:vAlign w:val="center"/>
          </w:tcPr>
          <w:p w14:paraId="1B4FFBB9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 w14:textId="7E1499FE" w:rsidR="00DD4CD6" w:rsidRDefault="006001A9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</w:p>
        </w:tc>
      </w:tr>
      <w:tr w:rsidR="00DD4CD6" w14:paraId="021FE477" w14:textId="77777777" w:rsidTr="000D14FA">
        <w:trPr>
          <w:trHeight w:val="512"/>
        </w:trPr>
        <w:tc>
          <w:tcPr>
            <w:tcW w:w="1550" w:type="dxa"/>
            <w:gridSpan w:val="2"/>
            <w:vAlign w:val="center"/>
          </w:tcPr>
          <w:p w14:paraId="5B5181E4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3507755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5738E8F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24F3347D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01CBE083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50A855CC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72291768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54F099B5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59FD1130" w14:textId="2D73F7A7" w:rsidR="00DD4CD6" w:rsidRDefault="00DD4CD6" w:rsidP="000D14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</w:t>
            </w:r>
            <w:r w:rsidRPr="000A1DED">
              <w:rPr>
                <w:rFonts w:hint="eastAsia"/>
                <w:sz w:val="18"/>
                <w:szCs w:val="18"/>
              </w:rPr>
              <w:t>优点、存在问题、修改建议等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7209" w:type="dxa"/>
            <w:gridSpan w:val="2"/>
            <w:vAlign w:val="center"/>
          </w:tcPr>
          <w:p w14:paraId="5C893A00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1782EA7E" w14:textId="77777777" w:rsidR="00DD4CD6" w:rsidRDefault="00DD4CD6" w:rsidP="000D14FA">
            <w:pPr>
              <w:jc w:val="center"/>
              <w:rPr>
                <w:sz w:val="18"/>
                <w:szCs w:val="18"/>
              </w:rPr>
            </w:pPr>
          </w:p>
          <w:p w14:paraId="0DBCF3C1" w14:textId="2CB85913" w:rsidR="006001A9" w:rsidRPr="006001A9" w:rsidRDefault="006001A9" w:rsidP="006001A9">
            <w:pPr>
              <w:rPr>
                <w:rFonts w:hint="eastAsia"/>
                <w:sz w:val="18"/>
                <w:szCs w:val="18"/>
              </w:rPr>
            </w:pPr>
            <w:r w:rsidRPr="006001A9">
              <w:rPr>
                <w:rFonts w:hint="eastAsia"/>
                <w:sz w:val="18"/>
                <w:szCs w:val="18"/>
              </w:rPr>
              <w:lastRenderedPageBreak/>
              <w:t>以物抵债执行和解协议这一选题系学理上存在争议的问题，具有可研究性，但</w:t>
            </w:r>
            <w:r>
              <w:rPr>
                <w:rFonts w:hint="eastAsia"/>
                <w:sz w:val="18"/>
                <w:szCs w:val="18"/>
              </w:rPr>
              <w:t>该文</w:t>
            </w:r>
            <w:r w:rsidRPr="006001A9">
              <w:rPr>
                <w:rFonts w:hint="eastAsia"/>
                <w:sz w:val="18"/>
                <w:szCs w:val="18"/>
              </w:rPr>
              <w:t>的写作存在以下问题：</w:t>
            </w:r>
          </w:p>
          <w:p w14:paraId="24DFE551" w14:textId="12DD149F" w:rsidR="006001A9" w:rsidRPr="006001A9" w:rsidRDefault="006001A9" w:rsidP="006001A9">
            <w:pPr>
              <w:ind w:firstLineChars="200" w:first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rFonts w:hint="eastAsia"/>
                <w:sz w:val="18"/>
                <w:szCs w:val="18"/>
              </w:rPr>
              <w:t>该</w:t>
            </w:r>
            <w:r w:rsidRPr="006001A9">
              <w:rPr>
                <w:rFonts w:hint="eastAsia"/>
                <w:sz w:val="18"/>
                <w:szCs w:val="18"/>
              </w:rPr>
              <w:t>文的写作更像是作者进行的文献综述与文献整理，是对与和解协议有关的学说观点的一个归纳汇总，写作章节之间逻辑联系不足；</w:t>
            </w:r>
          </w:p>
          <w:p w14:paraId="3C6D22BA" w14:textId="4A9ACB2A" w:rsidR="006001A9" w:rsidRPr="006001A9" w:rsidRDefault="006001A9" w:rsidP="006001A9">
            <w:pPr>
              <w:ind w:firstLineChars="200" w:first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 w:rsidRPr="006001A9">
              <w:rPr>
                <w:rFonts w:hint="eastAsia"/>
                <w:sz w:val="18"/>
                <w:szCs w:val="18"/>
              </w:rPr>
              <w:t>文章标题为“救济路径类型化研究”，但</w:t>
            </w:r>
            <w:r>
              <w:rPr>
                <w:rFonts w:hint="eastAsia"/>
                <w:sz w:val="18"/>
                <w:szCs w:val="18"/>
              </w:rPr>
              <w:t>论文</w:t>
            </w:r>
            <w:r w:rsidRPr="006001A9">
              <w:rPr>
                <w:rFonts w:hint="eastAsia"/>
                <w:sz w:val="18"/>
                <w:szCs w:val="18"/>
              </w:rPr>
              <w:t>的展开却是和解协议的类型化研究，且作者提出的</w:t>
            </w:r>
            <w:proofErr w:type="gramStart"/>
            <w:r w:rsidRPr="006001A9">
              <w:rPr>
                <w:rFonts w:hint="eastAsia"/>
                <w:sz w:val="18"/>
                <w:szCs w:val="18"/>
              </w:rPr>
              <w:t>“</w:t>
            </w:r>
            <w:proofErr w:type="gramEnd"/>
            <w:r w:rsidRPr="006001A9">
              <w:rPr>
                <w:rFonts w:hint="eastAsia"/>
                <w:sz w:val="18"/>
                <w:szCs w:val="18"/>
              </w:rPr>
              <w:t>新债清偿（处分型）执行和解协议与债务更新（创设型）执行和解协议“两者的本质区别是什么，</w:t>
            </w:r>
            <w:r>
              <w:rPr>
                <w:rFonts w:hint="eastAsia"/>
                <w:sz w:val="18"/>
                <w:szCs w:val="18"/>
              </w:rPr>
              <w:t>并未</w:t>
            </w:r>
            <w:r w:rsidRPr="006001A9">
              <w:rPr>
                <w:rFonts w:hint="eastAsia"/>
                <w:sz w:val="18"/>
                <w:szCs w:val="18"/>
              </w:rPr>
              <w:t>举出具体的实例说明两者的区别，不然一般认为处分行为就是引起民事法律关系产生、变更、消灭的法律行为，可能就会包含创设行为；且作者的这个分类，与</w:t>
            </w:r>
            <w:r w:rsidRPr="006001A9">
              <w:rPr>
                <w:rFonts w:hint="eastAsia"/>
                <w:sz w:val="18"/>
                <w:szCs w:val="18"/>
              </w:rPr>
              <w:t>2.1</w:t>
            </w:r>
            <w:r w:rsidRPr="006001A9">
              <w:rPr>
                <w:rFonts w:hint="eastAsia"/>
                <w:sz w:val="18"/>
                <w:szCs w:val="18"/>
              </w:rPr>
              <w:t>中以物抵债执行和解协议三种学说的关系是什么</w:t>
            </w:r>
            <w:r>
              <w:rPr>
                <w:rFonts w:hint="eastAsia"/>
                <w:sz w:val="18"/>
                <w:szCs w:val="18"/>
              </w:rPr>
              <w:t>尚待厘清</w:t>
            </w:r>
            <w:r w:rsidRPr="006001A9">
              <w:rPr>
                <w:rFonts w:hint="eastAsia"/>
                <w:sz w:val="18"/>
                <w:szCs w:val="18"/>
              </w:rPr>
              <w:t>？总之，作者提出的这个分类是否周延有进一步展开论证的必要。</w:t>
            </w:r>
          </w:p>
          <w:p w14:paraId="20AA7C70" w14:textId="35382400" w:rsidR="003D7FAE" w:rsidRDefault="006001A9" w:rsidP="006001A9">
            <w:pPr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</w:t>
            </w:r>
            <w:r w:rsidRPr="006001A9">
              <w:rPr>
                <w:rFonts w:hint="eastAsia"/>
                <w:sz w:val="18"/>
                <w:szCs w:val="18"/>
              </w:rPr>
              <w:t>作者基于对</w:t>
            </w:r>
            <w:proofErr w:type="gramStart"/>
            <w:r w:rsidRPr="006001A9">
              <w:rPr>
                <w:rFonts w:hint="eastAsia"/>
                <w:sz w:val="18"/>
                <w:szCs w:val="18"/>
              </w:rPr>
              <w:t>另诉或者</w:t>
            </w:r>
            <w:proofErr w:type="gramEnd"/>
            <w:r w:rsidRPr="006001A9">
              <w:rPr>
                <w:rFonts w:hint="eastAsia"/>
                <w:sz w:val="18"/>
                <w:szCs w:val="18"/>
              </w:rPr>
              <w:t>恢复执行这一程序选择权可能导致</w:t>
            </w:r>
            <w:proofErr w:type="gramStart"/>
            <w:r w:rsidRPr="006001A9">
              <w:rPr>
                <w:rFonts w:hint="eastAsia"/>
                <w:sz w:val="18"/>
                <w:szCs w:val="18"/>
              </w:rPr>
              <w:t>类案异判</w:t>
            </w:r>
            <w:proofErr w:type="gramEnd"/>
            <w:r w:rsidRPr="006001A9">
              <w:rPr>
                <w:rFonts w:hint="eastAsia"/>
                <w:sz w:val="18"/>
                <w:szCs w:val="18"/>
              </w:rPr>
              <w:t>，所以主张应当对和解协议进行分类，从而进行救济路径的划分，但是根据您提出的二分法，救济路径仍然不是单一的，</w:t>
            </w:r>
            <w:r>
              <w:rPr>
                <w:rFonts w:hint="eastAsia"/>
                <w:sz w:val="18"/>
                <w:szCs w:val="18"/>
              </w:rPr>
              <w:t>根据作者</w:t>
            </w:r>
            <w:r w:rsidRPr="006001A9">
              <w:rPr>
                <w:rFonts w:hint="eastAsia"/>
                <w:sz w:val="18"/>
                <w:szCs w:val="18"/>
              </w:rPr>
              <w:t>列出的表格，也是说明该分类下原则上</w:t>
            </w:r>
            <w:proofErr w:type="gramStart"/>
            <w:r w:rsidRPr="006001A9">
              <w:rPr>
                <w:rFonts w:hint="eastAsia"/>
                <w:sz w:val="18"/>
                <w:szCs w:val="18"/>
              </w:rPr>
              <w:t>指向哪</w:t>
            </w:r>
            <w:proofErr w:type="gramEnd"/>
            <w:r w:rsidRPr="006001A9">
              <w:rPr>
                <w:rFonts w:hint="eastAsia"/>
                <w:sz w:val="18"/>
                <w:szCs w:val="18"/>
              </w:rPr>
              <w:t>一路径，没绝对否认另一路径，那这个分类还有意义吗，该分类仍然没有解决程序选择权的问题，而且赋予当事人程序选择权有什么弊端吗，这不是对当事人的赋权吗？为何作者主张这存在问题并应当进行规制？总之，当前的论文行文逻辑并未围绕具体的问题争议点进行展开，论述较为牵</w:t>
            </w:r>
            <w:r w:rsidR="003D7FAE" w:rsidRPr="003D7FAE">
              <w:rPr>
                <w:rFonts w:hint="eastAsia"/>
                <w:sz w:val="18"/>
                <w:szCs w:val="18"/>
              </w:rPr>
              <w:t>。</w:t>
            </w:r>
          </w:p>
          <w:p w14:paraId="5B3F6DBD" w14:textId="7A6D5345" w:rsidR="006001A9" w:rsidRPr="006001A9" w:rsidRDefault="006001A9" w:rsidP="006001A9">
            <w:pPr>
              <w:pStyle w:val="a8"/>
              <w:ind w:firstLineChars="200" w:firstLine="360"/>
              <w:rPr>
                <w:rFonts w:ascii="Times New Roman" w:eastAsia="宋体" w:hAnsi="Times New Roman" w:cs="Times New Roman" w:hint="eastAsia"/>
                <w:sz w:val="18"/>
                <w:szCs w:val="18"/>
              </w:rPr>
            </w:pPr>
            <w:r w:rsidRPr="006001A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4. </w:t>
            </w:r>
            <w:r w:rsidRPr="006001A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赋予执行和解协议予以执行力，这一观点过于突破当前执行理论根基，如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果</w:t>
            </w:r>
            <w:r w:rsidRPr="006001A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作者要提出这一观点，如何处理之前生效裁判文书的执行力，两个执行依据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如何</w:t>
            </w:r>
            <w:r w:rsidRPr="006001A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并存？作者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需要</w:t>
            </w:r>
            <w:r w:rsidRPr="006001A9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进一步优化该部分的论述。</w:t>
            </w:r>
          </w:p>
          <w:p w14:paraId="548707B4" w14:textId="2B61D456" w:rsidR="006001A9" w:rsidRPr="006001A9" w:rsidRDefault="006001A9" w:rsidP="006001A9">
            <w:pPr>
              <w:ind w:firstLineChars="200" w:firstLine="360"/>
              <w:rPr>
                <w:sz w:val="18"/>
                <w:szCs w:val="18"/>
              </w:rPr>
            </w:pPr>
          </w:p>
          <w:p w14:paraId="6B188C6B" w14:textId="5526EDDB" w:rsidR="006001A9" w:rsidRPr="003D7FAE" w:rsidRDefault="006001A9" w:rsidP="006001A9">
            <w:pPr>
              <w:ind w:firstLineChars="200" w:first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总之，该文目前的核心观点大多基于作者自己的观点表述，论证明显不足，且行文流畅度与逻辑联系明显不足，建议退稿。</w:t>
            </w:r>
          </w:p>
          <w:p w14:paraId="3A08E402" w14:textId="77777777" w:rsidR="00DD4CD6" w:rsidRDefault="00DD4CD6" w:rsidP="003D7FAE">
            <w:pPr>
              <w:rPr>
                <w:sz w:val="18"/>
                <w:szCs w:val="18"/>
              </w:rPr>
            </w:pPr>
          </w:p>
        </w:tc>
      </w:tr>
    </w:tbl>
    <w:p w14:paraId="7624B1E0" w14:textId="77777777" w:rsidR="00CF60D9" w:rsidRPr="00DD4CD6" w:rsidRDefault="00CF60D9"/>
    <w:sectPr w:rsidR="00CF60D9" w:rsidRPr="00DD4C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1794C" w14:textId="77777777" w:rsidR="00730A95" w:rsidRDefault="00730A95" w:rsidP="00DD4CD6">
      <w:r>
        <w:separator/>
      </w:r>
    </w:p>
  </w:endnote>
  <w:endnote w:type="continuationSeparator" w:id="0">
    <w:p w14:paraId="2D47166B" w14:textId="77777777" w:rsidR="00730A95" w:rsidRDefault="00730A95" w:rsidP="00DD4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9EBB8" w14:textId="77777777" w:rsidR="00730A95" w:rsidRDefault="00730A95" w:rsidP="00DD4CD6">
      <w:r>
        <w:separator/>
      </w:r>
    </w:p>
  </w:footnote>
  <w:footnote w:type="continuationSeparator" w:id="0">
    <w:p w14:paraId="24EB6BDF" w14:textId="77777777" w:rsidR="00730A95" w:rsidRDefault="00730A95" w:rsidP="00DD4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3AD7"/>
    <w:multiLevelType w:val="hybridMultilevel"/>
    <w:tmpl w:val="54BC307E"/>
    <w:lvl w:ilvl="0" w:tplc="E258DF0C">
      <w:start w:val="1"/>
      <w:numFmt w:val="decimal"/>
      <w:lvlText w:val="%1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5536DD6"/>
    <w:multiLevelType w:val="hybridMultilevel"/>
    <w:tmpl w:val="63B44B3A"/>
    <w:lvl w:ilvl="0" w:tplc="09602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ABE4EAE"/>
    <w:multiLevelType w:val="hybridMultilevel"/>
    <w:tmpl w:val="0660E712"/>
    <w:lvl w:ilvl="0" w:tplc="1FA420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1313581">
    <w:abstractNumId w:val="1"/>
  </w:num>
  <w:num w:numId="2" w16cid:durableId="582224818">
    <w:abstractNumId w:val="0"/>
  </w:num>
  <w:num w:numId="3" w16cid:durableId="1280453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F8"/>
    <w:rsid w:val="00200166"/>
    <w:rsid w:val="003A6B6B"/>
    <w:rsid w:val="003D7FAE"/>
    <w:rsid w:val="0040627D"/>
    <w:rsid w:val="0042185E"/>
    <w:rsid w:val="005D5BDD"/>
    <w:rsid w:val="006001A9"/>
    <w:rsid w:val="00683FAC"/>
    <w:rsid w:val="00730A95"/>
    <w:rsid w:val="007E6CC7"/>
    <w:rsid w:val="00BB4F5D"/>
    <w:rsid w:val="00C17DEA"/>
    <w:rsid w:val="00C2247E"/>
    <w:rsid w:val="00C749F8"/>
    <w:rsid w:val="00CF60D9"/>
    <w:rsid w:val="00DD4CD6"/>
    <w:rsid w:val="00F9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1139E"/>
  <w15:chartTrackingRefBased/>
  <w15:docId w15:val="{C92903F9-06AA-46FF-BA7F-CBA921B2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CD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4CD6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4C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4CD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4CD6"/>
    <w:rPr>
      <w:sz w:val="18"/>
      <w:szCs w:val="18"/>
    </w:rPr>
  </w:style>
  <w:style w:type="paragraph" w:styleId="a7">
    <w:name w:val="List Paragraph"/>
    <w:basedOn w:val="a"/>
    <w:uiPriority w:val="34"/>
    <w:qFormat/>
    <w:rsid w:val="00DD4CD6"/>
    <w:pPr>
      <w:ind w:firstLineChars="200" w:firstLine="420"/>
    </w:pPr>
  </w:style>
  <w:style w:type="paragraph" w:styleId="a8">
    <w:name w:val="annotation text"/>
    <w:basedOn w:val="a"/>
    <w:link w:val="a9"/>
    <w:uiPriority w:val="99"/>
    <w:semiHidden/>
    <w:unhideWhenUsed/>
    <w:rsid w:val="006001A9"/>
    <w:pPr>
      <w:jc w:val="left"/>
    </w:pPr>
    <w:rPr>
      <w:rFonts w:asciiTheme="minorHAnsi" w:eastAsiaTheme="minorEastAsia" w:hAnsiTheme="minorHAnsi" w:cstheme="minorBidi"/>
      <w:szCs w:val="22"/>
    </w:rPr>
  </w:style>
  <w:style w:type="character" w:customStyle="1" w:styleId="a9">
    <w:name w:val="批注文字 字符"/>
    <w:basedOn w:val="a0"/>
    <w:link w:val="a8"/>
    <w:uiPriority w:val="99"/>
    <w:semiHidden/>
    <w:rsid w:val="00600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审稿人2</cp:lastModifiedBy>
  <cp:revision>3</cp:revision>
  <dcterms:created xsi:type="dcterms:W3CDTF">2026-04-27T11:48:00Z</dcterms:created>
  <dcterms:modified xsi:type="dcterms:W3CDTF">2026-04-27T12:00:00Z</dcterms:modified>
</cp:coreProperties>
</file>