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67D99F">
      <w:pPr>
        <w:jc w:val="center"/>
        <w:rPr>
          <w:rFonts w:hint="eastAsia" w:ascii="黑体" w:hAnsi="黑体" w:eastAsia="黑体"/>
          <w:b/>
          <w:sz w:val="30"/>
          <w:szCs w:val="30"/>
        </w:rPr>
      </w:pPr>
      <w:r>
        <w:rPr>
          <w:rFonts w:hint="eastAsia" w:ascii="黑体" w:hAnsi="黑体" w:eastAsia="黑体"/>
          <w:b/>
          <w:sz w:val="30"/>
          <w:szCs w:val="30"/>
        </w:rPr>
        <w:t>中国政法大学研究生学报审稿评分表</w:t>
      </w:r>
    </w:p>
    <w:p w14:paraId="5DBEBC1C">
      <w:pPr>
        <w:rPr>
          <w:rFonts w:hint="eastAsia"/>
          <w:sz w:val="24"/>
        </w:rPr>
      </w:pPr>
    </w:p>
    <w:p w14:paraId="01FF5D4C">
      <w:pPr>
        <w:rPr>
          <w:rFonts w:hint="eastAsia"/>
          <w:sz w:val="24"/>
        </w:rPr>
      </w:pPr>
      <w:r>
        <w:rPr>
          <w:rFonts w:hint="eastAsia"/>
          <w:sz w:val="24"/>
        </w:rPr>
        <w:t>论文题目：生成式人工智能可控治理的法理逻辑与实现路径——基于算法解释的视角</w:t>
      </w:r>
    </w:p>
    <w:p w14:paraId="51A2BCA3">
      <w:pPr>
        <w:rPr>
          <w:rFonts w:hint="eastAsia"/>
          <w:sz w:val="24"/>
        </w:rPr>
      </w:pPr>
      <w:r>
        <w:rPr>
          <w:rFonts w:hint="eastAsia"/>
          <w:sz w:val="24"/>
        </w:rPr>
        <w:t>论文作者：</w:t>
      </w:r>
    </w:p>
    <w:p w14:paraId="2A3F3F06">
      <w:pPr>
        <w:rPr>
          <w:rFonts w:hint="eastAsia"/>
          <w:sz w:val="24"/>
        </w:rPr>
      </w:pPr>
    </w:p>
    <w:tbl>
      <w:tblPr>
        <w:tblStyle w:val="4"/>
        <w:tblW w:w="87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9"/>
        <w:gridCol w:w="901"/>
        <w:gridCol w:w="5767"/>
        <w:gridCol w:w="1442"/>
      </w:tblGrid>
      <w:tr w14:paraId="32E5A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649" w:type="dxa"/>
          </w:tcPr>
          <w:p w14:paraId="4CA2EDE8">
            <w:pPr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序号</w:t>
            </w:r>
          </w:p>
        </w:tc>
        <w:tc>
          <w:tcPr>
            <w:tcW w:w="901" w:type="dxa"/>
          </w:tcPr>
          <w:p w14:paraId="54B80325">
            <w:pPr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评价</w:t>
            </w:r>
          </w:p>
          <w:p w14:paraId="3C0DE21C">
            <w:pPr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指标</w:t>
            </w:r>
          </w:p>
        </w:tc>
        <w:tc>
          <w:tcPr>
            <w:tcW w:w="5767" w:type="dxa"/>
          </w:tcPr>
          <w:p w14:paraId="3D475629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评价标准</w:t>
            </w:r>
          </w:p>
        </w:tc>
        <w:tc>
          <w:tcPr>
            <w:tcW w:w="1442" w:type="dxa"/>
          </w:tcPr>
          <w:p w14:paraId="7851317C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分值</w:t>
            </w:r>
          </w:p>
          <w:p w14:paraId="35334A1B">
            <w:pPr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0BFB5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649" w:type="dxa"/>
            <w:vMerge w:val="restart"/>
          </w:tcPr>
          <w:p w14:paraId="38458BA2">
            <w:pPr>
              <w:jc w:val="center"/>
              <w:rPr>
                <w:rFonts w:hint="eastAsia"/>
                <w:sz w:val="18"/>
                <w:szCs w:val="18"/>
              </w:rPr>
            </w:pPr>
          </w:p>
          <w:p w14:paraId="7DB49227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</w:t>
            </w:r>
          </w:p>
        </w:tc>
        <w:tc>
          <w:tcPr>
            <w:tcW w:w="901" w:type="dxa"/>
            <w:vMerge w:val="restart"/>
          </w:tcPr>
          <w:p w14:paraId="3A30C039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6581182F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选题</w:t>
            </w:r>
          </w:p>
          <w:p w14:paraId="5807F828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1F37AA7B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具有较高学术性、创新性、实践性和可行性</w:t>
            </w:r>
          </w:p>
        </w:tc>
        <w:tc>
          <w:tcPr>
            <w:tcW w:w="1442" w:type="dxa"/>
          </w:tcPr>
          <w:p w14:paraId="122BF9C4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8-10</w:t>
            </w:r>
          </w:p>
        </w:tc>
      </w:tr>
      <w:tr w14:paraId="7396A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649" w:type="dxa"/>
            <w:vMerge w:val="continue"/>
          </w:tcPr>
          <w:p w14:paraId="0C21F339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2B503087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70559701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有一定的学术性、实践性和可行性</w:t>
            </w:r>
          </w:p>
        </w:tc>
        <w:tc>
          <w:tcPr>
            <w:tcW w:w="1442" w:type="dxa"/>
          </w:tcPr>
          <w:p w14:paraId="2CA43D3C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4-7</w:t>
            </w:r>
          </w:p>
        </w:tc>
      </w:tr>
      <w:tr w14:paraId="142F9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49" w:type="dxa"/>
            <w:vMerge w:val="continue"/>
          </w:tcPr>
          <w:p w14:paraId="5D8A4D1C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70ACFD44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2166DC0D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学术性、实践性、可行性较差</w:t>
            </w:r>
          </w:p>
        </w:tc>
        <w:tc>
          <w:tcPr>
            <w:tcW w:w="1442" w:type="dxa"/>
          </w:tcPr>
          <w:p w14:paraId="17A5108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0-3</w:t>
            </w:r>
          </w:p>
          <w:p w14:paraId="37DBAF1B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581CF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649" w:type="dxa"/>
            <w:vMerge w:val="restart"/>
          </w:tcPr>
          <w:p w14:paraId="6DF7F23C">
            <w:pPr>
              <w:rPr>
                <w:rFonts w:hint="eastAsia"/>
                <w:b/>
                <w:sz w:val="18"/>
                <w:szCs w:val="18"/>
              </w:rPr>
            </w:pPr>
          </w:p>
          <w:p w14:paraId="6940044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2</w:t>
            </w:r>
          </w:p>
          <w:p w14:paraId="1C87F54D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restart"/>
          </w:tcPr>
          <w:p w14:paraId="312290CC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785DF6D3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观点</w:t>
            </w:r>
          </w:p>
          <w:p w14:paraId="2E1DF6EE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15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7A03A90C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论点鲜明，见解独到、有创新性</w:t>
            </w:r>
          </w:p>
        </w:tc>
        <w:tc>
          <w:tcPr>
            <w:tcW w:w="1442" w:type="dxa"/>
          </w:tcPr>
          <w:p w14:paraId="775FEDC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13-15</w:t>
            </w:r>
          </w:p>
          <w:p w14:paraId="1F12EA42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3141A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49" w:type="dxa"/>
            <w:vMerge w:val="continue"/>
          </w:tcPr>
          <w:p w14:paraId="771A9F3E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5C208F30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600CA2E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论点明确，有一定新意对既有观点有较深的阐释</w:t>
            </w:r>
          </w:p>
        </w:tc>
        <w:tc>
          <w:tcPr>
            <w:tcW w:w="1442" w:type="dxa"/>
          </w:tcPr>
          <w:p w14:paraId="11C64C2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5-12</w:t>
            </w:r>
          </w:p>
          <w:p w14:paraId="4A5EBE12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24EE3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649" w:type="dxa"/>
            <w:vMerge w:val="continue"/>
          </w:tcPr>
          <w:p w14:paraId="6136BB8F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75C27D0C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730474F5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论点不够明确</w:t>
            </w:r>
          </w:p>
        </w:tc>
        <w:tc>
          <w:tcPr>
            <w:tcW w:w="1442" w:type="dxa"/>
          </w:tcPr>
          <w:p w14:paraId="30DA649C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0-4</w:t>
            </w:r>
          </w:p>
          <w:p w14:paraId="75FF8054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273A0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49" w:type="dxa"/>
            <w:vMerge w:val="restart"/>
          </w:tcPr>
          <w:p w14:paraId="140F4DB6">
            <w:pPr>
              <w:rPr>
                <w:rFonts w:hint="eastAsia"/>
                <w:b/>
                <w:sz w:val="18"/>
                <w:szCs w:val="18"/>
              </w:rPr>
            </w:pPr>
          </w:p>
          <w:p w14:paraId="1115A84D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3</w:t>
            </w:r>
          </w:p>
        </w:tc>
        <w:tc>
          <w:tcPr>
            <w:tcW w:w="901" w:type="dxa"/>
            <w:vMerge w:val="restart"/>
          </w:tcPr>
          <w:p w14:paraId="4CA78305">
            <w:pPr>
              <w:jc w:val="center"/>
              <w:rPr>
                <w:rFonts w:hint="eastAsia"/>
                <w:sz w:val="18"/>
                <w:szCs w:val="18"/>
              </w:rPr>
            </w:pPr>
          </w:p>
          <w:p w14:paraId="0999AF87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2290E15E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论证</w:t>
            </w:r>
          </w:p>
          <w:p w14:paraId="1A828FD4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40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0E8BDDEE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方法新颖，论证充分，论据确凿，逻辑性强，对问题有较深入的分析</w:t>
            </w:r>
          </w:p>
        </w:tc>
        <w:tc>
          <w:tcPr>
            <w:tcW w:w="1442" w:type="dxa"/>
          </w:tcPr>
          <w:p w14:paraId="4A89D7DF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35-40</w:t>
            </w:r>
          </w:p>
          <w:p w14:paraId="65706353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39BFA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49" w:type="dxa"/>
            <w:vMerge w:val="continue"/>
          </w:tcPr>
          <w:p w14:paraId="7DF60666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3D38E1F8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2C830F32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方法得当，论证比较充分，论据可靠，逻辑性比较强，分析比较深入</w:t>
            </w:r>
          </w:p>
        </w:tc>
        <w:tc>
          <w:tcPr>
            <w:tcW w:w="1442" w:type="dxa"/>
          </w:tcPr>
          <w:p w14:paraId="26E9A7B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25-34</w:t>
            </w:r>
          </w:p>
          <w:p w14:paraId="3F079721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7E7BB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49" w:type="dxa"/>
            <w:vMerge w:val="continue"/>
          </w:tcPr>
          <w:p w14:paraId="20C4FFB3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0D014D67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0C369F92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对事物有一定的分析能力和概括能力，能运用所学理论和知识阐述问题</w:t>
            </w:r>
          </w:p>
        </w:tc>
        <w:tc>
          <w:tcPr>
            <w:tcW w:w="1442" w:type="dxa"/>
          </w:tcPr>
          <w:p w14:paraId="02F2D58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13-24</w:t>
            </w:r>
          </w:p>
          <w:p w14:paraId="7D69397C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7E995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49" w:type="dxa"/>
            <w:vMerge w:val="continue"/>
          </w:tcPr>
          <w:p w14:paraId="6F43869C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0B94854E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02A55F93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论证未充分说明论点</w:t>
            </w:r>
          </w:p>
        </w:tc>
        <w:tc>
          <w:tcPr>
            <w:tcW w:w="1442" w:type="dxa"/>
          </w:tcPr>
          <w:p w14:paraId="3BA7A09B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1-12</w:t>
            </w:r>
          </w:p>
          <w:p w14:paraId="3036398F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34709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649" w:type="dxa"/>
            <w:vMerge w:val="restart"/>
          </w:tcPr>
          <w:p w14:paraId="5894EAC3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  <w:p w14:paraId="34F23473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4</w:t>
            </w:r>
          </w:p>
        </w:tc>
        <w:tc>
          <w:tcPr>
            <w:tcW w:w="901" w:type="dxa"/>
            <w:vMerge w:val="restart"/>
          </w:tcPr>
          <w:p w14:paraId="718E5B65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</w:t>
            </w:r>
          </w:p>
          <w:p w14:paraId="57C8783B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规范性</w:t>
            </w:r>
          </w:p>
          <w:p w14:paraId="5AF652D4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06A6CA1E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论文的注释体例和参考文献规范、内容摘要和关键词，符合规范性</w:t>
            </w:r>
          </w:p>
        </w:tc>
        <w:tc>
          <w:tcPr>
            <w:tcW w:w="1442" w:type="dxa"/>
          </w:tcPr>
          <w:p w14:paraId="2B126898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6-10</w:t>
            </w:r>
          </w:p>
          <w:p w14:paraId="276AD15C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188BD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649" w:type="dxa"/>
            <w:vMerge w:val="continue"/>
          </w:tcPr>
          <w:p w14:paraId="1F9113B4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19976F51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7C182CEF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论文的注释体例和参考文献基本符合规范、内容摘要和关键词，基本符合规范性</w:t>
            </w:r>
          </w:p>
        </w:tc>
        <w:tc>
          <w:tcPr>
            <w:tcW w:w="1442" w:type="dxa"/>
          </w:tcPr>
          <w:p w14:paraId="0584384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1-5</w:t>
            </w:r>
          </w:p>
          <w:p w14:paraId="03AE98A6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1DD5E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649" w:type="dxa"/>
            <w:vMerge w:val="restart"/>
          </w:tcPr>
          <w:p w14:paraId="54576A58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  <w:p w14:paraId="097BB79B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5</w:t>
            </w:r>
          </w:p>
        </w:tc>
        <w:tc>
          <w:tcPr>
            <w:tcW w:w="901" w:type="dxa"/>
            <w:vMerge w:val="restart"/>
          </w:tcPr>
          <w:p w14:paraId="472AED22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资料引用与调查实证（</w:t>
            </w:r>
            <w:r>
              <w:rPr>
                <w:rFonts w:hint="eastAsia"/>
                <w:b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0487DABE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参考文献具有相关性、准确性和一定的专业性、权威性，或有较充分的实证调查研究</w:t>
            </w:r>
          </w:p>
        </w:tc>
        <w:tc>
          <w:tcPr>
            <w:tcW w:w="1442" w:type="dxa"/>
          </w:tcPr>
          <w:p w14:paraId="5400D3D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7-10</w:t>
            </w:r>
          </w:p>
          <w:p w14:paraId="52EA92C4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2FAA1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649" w:type="dxa"/>
            <w:vMerge w:val="continue"/>
          </w:tcPr>
          <w:p w14:paraId="672705B0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7DA2C932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231ED29A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参考文献相关性、准确性、专业性较不足</w:t>
            </w:r>
          </w:p>
        </w:tc>
        <w:tc>
          <w:tcPr>
            <w:tcW w:w="1442" w:type="dxa"/>
          </w:tcPr>
          <w:p w14:paraId="5E5E9128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1-6</w:t>
            </w:r>
          </w:p>
          <w:p w14:paraId="43D9E3FF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10BA7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649" w:type="dxa"/>
            <w:vMerge w:val="restart"/>
          </w:tcPr>
          <w:p w14:paraId="1D4027A6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  <w:p w14:paraId="4EFCA534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</w:t>
            </w:r>
          </w:p>
        </w:tc>
        <w:tc>
          <w:tcPr>
            <w:tcW w:w="901" w:type="dxa"/>
            <w:vMerge w:val="restart"/>
          </w:tcPr>
          <w:p w14:paraId="2112CEB4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布局结构与文字表达</w:t>
            </w:r>
          </w:p>
          <w:p w14:paraId="7AFE887D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b/>
                <w:sz w:val="18"/>
                <w:szCs w:val="18"/>
              </w:rPr>
              <w:t>15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767" w:type="dxa"/>
          </w:tcPr>
          <w:p w14:paraId="4246907B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结构严谨，层次分明，论述清晰，语言流畅，表达准确</w:t>
            </w:r>
          </w:p>
        </w:tc>
        <w:tc>
          <w:tcPr>
            <w:tcW w:w="1442" w:type="dxa"/>
          </w:tcPr>
          <w:p w14:paraId="5863C5D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12-15</w:t>
            </w:r>
          </w:p>
          <w:p w14:paraId="326F99A1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467DF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49" w:type="dxa"/>
            <w:vMerge w:val="continue"/>
          </w:tcPr>
          <w:p w14:paraId="5C6B8375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60212A79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3B19F316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结构合理，符合逻辑，语言通顺，语言表达符合基本文法</w:t>
            </w:r>
          </w:p>
        </w:tc>
        <w:tc>
          <w:tcPr>
            <w:tcW w:w="1442" w:type="dxa"/>
          </w:tcPr>
          <w:p w14:paraId="08E84DB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6-11</w:t>
            </w:r>
          </w:p>
          <w:p w14:paraId="364B026A">
            <w:pPr>
              <w:jc w:val="center"/>
              <w:rPr>
                <w:rFonts w:hint="eastAsia"/>
                <w:b/>
                <w:sz w:val="18"/>
                <w:szCs w:val="18"/>
              </w:rPr>
            </w:pPr>
          </w:p>
        </w:tc>
      </w:tr>
      <w:tr w14:paraId="61E42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649" w:type="dxa"/>
            <w:vMerge w:val="continue"/>
          </w:tcPr>
          <w:p w14:paraId="603D896F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901" w:type="dxa"/>
            <w:vMerge w:val="continue"/>
          </w:tcPr>
          <w:p w14:paraId="0678C706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5767" w:type="dxa"/>
          </w:tcPr>
          <w:p w14:paraId="5C2B40C2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结构不甚合理，文字语言表达较不清</w:t>
            </w:r>
          </w:p>
        </w:tc>
        <w:tc>
          <w:tcPr>
            <w:tcW w:w="1442" w:type="dxa"/>
          </w:tcPr>
          <w:p w14:paraId="20E2032A"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1-5</w:t>
            </w:r>
          </w:p>
        </w:tc>
      </w:tr>
      <w:tr w14:paraId="78F91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4D27D3E1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总分</w:t>
            </w:r>
          </w:p>
        </w:tc>
        <w:tc>
          <w:tcPr>
            <w:tcW w:w="7209" w:type="dxa"/>
            <w:gridSpan w:val="2"/>
            <w:vAlign w:val="center"/>
          </w:tcPr>
          <w:p w14:paraId="58CCAF4C">
            <w:pPr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57（7+9+22+6+3+10）</w:t>
            </w:r>
          </w:p>
        </w:tc>
      </w:tr>
      <w:tr w14:paraId="01ADE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1829332C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审定意见</w:t>
            </w:r>
          </w:p>
        </w:tc>
        <w:tc>
          <w:tcPr>
            <w:tcW w:w="7209" w:type="dxa"/>
            <w:gridSpan w:val="2"/>
            <w:vAlign w:val="center"/>
          </w:tcPr>
          <w:p w14:paraId="1AB7AEC8">
            <w:pPr>
              <w:jc w:val="center"/>
              <w:rPr>
                <w:rFonts w:hint="eastAsia" w:eastAsia="宋体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退稿</w:t>
            </w:r>
          </w:p>
        </w:tc>
      </w:tr>
      <w:tr w14:paraId="31932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4C5403CA">
            <w:pPr>
              <w:jc w:val="center"/>
              <w:rPr>
                <w:sz w:val="18"/>
                <w:szCs w:val="18"/>
              </w:rPr>
            </w:pPr>
          </w:p>
          <w:p w14:paraId="5276B3DC">
            <w:pPr>
              <w:jc w:val="center"/>
              <w:rPr>
                <w:sz w:val="18"/>
                <w:szCs w:val="18"/>
              </w:rPr>
            </w:pPr>
          </w:p>
          <w:p w14:paraId="49A7AF38">
            <w:pPr>
              <w:jc w:val="center"/>
              <w:rPr>
                <w:sz w:val="18"/>
                <w:szCs w:val="18"/>
              </w:rPr>
            </w:pPr>
          </w:p>
          <w:p w14:paraId="370AAEDF">
            <w:pPr>
              <w:jc w:val="center"/>
              <w:rPr>
                <w:sz w:val="18"/>
                <w:szCs w:val="18"/>
              </w:rPr>
            </w:pPr>
          </w:p>
          <w:p w14:paraId="6C08EA22">
            <w:pPr>
              <w:jc w:val="center"/>
              <w:rPr>
                <w:sz w:val="18"/>
                <w:szCs w:val="18"/>
              </w:rPr>
            </w:pPr>
          </w:p>
          <w:p w14:paraId="57300C67">
            <w:pPr>
              <w:jc w:val="center"/>
              <w:rPr>
                <w:sz w:val="18"/>
                <w:szCs w:val="18"/>
              </w:rPr>
            </w:pPr>
          </w:p>
          <w:p w14:paraId="13CEF9A0">
            <w:pPr>
              <w:jc w:val="center"/>
              <w:rPr>
                <w:sz w:val="18"/>
                <w:szCs w:val="18"/>
              </w:rPr>
            </w:pPr>
          </w:p>
          <w:p w14:paraId="3A63EF48">
            <w:pPr>
              <w:jc w:val="center"/>
              <w:rPr>
                <w:sz w:val="18"/>
                <w:szCs w:val="18"/>
              </w:rPr>
            </w:pPr>
          </w:p>
          <w:p w14:paraId="67E8FA20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论文评价（优点、存在问题、修改建议等）</w:t>
            </w:r>
          </w:p>
        </w:tc>
        <w:tc>
          <w:tcPr>
            <w:tcW w:w="7209" w:type="dxa"/>
            <w:gridSpan w:val="2"/>
            <w:vAlign w:val="center"/>
          </w:tcPr>
          <w:p w14:paraId="05E07626">
            <w:pPr>
              <w:jc w:val="both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优点：</w:t>
            </w:r>
          </w:p>
          <w:p w14:paraId="6957A5AF">
            <w:pPr>
              <w:jc w:val="both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1.选题紧扣数字法治前沿议题，有一定问题意识。</w:t>
            </w:r>
          </w:p>
          <w:p w14:paraId="73F4C53F">
            <w:pPr>
              <w:jc w:val="both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2.文章结构整体完整，遵循规范学术框架。</w:t>
            </w:r>
          </w:p>
          <w:p w14:paraId="395CE4EA">
            <w:pPr>
              <w:jc w:val="both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存在问题：</w:t>
            </w:r>
          </w:p>
          <w:p w14:paraId="4A072E0C">
            <w:pPr>
              <w:jc w:val="both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1.引用文献方面：全文引用的文献都为学术论文和规范性文件，严重缺乏对裁判文书、监管实践等实证文献的引用，致使全文缺乏实证分析，更像一篇文献综述。</w:t>
            </w:r>
          </w:p>
          <w:p w14:paraId="17A58E41">
            <w:pPr>
              <w:jc w:val="both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.在论证深度方面，本文虽然提到了很多制度构建措施，但是对这些制度的构建均停留在表面介绍，缺乏具体的实操细则。例如，最后一部分对“申诉机制”的构建即缺乏对具体流程、时限、机构权限等细节的规定，使得对策空泛，操作性不强。最后一部分提出的措施未能完全回应前一部分提出的困境，尤其对“技术-成本”维度的回应几乎为空白。</w:t>
            </w:r>
          </w:p>
          <w:p w14:paraId="7ACC7D20">
            <w:pPr>
              <w:jc w:val="both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3.在学术价值方面，本文的创新性不足。论文更多地是对既有学术观点的系统梳理与整合，本文的核心论点——“分类、平衡、包容”的治理路径构建缺乏鲜明的独创性框架。</w:t>
            </w:r>
          </w:p>
          <w:p w14:paraId="082D9EDD">
            <w:pPr>
              <w:jc w:val="both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建议：</w:t>
            </w:r>
          </w:p>
          <w:p w14:paraId="502D08CC">
            <w:pPr>
              <w:jc w:val="both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1.增加对实证文献的引用，提升文章的实践性。</w:t>
            </w:r>
          </w:p>
          <w:p w14:paraId="3B8E3549">
            <w:pPr>
              <w:jc w:val="both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2.夯实文章的法理基础，针对现有问题提出更具体的法教义学方案。</w:t>
            </w:r>
            <w:bookmarkStart w:id="0" w:name="_GoBack"/>
            <w:bookmarkEnd w:id="0"/>
          </w:p>
          <w:p w14:paraId="6527C1CA">
            <w:pPr>
              <w:jc w:val="both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3.强化创新，提出更有创新性的标准建构方案，而非对其他学者的观点进行简单整合与重复。</w:t>
            </w:r>
          </w:p>
          <w:p w14:paraId="27D8CA25">
            <w:pPr>
              <w:jc w:val="center"/>
              <w:rPr>
                <w:sz w:val="18"/>
                <w:szCs w:val="18"/>
              </w:rPr>
            </w:pPr>
          </w:p>
          <w:p w14:paraId="17C83236">
            <w:pPr>
              <w:tabs>
                <w:tab w:val="left" w:pos="1316"/>
              </w:tabs>
              <w:jc w:val="left"/>
              <w:rPr>
                <w:rFonts w:hint="eastAsia" w:eastAsia="宋体"/>
                <w:sz w:val="18"/>
                <w:szCs w:val="18"/>
                <w:lang w:eastAsia="zh-CN"/>
              </w:rPr>
            </w:pPr>
          </w:p>
          <w:p w14:paraId="1643CEF5">
            <w:pPr>
              <w:jc w:val="center"/>
              <w:rPr>
                <w:sz w:val="18"/>
                <w:szCs w:val="18"/>
              </w:rPr>
            </w:pPr>
          </w:p>
          <w:p w14:paraId="554647A5">
            <w:pPr>
              <w:jc w:val="both"/>
              <w:rPr>
                <w:sz w:val="18"/>
                <w:szCs w:val="18"/>
              </w:rPr>
            </w:pPr>
          </w:p>
          <w:p w14:paraId="672389F1">
            <w:pPr>
              <w:jc w:val="center"/>
              <w:rPr>
                <w:sz w:val="18"/>
                <w:szCs w:val="18"/>
              </w:rPr>
            </w:pPr>
          </w:p>
          <w:p w14:paraId="772FD0BA">
            <w:pPr>
              <w:jc w:val="center"/>
              <w:rPr>
                <w:sz w:val="18"/>
                <w:szCs w:val="18"/>
              </w:rPr>
            </w:pPr>
          </w:p>
          <w:p w14:paraId="20448DC6">
            <w:pPr>
              <w:jc w:val="both"/>
              <w:rPr>
                <w:rFonts w:hint="eastAsia"/>
                <w:sz w:val="18"/>
                <w:szCs w:val="18"/>
              </w:rPr>
            </w:pPr>
          </w:p>
        </w:tc>
      </w:tr>
      <w:tr w14:paraId="0C6DF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1550" w:type="dxa"/>
            <w:gridSpan w:val="2"/>
            <w:vAlign w:val="center"/>
          </w:tcPr>
          <w:p w14:paraId="7ADA23D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加挂导师建议</w:t>
            </w:r>
          </w:p>
          <w:p w14:paraId="365168BD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（复审专用，仅适用于正常来稿情况，非必填）</w:t>
            </w:r>
          </w:p>
        </w:tc>
        <w:tc>
          <w:tcPr>
            <w:tcW w:w="7209" w:type="dxa"/>
            <w:gridSpan w:val="2"/>
            <w:vAlign w:val="center"/>
          </w:tcPr>
          <w:p w14:paraId="5BD0859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1.优秀硕博士论文，不建议加挂导师。</w:t>
            </w:r>
          </w:p>
          <w:p w14:paraId="67E6F8D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.</w:t>
            </w:r>
            <w:r>
              <w:rPr>
                <w:rFonts w:hint="eastAsia"/>
                <w:sz w:val="18"/>
                <w:szCs w:val="18"/>
              </w:rPr>
              <w:t>论文质量较高，但未达到特别优秀程度。建议加挂导师。</w:t>
            </w:r>
          </w:p>
          <w:p w14:paraId="1C73C6A2">
            <w:pPr>
              <w:rPr>
                <w:sz w:val="18"/>
                <w:szCs w:val="18"/>
              </w:rPr>
            </w:pPr>
          </w:p>
          <w:p w14:paraId="1DC3CAE1">
            <w:pPr>
              <w:jc w:val="right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（如有，请在选项后打√）</w:t>
            </w:r>
          </w:p>
        </w:tc>
      </w:tr>
    </w:tbl>
    <w:p w14:paraId="5BB4727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9F8"/>
    <w:rsid w:val="00C17DEA"/>
    <w:rsid w:val="00C749F8"/>
    <w:rsid w:val="00CF60D9"/>
    <w:rsid w:val="00DD4CD6"/>
    <w:rsid w:val="0E043CBD"/>
    <w:rsid w:val="34C81C1A"/>
    <w:rsid w:val="4DBD7A5B"/>
    <w:rsid w:val="4DE66FB2"/>
    <w:rsid w:val="4E572C1E"/>
    <w:rsid w:val="74ED038F"/>
    <w:rsid w:val="7B0B07C2"/>
    <w:rsid w:val="7E3A6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1612</Words>
  <Characters>1691</Characters>
  <Lines>6</Lines>
  <Paragraphs>1</Paragraphs>
  <TotalTime>13</TotalTime>
  <ScaleCrop>false</ScaleCrop>
  <LinksUpToDate>false</LinksUpToDate>
  <CharactersWithSpaces>1691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2024-01-10T08:17:00Z</dcterms:created>
  <dc:creator>admin</dc:creator>
  <cp:lastModifiedBy>在运动中运动</cp:lastModifiedBy>
  <dcterms:modified xsi:type="dcterms:W3CDTF">2026-04-28T02:26:56Z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E0F7B6C8D4DD8B79F961F166366CE078_42</vt:lpwstr>
  </property>
  <property fmtid="{D5CDD505-2E9C-101B-9397-08002B2CF9AE}" pid="4" name="KSOTemplateDocerSaveRecord">
    <vt:lpwstr>eyJoZGlkIjoiYWRiMjQ5NWQ0NjI0NTFjOWY3OWI5NjVmNjkyYTZhNjgiLCJ1c2VySWQiOiIzNzE3NDA4MDMifQ==</vt:lpwstr>
  </property>
</Properties>
</file>