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076D93">
      <w:pPr>
        <w:jc w:val="center"/>
        <w:rPr>
          <w:rFonts w:hint="eastAsia" w:ascii="黑体" w:hAnsi="黑体" w:eastAsia="黑体"/>
          <w:b/>
          <w:sz w:val="30"/>
          <w:szCs w:val="30"/>
        </w:rPr>
      </w:pPr>
      <w:r>
        <w:rPr>
          <w:rFonts w:hint="eastAsia" w:ascii="黑体" w:hAnsi="黑体" w:eastAsia="黑体"/>
          <w:b/>
          <w:sz w:val="30"/>
          <w:szCs w:val="30"/>
        </w:rPr>
        <w:t>中国政法大学研究生学报审稿评分表</w:t>
      </w:r>
    </w:p>
    <w:p w14:paraId="140363C4">
      <w:pPr>
        <w:rPr>
          <w:sz w:val="24"/>
        </w:rPr>
      </w:pPr>
      <w:r>
        <w:rPr>
          <w:rFonts w:hint="eastAsia"/>
          <w:sz w:val="24"/>
        </w:rPr>
        <w:t>论文题目：第三方诉讼融资制度中国本土化建构论</w:t>
      </w:r>
    </w:p>
    <w:p w14:paraId="6117207E">
      <w:pPr>
        <w:rPr>
          <w:sz w:val="24"/>
        </w:rPr>
      </w:pPr>
      <w:r>
        <w:rPr>
          <w:rFonts w:hint="eastAsia"/>
          <w:sz w:val="24"/>
        </w:rPr>
        <w:t xml:space="preserve">论文作者：                                  学生编辑： </w:t>
      </w:r>
    </w:p>
    <w:tbl>
      <w:tblPr>
        <w:tblStyle w:val="4"/>
        <w:tblW w:w="87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901"/>
        <w:gridCol w:w="5767"/>
        <w:gridCol w:w="1442"/>
      </w:tblGrid>
      <w:tr w14:paraId="4E28FB38">
        <w:trPr>
          <w:trHeight w:val="586" w:hRule="atLeast"/>
        </w:trPr>
        <w:tc>
          <w:tcPr>
            <w:tcW w:w="649" w:type="dxa"/>
          </w:tcPr>
          <w:p w14:paraId="4F467281">
            <w:pPr>
              <w:rPr>
                <w:b/>
                <w:sz w:val="18"/>
                <w:szCs w:val="18"/>
              </w:rPr>
            </w:pPr>
            <w:r>
              <w:rPr>
                <w:rFonts w:hint="eastAsia"/>
                <w:b/>
                <w:sz w:val="18"/>
                <w:szCs w:val="18"/>
              </w:rPr>
              <w:t>序号</w:t>
            </w:r>
          </w:p>
        </w:tc>
        <w:tc>
          <w:tcPr>
            <w:tcW w:w="901" w:type="dxa"/>
          </w:tcPr>
          <w:p w14:paraId="5CA3903C">
            <w:pPr>
              <w:rPr>
                <w:b/>
                <w:sz w:val="18"/>
                <w:szCs w:val="18"/>
              </w:rPr>
            </w:pPr>
            <w:r>
              <w:rPr>
                <w:rFonts w:hint="eastAsia"/>
                <w:b/>
                <w:sz w:val="18"/>
                <w:szCs w:val="18"/>
              </w:rPr>
              <w:t>评价</w:t>
            </w:r>
          </w:p>
          <w:p w14:paraId="09E131AE">
            <w:pPr>
              <w:rPr>
                <w:b/>
                <w:sz w:val="18"/>
                <w:szCs w:val="18"/>
              </w:rPr>
            </w:pPr>
            <w:r>
              <w:rPr>
                <w:rFonts w:hint="eastAsia"/>
                <w:b/>
                <w:sz w:val="18"/>
                <w:szCs w:val="18"/>
              </w:rPr>
              <w:t>指标</w:t>
            </w:r>
          </w:p>
        </w:tc>
        <w:tc>
          <w:tcPr>
            <w:tcW w:w="5767" w:type="dxa"/>
          </w:tcPr>
          <w:p w14:paraId="1F3B988F">
            <w:pPr>
              <w:jc w:val="center"/>
              <w:rPr>
                <w:b/>
                <w:sz w:val="18"/>
                <w:szCs w:val="18"/>
              </w:rPr>
            </w:pPr>
            <w:r>
              <w:rPr>
                <w:rFonts w:hint="eastAsia"/>
                <w:b/>
                <w:sz w:val="18"/>
                <w:szCs w:val="18"/>
              </w:rPr>
              <w:t>评价标准</w:t>
            </w:r>
          </w:p>
        </w:tc>
        <w:tc>
          <w:tcPr>
            <w:tcW w:w="1442" w:type="dxa"/>
          </w:tcPr>
          <w:p w14:paraId="4C587034">
            <w:pPr>
              <w:jc w:val="center"/>
              <w:rPr>
                <w:b/>
                <w:sz w:val="18"/>
                <w:szCs w:val="18"/>
              </w:rPr>
            </w:pPr>
            <w:r>
              <w:rPr>
                <w:rFonts w:hint="eastAsia"/>
                <w:b/>
                <w:sz w:val="18"/>
                <w:szCs w:val="18"/>
              </w:rPr>
              <w:t>分值</w:t>
            </w:r>
          </w:p>
          <w:p w14:paraId="77D554F4">
            <w:pPr>
              <w:rPr>
                <w:b/>
                <w:sz w:val="18"/>
                <w:szCs w:val="18"/>
              </w:rPr>
            </w:pPr>
          </w:p>
        </w:tc>
      </w:tr>
      <w:tr w14:paraId="6C24A5B3">
        <w:trPr>
          <w:trHeight w:val="289" w:hRule="atLeast"/>
        </w:trPr>
        <w:tc>
          <w:tcPr>
            <w:tcW w:w="649" w:type="dxa"/>
            <w:vMerge w:val="restart"/>
          </w:tcPr>
          <w:p w14:paraId="153A6073">
            <w:pPr>
              <w:jc w:val="center"/>
              <w:rPr>
                <w:sz w:val="18"/>
                <w:szCs w:val="18"/>
              </w:rPr>
            </w:pPr>
          </w:p>
          <w:p w14:paraId="7B92CBBA">
            <w:pPr>
              <w:jc w:val="center"/>
              <w:rPr>
                <w:sz w:val="18"/>
                <w:szCs w:val="18"/>
              </w:rPr>
            </w:pPr>
            <w:r>
              <w:rPr>
                <w:rFonts w:hint="eastAsia"/>
                <w:b/>
                <w:sz w:val="18"/>
                <w:szCs w:val="18"/>
              </w:rPr>
              <w:t>1</w:t>
            </w:r>
          </w:p>
        </w:tc>
        <w:tc>
          <w:tcPr>
            <w:tcW w:w="901" w:type="dxa"/>
            <w:vMerge w:val="restart"/>
          </w:tcPr>
          <w:p w14:paraId="499EA85D">
            <w:pPr>
              <w:jc w:val="center"/>
              <w:rPr>
                <w:sz w:val="18"/>
                <w:szCs w:val="18"/>
              </w:rPr>
            </w:pPr>
            <w:r>
              <w:rPr>
                <w:rFonts w:hint="eastAsia"/>
                <w:sz w:val="18"/>
                <w:szCs w:val="18"/>
              </w:rPr>
              <w:t>论文</w:t>
            </w:r>
          </w:p>
          <w:p w14:paraId="66ADD31F">
            <w:pPr>
              <w:jc w:val="center"/>
              <w:rPr>
                <w:sz w:val="18"/>
                <w:szCs w:val="18"/>
              </w:rPr>
            </w:pPr>
            <w:r>
              <w:rPr>
                <w:rFonts w:hint="eastAsia"/>
                <w:sz w:val="18"/>
                <w:szCs w:val="18"/>
              </w:rPr>
              <w:t>选题</w:t>
            </w:r>
          </w:p>
          <w:p w14:paraId="35893636">
            <w:pPr>
              <w:jc w:val="center"/>
              <w:rPr>
                <w:sz w:val="18"/>
                <w:szCs w:val="18"/>
              </w:rPr>
            </w:pPr>
            <w:r>
              <w:rPr>
                <w:rFonts w:hint="eastAsia"/>
                <w:sz w:val="18"/>
                <w:szCs w:val="18"/>
              </w:rPr>
              <w:t>（</w:t>
            </w:r>
            <w:r>
              <w:rPr>
                <w:rFonts w:hint="eastAsia"/>
                <w:b/>
                <w:sz w:val="18"/>
                <w:szCs w:val="18"/>
              </w:rPr>
              <w:t>10</w:t>
            </w:r>
            <w:r>
              <w:rPr>
                <w:rFonts w:hint="eastAsia"/>
                <w:sz w:val="18"/>
                <w:szCs w:val="18"/>
              </w:rPr>
              <w:t>分）</w:t>
            </w:r>
          </w:p>
        </w:tc>
        <w:tc>
          <w:tcPr>
            <w:tcW w:w="5767" w:type="dxa"/>
          </w:tcPr>
          <w:p w14:paraId="6BF1894F">
            <w:pPr>
              <w:rPr>
                <w:sz w:val="18"/>
                <w:szCs w:val="18"/>
              </w:rPr>
            </w:pPr>
            <w:r>
              <w:rPr>
                <w:rFonts w:hint="eastAsia"/>
                <w:sz w:val="18"/>
                <w:szCs w:val="18"/>
              </w:rPr>
              <w:t>具有较高学术性、创新性、实践性和可行性</w:t>
            </w:r>
          </w:p>
        </w:tc>
        <w:tc>
          <w:tcPr>
            <w:tcW w:w="1442" w:type="dxa"/>
          </w:tcPr>
          <w:p w14:paraId="2C2D97C8">
            <w:pPr>
              <w:jc w:val="center"/>
              <w:rPr>
                <w:b/>
                <w:sz w:val="18"/>
                <w:szCs w:val="18"/>
              </w:rPr>
            </w:pPr>
            <w:r>
              <w:rPr>
                <w:rFonts w:hint="eastAsia"/>
                <w:b/>
                <w:sz w:val="18"/>
                <w:szCs w:val="18"/>
              </w:rPr>
              <w:t>8-10</w:t>
            </w:r>
          </w:p>
        </w:tc>
      </w:tr>
      <w:tr w14:paraId="331F0975">
        <w:trPr>
          <w:trHeight w:val="312" w:hRule="atLeast"/>
        </w:trPr>
        <w:tc>
          <w:tcPr>
            <w:tcW w:w="649" w:type="dxa"/>
            <w:vMerge w:val="continue"/>
          </w:tcPr>
          <w:p w14:paraId="54F5C042">
            <w:pPr>
              <w:jc w:val="center"/>
              <w:rPr>
                <w:sz w:val="18"/>
                <w:szCs w:val="18"/>
              </w:rPr>
            </w:pPr>
          </w:p>
        </w:tc>
        <w:tc>
          <w:tcPr>
            <w:tcW w:w="901" w:type="dxa"/>
            <w:vMerge w:val="continue"/>
          </w:tcPr>
          <w:p w14:paraId="72DD841B">
            <w:pPr>
              <w:jc w:val="center"/>
              <w:rPr>
                <w:sz w:val="18"/>
                <w:szCs w:val="18"/>
              </w:rPr>
            </w:pPr>
          </w:p>
        </w:tc>
        <w:tc>
          <w:tcPr>
            <w:tcW w:w="5767" w:type="dxa"/>
          </w:tcPr>
          <w:p w14:paraId="372201BC">
            <w:pPr>
              <w:rPr>
                <w:sz w:val="18"/>
                <w:szCs w:val="18"/>
              </w:rPr>
            </w:pPr>
            <w:r>
              <w:rPr>
                <w:rFonts w:hint="eastAsia"/>
                <w:sz w:val="18"/>
                <w:szCs w:val="18"/>
              </w:rPr>
              <w:t>有一定的学术性、实践性和可行性</w:t>
            </w:r>
          </w:p>
        </w:tc>
        <w:tc>
          <w:tcPr>
            <w:tcW w:w="1442" w:type="dxa"/>
          </w:tcPr>
          <w:p w14:paraId="2EA961F0">
            <w:pPr>
              <w:jc w:val="center"/>
              <w:rPr>
                <w:b/>
                <w:sz w:val="18"/>
                <w:szCs w:val="18"/>
              </w:rPr>
            </w:pPr>
            <w:r>
              <w:rPr>
                <w:rFonts w:hint="eastAsia"/>
                <w:b/>
                <w:sz w:val="18"/>
                <w:szCs w:val="18"/>
              </w:rPr>
              <w:t>4-7</w:t>
            </w:r>
          </w:p>
        </w:tc>
      </w:tr>
      <w:tr w14:paraId="6EF24D81">
        <w:trPr>
          <w:trHeight w:val="302" w:hRule="atLeast"/>
        </w:trPr>
        <w:tc>
          <w:tcPr>
            <w:tcW w:w="649" w:type="dxa"/>
            <w:vMerge w:val="continue"/>
          </w:tcPr>
          <w:p w14:paraId="48BA9C1A">
            <w:pPr>
              <w:jc w:val="center"/>
              <w:rPr>
                <w:sz w:val="18"/>
                <w:szCs w:val="18"/>
              </w:rPr>
            </w:pPr>
          </w:p>
        </w:tc>
        <w:tc>
          <w:tcPr>
            <w:tcW w:w="901" w:type="dxa"/>
            <w:vMerge w:val="continue"/>
          </w:tcPr>
          <w:p w14:paraId="3A03800A">
            <w:pPr>
              <w:jc w:val="center"/>
              <w:rPr>
                <w:sz w:val="18"/>
                <w:szCs w:val="18"/>
              </w:rPr>
            </w:pPr>
          </w:p>
        </w:tc>
        <w:tc>
          <w:tcPr>
            <w:tcW w:w="5767" w:type="dxa"/>
          </w:tcPr>
          <w:p w14:paraId="3353DD5F">
            <w:pPr>
              <w:rPr>
                <w:sz w:val="18"/>
                <w:szCs w:val="18"/>
              </w:rPr>
            </w:pPr>
            <w:r>
              <w:rPr>
                <w:rFonts w:hint="eastAsia"/>
                <w:sz w:val="18"/>
                <w:szCs w:val="18"/>
              </w:rPr>
              <w:t>学术性、实践性、可行性较差</w:t>
            </w:r>
          </w:p>
        </w:tc>
        <w:tc>
          <w:tcPr>
            <w:tcW w:w="1442" w:type="dxa"/>
          </w:tcPr>
          <w:p w14:paraId="336041E8">
            <w:pPr>
              <w:jc w:val="center"/>
              <w:rPr>
                <w:b/>
                <w:sz w:val="18"/>
                <w:szCs w:val="18"/>
              </w:rPr>
            </w:pPr>
            <w:r>
              <w:rPr>
                <w:rFonts w:hint="eastAsia"/>
                <w:b/>
                <w:sz w:val="18"/>
                <w:szCs w:val="18"/>
              </w:rPr>
              <w:t>0-3</w:t>
            </w:r>
          </w:p>
          <w:p w14:paraId="0ECD2432">
            <w:pPr>
              <w:jc w:val="center"/>
              <w:rPr>
                <w:b/>
                <w:sz w:val="18"/>
                <w:szCs w:val="18"/>
              </w:rPr>
            </w:pPr>
          </w:p>
        </w:tc>
      </w:tr>
      <w:tr w14:paraId="17E8EE8C">
        <w:trPr>
          <w:trHeight w:val="321" w:hRule="atLeast"/>
        </w:trPr>
        <w:tc>
          <w:tcPr>
            <w:tcW w:w="649" w:type="dxa"/>
            <w:vMerge w:val="restart"/>
          </w:tcPr>
          <w:p w14:paraId="609448AB">
            <w:pPr>
              <w:rPr>
                <w:b/>
                <w:sz w:val="18"/>
                <w:szCs w:val="18"/>
              </w:rPr>
            </w:pPr>
          </w:p>
          <w:p w14:paraId="33B4BD3C">
            <w:pPr>
              <w:jc w:val="center"/>
              <w:rPr>
                <w:b/>
                <w:sz w:val="18"/>
                <w:szCs w:val="18"/>
              </w:rPr>
            </w:pPr>
            <w:r>
              <w:rPr>
                <w:rFonts w:hint="eastAsia"/>
                <w:b/>
                <w:sz w:val="18"/>
                <w:szCs w:val="18"/>
              </w:rPr>
              <w:t>2</w:t>
            </w:r>
          </w:p>
          <w:p w14:paraId="37CC7CF7">
            <w:pPr>
              <w:jc w:val="center"/>
              <w:rPr>
                <w:b/>
                <w:sz w:val="18"/>
                <w:szCs w:val="18"/>
              </w:rPr>
            </w:pPr>
          </w:p>
        </w:tc>
        <w:tc>
          <w:tcPr>
            <w:tcW w:w="901" w:type="dxa"/>
            <w:vMerge w:val="restart"/>
          </w:tcPr>
          <w:p w14:paraId="3AE2E539">
            <w:pPr>
              <w:jc w:val="center"/>
              <w:rPr>
                <w:sz w:val="18"/>
                <w:szCs w:val="18"/>
              </w:rPr>
            </w:pPr>
            <w:r>
              <w:rPr>
                <w:rFonts w:hint="eastAsia"/>
                <w:sz w:val="18"/>
                <w:szCs w:val="18"/>
              </w:rPr>
              <w:t>论文</w:t>
            </w:r>
          </w:p>
          <w:p w14:paraId="2D809F37">
            <w:pPr>
              <w:jc w:val="center"/>
              <w:rPr>
                <w:sz w:val="18"/>
                <w:szCs w:val="18"/>
              </w:rPr>
            </w:pPr>
            <w:r>
              <w:rPr>
                <w:rFonts w:hint="eastAsia"/>
                <w:sz w:val="18"/>
                <w:szCs w:val="18"/>
              </w:rPr>
              <w:t>观点</w:t>
            </w:r>
          </w:p>
          <w:p w14:paraId="3A68BCD9">
            <w:pPr>
              <w:jc w:val="center"/>
              <w:rPr>
                <w:sz w:val="18"/>
                <w:szCs w:val="18"/>
              </w:rPr>
            </w:pPr>
            <w:r>
              <w:rPr>
                <w:rFonts w:hint="eastAsia"/>
                <w:sz w:val="18"/>
                <w:szCs w:val="18"/>
              </w:rPr>
              <w:t>（</w:t>
            </w:r>
            <w:r>
              <w:rPr>
                <w:rFonts w:hint="eastAsia"/>
                <w:b/>
                <w:sz w:val="18"/>
                <w:szCs w:val="18"/>
              </w:rPr>
              <w:t>15</w:t>
            </w:r>
            <w:r>
              <w:rPr>
                <w:rFonts w:hint="eastAsia"/>
                <w:sz w:val="18"/>
                <w:szCs w:val="18"/>
              </w:rPr>
              <w:t>分）</w:t>
            </w:r>
          </w:p>
        </w:tc>
        <w:tc>
          <w:tcPr>
            <w:tcW w:w="5767" w:type="dxa"/>
          </w:tcPr>
          <w:p w14:paraId="5F21AFB1">
            <w:pPr>
              <w:rPr>
                <w:sz w:val="18"/>
                <w:szCs w:val="18"/>
              </w:rPr>
            </w:pPr>
            <w:r>
              <w:rPr>
                <w:rFonts w:hint="eastAsia"/>
                <w:sz w:val="18"/>
                <w:szCs w:val="18"/>
              </w:rPr>
              <w:t>论点鲜明，见解独到、有创新性</w:t>
            </w:r>
          </w:p>
        </w:tc>
        <w:tc>
          <w:tcPr>
            <w:tcW w:w="1442" w:type="dxa"/>
          </w:tcPr>
          <w:p w14:paraId="2A5DF17E">
            <w:pPr>
              <w:jc w:val="center"/>
              <w:rPr>
                <w:b/>
                <w:sz w:val="18"/>
                <w:szCs w:val="18"/>
              </w:rPr>
            </w:pPr>
            <w:r>
              <w:rPr>
                <w:rFonts w:hint="eastAsia"/>
                <w:b/>
                <w:sz w:val="18"/>
                <w:szCs w:val="18"/>
              </w:rPr>
              <w:t>13-15</w:t>
            </w:r>
          </w:p>
          <w:p w14:paraId="71064098">
            <w:pPr>
              <w:jc w:val="center"/>
              <w:rPr>
                <w:b/>
                <w:sz w:val="18"/>
                <w:szCs w:val="18"/>
              </w:rPr>
            </w:pPr>
          </w:p>
        </w:tc>
      </w:tr>
      <w:tr w14:paraId="6C35916B">
        <w:trPr>
          <w:trHeight w:val="302" w:hRule="atLeast"/>
        </w:trPr>
        <w:tc>
          <w:tcPr>
            <w:tcW w:w="649" w:type="dxa"/>
            <w:vMerge w:val="continue"/>
          </w:tcPr>
          <w:p w14:paraId="5E1436EA">
            <w:pPr>
              <w:jc w:val="center"/>
              <w:rPr>
                <w:b/>
                <w:sz w:val="18"/>
                <w:szCs w:val="18"/>
              </w:rPr>
            </w:pPr>
          </w:p>
        </w:tc>
        <w:tc>
          <w:tcPr>
            <w:tcW w:w="901" w:type="dxa"/>
            <w:vMerge w:val="continue"/>
          </w:tcPr>
          <w:p w14:paraId="488BA8D7">
            <w:pPr>
              <w:jc w:val="center"/>
              <w:rPr>
                <w:sz w:val="18"/>
                <w:szCs w:val="18"/>
              </w:rPr>
            </w:pPr>
          </w:p>
        </w:tc>
        <w:tc>
          <w:tcPr>
            <w:tcW w:w="5767" w:type="dxa"/>
          </w:tcPr>
          <w:p w14:paraId="30D92748">
            <w:pPr>
              <w:rPr>
                <w:sz w:val="18"/>
                <w:szCs w:val="18"/>
              </w:rPr>
            </w:pPr>
            <w:r>
              <w:rPr>
                <w:rFonts w:hint="eastAsia"/>
                <w:sz w:val="18"/>
                <w:szCs w:val="18"/>
              </w:rPr>
              <w:t>论点明确，有一定新意对既有观点有较深的阐释</w:t>
            </w:r>
          </w:p>
        </w:tc>
        <w:tc>
          <w:tcPr>
            <w:tcW w:w="1442" w:type="dxa"/>
          </w:tcPr>
          <w:p w14:paraId="15C4D392">
            <w:pPr>
              <w:jc w:val="center"/>
              <w:rPr>
                <w:b/>
                <w:sz w:val="18"/>
                <w:szCs w:val="18"/>
              </w:rPr>
            </w:pPr>
            <w:r>
              <w:rPr>
                <w:rFonts w:hint="eastAsia"/>
                <w:b/>
                <w:sz w:val="18"/>
                <w:szCs w:val="18"/>
              </w:rPr>
              <w:t>5-12</w:t>
            </w:r>
          </w:p>
          <w:p w14:paraId="3AF5366C">
            <w:pPr>
              <w:jc w:val="center"/>
              <w:rPr>
                <w:b/>
                <w:sz w:val="18"/>
                <w:szCs w:val="18"/>
              </w:rPr>
            </w:pPr>
          </w:p>
        </w:tc>
      </w:tr>
      <w:tr w14:paraId="59E2B3D5">
        <w:trPr>
          <w:trHeight w:val="389" w:hRule="atLeast"/>
        </w:trPr>
        <w:tc>
          <w:tcPr>
            <w:tcW w:w="649" w:type="dxa"/>
            <w:vMerge w:val="continue"/>
          </w:tcPr>
          <w:p w14:paraId="5E189AF3">
            <w:pPr>
              <w:jc w:val="center"/>
              <w:rPr>
                <w:b/>
                <w:sz w:val="18"/>
                <w:szCs w:val="18"/>
              </w:rPr>
            </w:pPr>
          </w:p>
        </w:tc>
        <w:tc>
          <w:tcPr>
            <w:tcW w:w="901" w:type="dxa"/>
            <w:vMerge w:val="continue"/>
          </w:tcPr>
          <w:p w14:paraId="70FD3776">
            <w:pPr>
              <w:jc w:val="center"/>
              <w:rPr>
                <w:sz w:val="18"/>
                <w:szCs w:val="18"/>
              </w:rPr>
            </w:pPr>
          </w:p>
        </w:tc>
        <w:tc>
          <w:tcPr>
            <w:tcW w:w="5767" w:type="dxa"/>
          </w:tcPr>
          <w:p w14:paraId="3D45AC3E">
            <w:pPr>
              <w:rPr>
                <w:sz w:val="18"/>
                <w:szCs w:val="18"/>
              </w:rPr>
            </w:pPr>
            <w:r>
              <w:rPr>
                <w:rFonts w:hint="eastAsia"/>
                <w:sz w:val="18"/>
                <w:szCs w:val="18"/>
              </w:rPr>
              <w:t>论点不够明确</w:t>
            </w:r>
          </w:p>
        </w:tc>
        <w:tc>
          <w:tcPr>
            <w:tcW w:w="1442" w:type="dxa"/>
          </w:tcPr>
          <w:p w14:paraId="34EDA276">
            <w:pPr>
              <w:jc w:val="center"/>
              <w:rPr>
                <w:b/>
                <w:sz w:val="18"/>
                <w:szCs w:val="18"/>
              </w:rPr>
            </w:pPr>
            <w:r>
              <w:rPr>
                <w:rFonts w:hint="eastAsia"/>
                <w:b/>
                <w:sz w:val="18"/>
                <w:szCs w:val="18"/>
              </w:rPr>
              <w:t>0-4</w:t>
            </w:r>
          </w:p>
          <w:p w14:paraId="1B7E5DD7">
            <w:pPr>
              <w:jc w:val="center"/>
              <w:rPr>
                <w:b/>
                <w:sz w:val="18"/>
                <w:szCs w:val="18"/>
              </w:rPr>
            </w:pPr>
          </w:p>
        </w:tc>
      </w:tr>
      <w:tr w14:paraId="1F7F50E4">
        <w:trPr>
          <w:trHeight w:val="302" w:hRule="atLeast"/>
        </w:trPr>
        <w:tc>
          <w:tcPr>
            <w:tcW w:w="649" w:type="dxa"/>
            <w:vMerge w:val="restart"/>
          </w:tcPr>
          <w:p w14:paraId="6919CB18">
            <w:pPr>
              <w:rPr>
                <w:b/>
                <w:sz w:val="18"/>
                <w:szCs w:val="18"/>
              </w:rPr>
            </w:pPr>
          </w:p>
          <w:p w14:paraId="1D9133F5">
            <w:pPr>
              <w:jc w:val="center"/>
              <w:rPr>
                <w:b/>
                <w:sz w:val="18"/>
                <w:szCs w:val="18"/>
              </w:rPr>
            </w:pPr>
            <w:r>
              <w:rPr>
                <w:rFonts w:hint="eastAsia"/>
                <w:b/>
                <w:sz w:val="18"/>
                <w:szCs w:val="18"/>
              </w:rPr>
              <w:t>3</w:t>
            </w:r>
          </w:p>
        </w:tc>
        <w:tc>
          <w:tcPr>
            <w:tcW w:w="901" w:type="dxa"/>
            <w:vMerge w:val="restart"/>
          </w:tcPr>
          <w:p w14:paraId="6683087B">
            <w:pPr>
              <w:jc w:val="center"/>
              <w:rPr>
                <w:sz w:val="18"/>
                <w:szCs w:val="18"/>
              </w:rPr>
            </w:pPr>
          </w:p>
          <w:p w14:paraId="4BE945A7">
            <w:pPr>
              <w:jc w:val="center"/>
              <w:rPr>
                <w:sz w:val="18"/>
                <w:szCs w:val="18"/>
              </w:rPr>
            </w:pPr>
            <w:r>
              <w:rPr>
                <w:rFonts w:hint="eastAsia"/>
                <w:sz w:val="18"/>
                <w:szCs w:val="18"/>
              </w:rPr>
              <w:t>论文</w:t>
            </w:r>
          </w:p>
          <w:p w14:paraId="4F21F1E2">
            <w:pPr>
              <w:jc w:val="center"/>
              <w:rPr>
                <w:sz w:val="18"/>
                <w:szCs w:val="18"/>
              </w:rPr>
            </w:pPr>
            <w:r>
              <w:rPr>
                <w:rFonts w:hint="eastAsia"/>
                <w:sz w:val="18"/>
                <w:szCs w:val="18"/>
              </w:rPr>
              <w:t>论证</w:t>
            </w:r>
          </w:p>
          <w:p w14:paraId="64493940">
            <w:pPr>
              <w:jc w:val="center"/>
              <w:rPr>
                <w:sz w:val="18"/>
                <w:szCs w:val="18"/>
              </w:rPr>
            </w:pPr>
            <w:r>
              <w:rPr>
                <w:rFonts w:hint="eastAsia"/>
                <w:sz w:val="18"/>
                <w:szCs w:val="18"/>
              </w:rPr>
              <w:t>（</w:t>
            </w:r>
            <w:r>
              <w:rPr>
                <w:rFonts w:hint="eastAsia"/>
                <w:b/>
                <w:sz w:val="18"/>
                <w:szCs w:val="18"/>
              </w:rPr>
              <w:t>40</w:t>
            </w:r>
            <w:r>
              <w:rPr>
                <w:rFonts w:hint="eastAsia"/>
                <w:sz w:val="18"/>
                <w:szCs w:val="18"/>
              </w:rPr>
              <w:t>分）</w:t>
            </w:r>
          </w:p>
        </w:tc>
        <w:tc>
          <w:tcPr>
            <w:tcW w:w="5767" w:type="dxa"/>
          </w:tcPr>
          <w:p w14:paraId="68263765">
            <w:pPr>
              <w:rPr>
                <w:sz w:val="18"/>
                <w:szCs w:val="18"/>
              </w:rPr>
            </w:pPr>
            <w:r>
              <w:rPr>
                <w:rFonts w:hint="eastAsia"/>
                <w:sz w:val="18"/>
                <w:szCs w:val="18"/>
              </w:rPr>
              <w:t>方法新颖，论证充分，论据确凿，逻辑性强，对问题有较深入的分析</w:t>
            </w:r>
          </w:p>
        </w:tc>
        <w:tc>
          <w:tcPr>
            <w:tcW w:w="1442" w:type="dxa"/>
          </w:tcPr>
          <w:p w14:paraId="1D281428">
            <w:pPr>
              <w:jc w:val="center"/>
              <w:rPr>
                <w:b/>
                <w:sz w:val="18"/>
                <w:szCs w:val="18"/>
              </w:rPr>
            </w:pPr>
            <w:r>
              <w:rPr>
                <w:rFonts w:hint="eastAsia"/>
                <w:b/>
                <w:sz w:val="18"/>
                <w:szCs w:val="18"/>
              </w:rPr>
              <w:t>35-40</w:t>
            </w:r>
          </w:p>
          <w:p w14:paraId="2599FCAD">
            <w:pPr>
              <w:jc w:val="center"/>
              <w:rPr>
                <w:b/>
                <w:sz w:val="18"/>
                <w:szCs w:val="18"/>
              </w:rPr>
            </w:pPr>
          </w:p>
        </w:tc>
      </w:tr>
      <w:tr w14:paraId="613B67ED">
        <w:trPr>
          <w:trHeight w:val="302" w:hRule="atLeast"/>
        </w:trPr>
        <w:tc>
          <w:tcPr>
            <w:tcW w:w="649" w:type="dxa"/>
            <w:vMerge w:val="continue"/>
          </w:tcPr>
          <w:p w14:paraId="724EFEB6">
            <w:pPr>
              <w:jc w:val="center"/>
              <w:rPr>
                <w:b/>
                <w:sz w:val="18"/>
                <w:szCs w:val="18"/>
              </w:rPr>
            </w:pPr>
          </w:p>
        </w:tc>
        <w:tc>
          <w:tcPr>
            <w:tcW w:w="901" w:type="dxa"/>
            <w:vMerge w:val="continue"/>
          </w:tcPr>
          <w:p w14:paraId="5B8E7BAF">
            <w:pPr>
              <w:jc w:val="center"/>
              <w:rPr>
                <w:sz w:val="18"/>
                <w:szCs w:val="18"/>
              </w:rPr>
            </w:pPr>
          </w:p>
        </w:tc>
        <w:tc>
          <w:tcPr>
            <w:tcW w:w="5767" w:type="dxa"/>
          </w:tcPr>
          <w:p w14:paraId="042BD440">
            <w:pPr>
              <w:rPr>
                <w:sz w:val="18"/>
                <w:szCs w:val="18"/>
              </w:rPr>
            </w:pPr>
            <w:r>
              <w:rPr>
                <w:rFonts w:hint="eastAsia"/>
                <w:sz w:val="18"/>
                <w:szCs w:val="18"/>
              </w:rPr>
              <w:t>方法得当，论证比较充分，论据可靠，逻辑性比较强，分析比较深入</w:t>
            </w:r>
          </w:p>
        </w:tc>
        <w:tc>
          <w:tcPr>
            <w:tcW w:w="1442" w:type="dxa"/>
          </w:tcPr>
          <w:p w14:paraId="207A4F67">
            <w:pPr>
              <w:jc w:val="center"/>
              <w:rPr>
                <w:b/>
                <w:sz w:val="18"/>
                <w:szCs w:val="18"/>
              </w:rPr>
            </w:pPr>
            <w:r>
              <w:rPr>
                <w:rFonts w:hint="eastAsia"/>
                <w:b/>
                <w:sz w:val="18"/>
                <w:szCs w:val="18"/>
              </w:rPr>
              <w:t>25-34</w:t>
            </w:r>
          </w:p>
          <w:p w14:paraId="0F44E615">
            <w:pPr>
              <w:jc w:val="center"/>
              <w:rPr>
                <w:b/>
                <w:sz w:val="18"/>
                <w:szCs w:val="18"/>
              </w:rPr>
            </w:pPr>
          </w:p>
        </w:tc>
      </w:tr>
      <w:tr w14:paraId="4D514B95">
        <w:trPr>
          <w:trHeight w:val="302" w:hRule="atLeast"/>
        </w:trPr>
        <w:tc>
          <w:tcPr>
            <w:tcW w:w="649" w:type="dxa"/>
            <w:vMerge w:val="continue"/>
          </w:tcPr>
          <w:p w14:paraId="3F0EE70F">
            <w:pPr>
              <w:jc w:val="center"/>
              <w:rPr>
                <w:b/>
                <w:sz w:val="18"/>
                <w:szCs w:val="18"/>
              </w:rPr>
            </w:pPr>
          </w:p>
        </w:tc>
        <w:tc>
          <w:tcPr>
            <w:tcW w:w="901" w:type="dxa"/>
            <w:vMerge w:val="continue"/>
          </w:tcPr>
          <w:p w14:paraId="39C2FCDF">
            <w:pPr>
              <w:jc w:val="center"/>
              <w:rPr>
                <w:sz w:val="18"/>
                <w:szCs w:val="18"/>
              </w:rPr>
            </w:pPr>
          </w:p>
        </w:tc>
        <w:tc>
          <w:tcPr>
            <w:tcW w:w="5767" w:type="dxa"/>
          </w:tcPr>
          <w:p w14:paraId="086BC95D">
            <w:pPr>
              <w:rPr>
                <w:sz w:val="18"/>
                <w:szCs w:val="18"/>
              </w:rPr>
            </w:pPr>
            <w:r>
              <w:rPr>
                <w:rFonts w:hint="eastAsia"/>
                <w:sz w:val="18"/>
                <w:szCs w:val="18"/>
              </w:rPr>
              <w:t>对事物有一定的分析能力和概括能力，能运用所学理论和知识阐述问题</w:t>
            </w:r>
          </w:p>
        </w:tc>
        <w:tc>
          <w:tcPr>
            <w:tcW w:w="1442" w:type="dxa"/>
          </w:tcPr>
          <w:p w14:paraId="2A1899CD">
            <w:pPr>
              <w:jc w:val="center"/>
              <w:rPr>
                <w:b/>
                <w:sz w:val="18"/>
                <w:szCs w:val="18"/>
              </w:rPr>
            </w:pPr>
            <w:r>
              <w:rPr>
                <w:rFonts w:hint="eastAsia"/>
                <w:b/>
                <w:sz w:val="18"/>
                <w:szCs w:val="18"/>
              </w:rPr>
              <w:t>13-24</w:t>
            </w:r>
          </w:p>
          <w:p w14:paraId="0CD11CFA">
            <w:pPr>
              <w:jc w:val="center"/>
              <w:rPr>
                <w:b/>
                <w:sz w:val="18"/>
                <w:szCs w:val="18"/>
              </w:rPr>
            </w:pPr>
          </w:p>
        </w:tc>
      </w:tr>
      <w:tr w14:paraId="73C6DF94">
        <w:trPr>
          <w:trHeight w:val="302" w:hRule="atLeast"/>
        </w:trPr>
        <w:tc>
          <w:tcPr>
            <w:tcW w:w="649" w:type="dxa"/>
            <w:vMerge w:val="continue"/>
          </w:tcPr>
          <w:p w14:paraId="42CD65C6">
            <w:pPr>
              <w:jc w:val="center"/>
              <w:rPr>
                <w:b/>
                <w:sz w:val="18"/>
                <w:szCs w:val="18"/>
              </w:rPr>
            </w:pPr>
          </w:p>
        </w:tc>
        <w:tc>
          <w:tcPr>
            <w:tcW w:w="901" w:type="dxa"/>
            <w:vMerge w:val="continue"/>
          </w:tcPr>
          <w:p w14:paraId="5CC6442E">
            <w:pPr>
              <w:jc w:val="center"/>
              <w:rPr>
                <w:sz w:val="18"/>
                <w:szCs w:val="18"/>
              </w:rPr>
            </w:pPr>
          </w:p>
        </w:tc>
        <w:tc>
          <w:tcPr>
            <w:tcW w:w="5767" w:type="dxa"/>
          </w:tcPr>
          <w:p w14:paraId="3D327E17">
            <w:pPr>
              <w:rPr>
                <w:sz w:val="18"/>
                <w:szCs w:val="18"/>
              </w:rPr>
            </w:pPr>
            <w:r>
              <w:rPr>
                <w:rFonts w:hint="eastAsia"/>
                <w:sz w:val="18"/>
                <w:szCs w:val="18"/>
              </w:rPr>
              <w:t>论证未充分说明论点</w:t>
            </w:r>
          </w:p>
        </w:tc>
        <w:tc>
          <w:tcPr>
            <w:tcW w:w="1442" w:type="dxa"/>
          </w:tcPr>
          <w:p w14:paraId="551C08FA">
            <w:pPr>
              <w:jc w:val="center"/>
              <w:rPr>
                <w:b/>
                <w:sz w:val="18"/>
                <w:szCs w:val="18"/>
              </w:rPr>
            </w:pPr>
            <w:r>
              <w:rPr>
                <w:rFonts w:hint="eastAsia"/>
                <w:b/>
                <w:sz w:val="18"/>
                <w:szCs w:val="18"/>
              </w:rPr>
              <w:t>1-12</w:t>
            </w:r>
          </w:p>
          <w:p w14:paraId="2F9149BF">
            <w:pPr>
              <w:jc w:val="center"/>
              <w:rPr>
                <w:b/>
                <w:sz w:val="18"/>
                <w:szCs w:val="18"/>
              </w:rPr>
            </w:pPr>
          </w:p>
        </w:tc>
      </w:tr>
      <w:tr w14:paraId="601EE57A">
        <w:trPr>
          <w:trHeight w:val="293" w:hRule="atLeast"/>
        </w:trPr>
        <w:tc>
          <w:tcPr>
            <w:tcW w:w="649" w:type="dxa"/>
            <w:vMerge w:val="restart"/>
          </w:tcPr>
          <w:p w14:paraId="2F7C1DA3">
            <w:pPr>
              <w:jc w:val="center"/>
              <w:rPr>
                <w:b/>
                <w:sz w:val="18"/>
                <w:szCs w:val="18"/>
              </w:rPr>
            </w:pPr>
          </w:p>
          <w:p w14:paraId="4789CD35">
            <w:pPr>
              <w:jc w:val="center"/>
              <w:rPr>
                <w:b/>
                <w:sz w:val="18"/>
                <w:szCs w:val="18"/>
              </w:rPr>
            </w:pPr>
            <w:r>
              <w:rPr>
                <w:rFonts w:hint="eastAsia"/>
                <w:b/>
                <w:sz w:val="18"/>
                <w:szCs w:val="18"/>
              </w:rPr>
              <w:t>4</w:t>
            </w:r>
          </w:p>
        </w:tc>
        <w:tc>
          <w:tcPr>
            <w:tcW w:w="901" w:type="dxa"/>
            <w:vMerge w:val="restart"/>
          </w:tcPr>
          <w:p w14:paraId="0C923FAD">
            <w:pPr>
              <w:jc w:val="center"/>
              <w:rPr>
                <w:sz w:val="18"/>
                <w:szCs w:val="18"/>
              </w:rPr>
            </w:pPr>
            <w:r>
              <w:rPr>
                <w:rFonts w:hint="eastAsia"/>
                <w:sz w:val="18"/>
                <w:szCs w:val="18"/>
              </w:rPr>
              <w:t>论文</w:t>
            </w:r>
          </w:p>
          <w:p w14:paraId="61A18605">
            <w:pPr>
              <w:jc w:val="center"/>
              <w:rPr>
                <w:sz w:val="18"/>
                <w:szCs w:val="18"/>
              </w:rPr>
            </w:pPr>
            <w:r>
              <w:rPr>
                <w:rFonts w:hint="eastAsia"/>
                <w:sz w:val="18"/>
                <w:szCs w:val="18"/>
              </w:rPr>
              <w:t>规范性</w:t>
            </w:r>
          </w:p>
          <w:p w14:paraId="0C9F542C">
            <w:pPr>
              <w:jc w:val="center"/>
              <w:rPr>
                <w:sz w:val="18"/>
                <w:szCs w:val="18"/>
              </w:rPr>
            </w:pPr>
            <w:r>
              <w:rPr>
                <w:rFonts w:hint="eastAsia"/>
                <w:sz w:val="18"/>
                <w:szCs w:val="18"/>
              </w:rPr>
              <w:t>（</w:t>
            </w:r>
            <w:r>
              <w:rPr>
                <w:rFonts w:hint="eastAsia"/>
                <w:b/>
                <w:sz w:val="18"/>
                <w:szCs w:val="18"/>
              </w:rPr>
              <w:t>10</w:t>
            </w:r>
            <w:r>
              <w:rPr>
                <w:rFonts w:hint="eastAsia"/>
                <w:sz w:val="18"/>
                <w:szCs w:val="18"/>
              </w:rPr>
              <w:t>分）</w:t>
            </w:r>
          </w:p>
        </w:tc>
        <w:tc>
          <w:tcPr>
            <w:tcW w:w="5767" w:type="dxa"/>
          </w:tcPr>
          <w:p w14:paraId="576CD41B">
            <w:pPr>
              <w:rPr>
                <w:sz w:val="18"/>
                <w:szCs w:val="18"/>
              </w:rPr>
            </w:pPr>
            <w:r>
              <w:rPr>
                <w:rFonts w:hint="eastAsia"/>
                <w:sz w:val="18"/>
                <w:szCs w:val="18"/>
              </w:rPr>
              <w:t>论文的注释体例和参考文献规范、内容摘要和关键词，符合规范性</w:t>
            </w:r>
          </w:p>
        </w:tc>
        <w:tc>
          <w:tcPr>
            <w:tcW w:w="1442" w:type="dxa"/>
          </w:tcPr>
          <w:p w14:paraId="0511EB86">
            <w:pPr>
              <w:jc w:val="center"/>
              <w:rPr>
                <w:b/>
                <w:sz w:val="18"/>
                <w:szCs w:val="18"/>
              </w:rPr>
            </w:pPr>
            <w:r>
              <w:rPr>
                <w:rFonts w:hint="eastAsia"/>
                <w:b/>
                <w:sz w:val="18"/>
                <w:szCs w:val="18"/>
              </w:rPr>
              <w:t>6-10</w:t>
            </w:r>
          </w:p>
          <w:p w14:paraId="1B8533BF">
            <w:pPr>
              <w:jc w:val="center"/>
              <w:rPr>
                <w:b/>
                <w:sz w:val="18"/>
                <w:szCs w:val="18"/>
              </w:rPr>
            </w:pPr>
          </w:p>
        </w:tc>
      </w:tr>
      <w:tr w14:paraId="713B36C4">
        <w:trPr>
          <w:trHeight w:val="605" w:hRule="atLeast"/>
        </w:trPr>
        <w:tc>
          <w:tcPr>
            <w:tcW w:w="649" w:type="dxa"/>
            <w:vMerge w:val="continue"/>
          </w:tcPr>
          <w:p w14:paraId="1C5650EA">
            <w:pPr>
              <w:jc w:val="center"/>
              <w:rPr>
                <w:b/>
                <w:sz w:val="18"/>
                <w:szCs w:val="18"/>
              </w:rPr>
            </w:pPr>
          </w:p>
        </w:tc>
        <w:tc>
          <w:tcPr>
            <w:tcW w:w="901" w:type="dxa"/>
            <w:vMerge w:val="continue"/>
          </w:tcPr>
          <w:p w14:paraId="366AE172">
            <w:pPr>
              <w:jc w:val="center"/>
              <w:rPr>
                <w:sz w:val="18"/>
                <w:szCs w:val="18"/>
              </w:rPr>
            </w:pPr>
          </w:p>
        </w:tc>
        <w:tc>
          <w:tcPr>
            <w:tcW w:w="5767" w:type="dxa"/>
          </w:tcPr>
          <w:p w14:paraId="3D57B459">
            <w:pPr>
              <w:rPr>
                <w:sz w:val="18"/>
                <w:szCs w:val="18"/>
              </w:rPr>
            </w:pPr>
            <w:r>
              <w:rPr>
                <w:rFonts w:hint="eastAsia"/>
                <w:sz w:val="18"/>
                <w:szCs w:val="18"/>
              </w:rPr>
              <w:t>论文的注释体例和参考文献基本符合规范、内容摘要和关键词，基本符合规范性</w:t>
            </w:r>
          </w:p>
        </w:tc>
        <w:tc>
          <w:tcPr>
            <w:tcW w:w="1442" w:type="dxa"/>
          </w:tcPr>
          <w:p w14:paraId="68AE7D51">
            <w:pPr>
              <w:jc w:val="center"/>
              <w:rPr>
                <w:b/>
                <w:sz w:val="18"/>
                <w:szCs w:val="18"/>
              </w:rPr>
            </w:pPr>
            <w:r>
              <w:rPr>
                <w:rFonts w:hint="eastAsia"/>
                <w:b/>
                <w:sz w:val="18"/>
                <w:szCs w:val="18"/>
              </w:rPr>
              <w:t>1-5</w:t>
            </w:r>
          </w:p>
          <w:p w14:paraId="090A751B">
            <w:pPr>
              <w:jc w:val="center"/>
              <w:rPr>
                <w:b/>
                <w:sz w:val="18"/>
                <w:szCs w:val="18"/>
              </w:rPr>
            </w:pPr>
          </w:p>
        </w:tc>
      </w:tr>
      <w:tr w14:paraId="4DC27411">
        <w:trPr>
          <w:trHeight w:val="337" w:hRule="atLeast"/>
        </w:trPr>
        <w:tc>
          <w:tcPr>
            <w:tcW w:w="649" w:type="dxa"/>
            <w:vMerge w:val="restart"/>
          </w:tcPr>
          <w:p w14:paraId="07B0F29F">
            <w:pPr>
              <w:jc w:val="center"/>
              <w:rPr>
                <w:b/>
                <w:sz w:val="18"/>
                <w:szCs w:val="18"/>
              </w:rPr>
            </w:pPr>
          </w:p>
          <w:p w14:paraId="2A586327">
            <w:pPr>
              <w:jc w:val="center"/>
              <w:rPr>
                <w:b/>
                <w:sz w:val="18"/>
                <w:szCs w:val="18"/>
              </w:rPr>
            </w:pPr>
            <w:r>
              <w:rPr>
                <w:rFonts w:hint="eastAsia"/>
                <w:b/>
                <w:sz w:val="18"/>
                <w:szCs w:val="18"/>
              </w:rPr>
              <w:t>5</w:t>
            </w:r>
          </w:p>
        </w:tc>
        <w:tc>
          <w:tcPr>
            <w:tcW w:w="901" w:type="dxa"/>
            <w:vMerge w:val="restart"/>
          </w:tcPr>
          <w:p w14:paraId="1BE09B26">
            <w:pPr>
              <w:jc w:val="center"/>
              <w:rPr>
                <w:sz w:val="18"/>
                <w:szCs w:val="18"/>
              </w:rPr>
            </w:pPr>
            <w:r>
              <w:rPr>
                <w:rFonts w:hint="eastAsia"/>
                <w:sz w:val="18"/>
                <w:szCs w:val="18"/>
              </w:rPr>
              <w:t>资料引用与调查实证（</w:t>
            </w:r>
            <w:r>
              <w:rPr>
                <w:rFonts w:hint="eastAsia"/>
                <w:b/>
                <w:sz w:val="18"/>
                <w:szCs w:val="18"/>
              </w:rPr>
              <w:t>10</w:t>
            </w:r>
            <w:r>
              <w:rPr>
                <w:rFonts w:hint="eastAsia"/>
                <w:sz w:val="18"/>
                <w:szCs w:val="18"/>
              </w:rPr>
              <w:t>分）</w:t>
            </w:r>
          </w:p>
        </w:tc>
        <w:tc>
          <w:tcPr>
            <w:tcW w:w="5767" w:type="dxa"/>
          </w:tcPr>
          <w:p w14:paraId="12ACBB54">
            <w:pPr>
              <w:rPr>
                <w:sz w:val="18"/>
                <w:szCs w:val="18"/>
              </w:rPr>
            </w:pPr>
            <w:r>
              <w:rPr>
                <w:rFonts w:hint="eastAsia"/>
                <w:sz w:val="18"/>
                <w:szCs w:val="18"/>
              </w:rPr>
              <w:t>参考文献具有相关性、准确性和一定的专业性、权威性，或有较充分的实证调查研究</w:t>
            </w:r>
          </w:p>
        </w:tc>
        <w:tc>
          <w:tcPr>
            <w:tcW w:w="1442" w:type="dxa"/>
          </w:tcPr>
          <w:p w14:paraId="079B33AD">
            <w:pPr>
              <w:jc w:val="center"/>
              <w:rPr>
                <w:b/>
                <w:sz w:val="18"/>
                <w:szCs w:val="18"/>
              </w:rPr>
            </w:pPr>
            <w:r>
              <w:rPr>
                <w:rFonts w:hint="eastAsia"/>
                <w:b/>
                <w:sz w:val="18"/>
                <w:szCs w:val="18"/>
              </w:rPr>
              <w:t>7-10</w:t>
            </w:r>
          </w:p>
          <w:p w14:paraId="681A2320">
            <w:pPr>
              <w:jc w:val="center"/>
              <w:rPr>
                <w:b/>
                <w:sz w:val="18"/>
                <w:szCs w:val="18"/>
              </w:rPr>
            </w:pPr>
          </w:p>
        </w:tc>
      </w:tr>
      <w:tr w14:paraId="7F4A3084">
        <w:trPr>
          <w:trHeight w:val="538" w:hRule="atLeast"/>
        </w:trPr>
        <w:tc>
          <w:tcPr>
            <w:tcW w:w="649" w:type="dxa"/>
            <w:vMerge w:val="continue"/>
          </w:tcPr>
          <w:p w14:paraId="37EB8A2A">
            <w:pPr>
              <w:jc w:val="center"/>
              <w:rPr>
                <w:b/>
                <w:sz w:val="18"/>
                <w:szCs w:val="18"/>
              </w:rPr>
            </w:pPr>
          </w:p>
        </w:tc>
        <w:tc>
          <w:tcPr>
            <w:tcW w:w="901" w:type="dxa"/>
            <w:vMerge w:val="continue"/>
          </w:tcPr>
          <w:p w14:paraId="62204CDD">
            <w:pPr>
              <w:jc w:val="center"/>
              <w:rPr>
                <w:sz w:val="18"/>
                <w:szCs w:val="18"/>
              </w:rPr>
            </w:pPr>
          </w:p>
        </w:tc>
        <w:tc>
          <w:tcPr>
            <w:tcW w:w="5767" w:type="dxa"/>
          </w:tcPr>
          <w:p w14:paraId="0C31B1CD">
            <w:pPr>
              <w:rPr>
                <w:sz w:val="18"/>
                <w:szCs w:val="18"/>
              </w:rPr>
            </w:pPr>
            <w:r>
              <w:rPr>
                <w:rFonts w:hint="eastAsia"/>
                <w:sz w:val="18"/>
                <w:szCs w:val="18"/>
              </w:rPr>
              <w:t>参考文献相关性、准确性、专业性较不足</w:t>
            </w:r>
          </w:p>
        </w:tc>
        <w:tc>
          <w:tcPr>
            <w:tcW w:w="1442" w:type="dxa"/>
          </w:tcPr>
          <w:p w14:paraId="697EAE15">
            <w:pPr>
              <w:jc w:val="center"/>
              <w:rPr>
                <w:b/>
                <w:sz w:val="18"/>
                <w:szCs w:val="18"/>
              </w:rPr>
            </w:pPr>
            <w:r>
              <w:rPr>
                <w:rFonts w:hint="eastAsia"/>
                <w:b/>
                <w:sz w:val="18"/>
                <w:szCs w:val="18"/>
              </w:rPr>
              <w:t>1-6</w:t>
            </w:r>
          </w:p>
          <w:p w14:paraId="3BE946B4">
            <w:pPr>
              <w:jc w:val="center"/>
              <w:rPr>
                <w:b/>
                <w:sz w:val="18"/>
                <w:szCs w:val="18"/>
              </w:rPr>
            </w:pPr>
          </w:p>
        </w:tc>
      </w:tr>
      <w:tr w14:paraId="3ABF845C">
        <w:trPr>
          <w:trHeight w:val="293" w:hRule="atLeast"/>
        </w:trPr>
        <w:tc>
          <w:tcPr>
            <w:tcW w:w="649" w:type="dxa"/>
            <w:vMerge w:val="restart"/>
          </w:tcPr>
          <w:p w14:paraId="5C3442F2">
            <w:pPr>
              <w:jc w:val="center"/>
              <w:rPr>
                <w:b/>
                <w:sz w:val="18"/>
                <w:szCs w:val="18"/>
              </w:rPr>
            </w:pPr>
          </w:p>
          <w:p w14:paraId="5BF915A7">
            <w:pPr>
              <w:jc w:val="center"/>
              <w:rPr>
                <w:b/>
                <w:sz w:val="18"/>
                <w:szCs w:val="18"/>
              </w:rPr>
            </w:pPr>
            <w:r>
              <w:rPr>
                <w:rFonts w:hint="eastAsia"/>
                <w:b/>
                <w:sz w:val="18"/>
                <w:szCs w:val="18"/>
              </w:rPr>
              <w:t>6</w:t>
            </w:r>
          </w:p>
        </w:tc>
        <w:tc>
          <w:tcPr>
            <w:tcW w:w="901" w:type="dxa"/>
            <w:vMerge w:val="restart"/>
          </w:tcPr>
          <w:p w14:paraId="7DC09C67">
            <w:pPr>
              <w:jc w:val="center"/>
              <w:rPr>
                <w:sz w:val="18"/>
                <w:szCs w:val="18"/>
              </w:rPr>
            </w:pPr>
            <w:r>
              <w:rPr>
                <w:rFonts w:hint="eastAsia"/>
                <w:sz w:val="18"/>
                <w:szCs w:val="18"/>
              </w:rPr>
              <w:t>布局结构与文字表达</w:t>
            </w:r>
          </w:p>
          <w:p w14:paraId="613D1B78">
            <w:pPr>
              <w:jc w:val="center"/>
              <w:rPr>
                <w:sz w:val="18"/>
                <w:szCs w:val="18"/>
              </w:rPr>
            </w:pPr>
            <w:r>
              <w:rPr>
                <w:rFonts w:hint="eastAsia"/>
                <w:sz w:val="18"/>
                <w:szCs w:val="18"/>
              </w:rPr>
              <w:t>（</w:t>
            </w:r>
            <w:r>
              <w:rPr>
                <w:rFonts w:hint="eastAsia"/>
                <w:b/>
                <w:sz w:val="18"/>
                <w:szCs w:val="18"/>
              </w:rPr>
              <w:t>15</w:t>
            </w:r>
            <w:r>
              <w:rPr>
                <w:rFonts w:hint="eastAsia"/>
                <w:sz w:val="18"/>
                <w:szCs w:val="18"/>
              </w:rPr>
              <w:t>分）</w:t>
            </w:r>
          </w:p>
        </w:tc>
        <w:tc>
          <w:tcPr>
            <w:tcW w:w="5767" w:type="dxa"/>
          </w:tcPr>
          <w:p w14:paraId="0053B4C5">
            <w:pPr>
              <w:rPr>
                <w:sz w:val="18"/>
                <w:szCs w:val="18"/>
              </w:rPr>
            </w:pPr>
            <w:r>
              <w:rPr>
                <w:rFonts w:hint="eastAsia"/>
                <w:sz w:val="18"/>
                <w:szCs w:val="18"/>
              </w:rPr>
              <w:t>结构严谨，层次分明，论述清晰，语言流畅，表达准确</w:t>
            </w:r>
          </w:p>
        </w:tc>
        <w:tc>
          <w:tcPr>
            <w:tcW w:w="1442" w:type="dxa"/>
          </w:tcPr>
          <w:p w14:paraId="264AABCE">
            <w:pPr>
              <w:jc w:val="center"/>
              <w:rPr>
                <w:b/>
                <w:sz w:val="18"/>
                <w:szCs w:val="18"/>
              </w:rPr>
            </w:pPr>
            <w:r>
              <w:rPr>
                <w:rFonts w:hint="eastAsia"/>
                <w:b/>
                <w:sz w:val="18"/>
                <w:szCs w:val="18"/>
              </w:rPr>
              <w:t>12-15</w:t>
            </w:r>
          </w:p>
          <w:p w14:paraId="19ADC732">
            <w:pPr>
              <w:jc w:val="center"/>
              <w:rPr>
                <w:b/>
                <w:sz w:val="18"/>
                <w:szCs w:val="18"/>
              </w:rPr>
            </w:pPr>
          </w:p>
        </w:tc>
      </w:tr>
      <w:tr w14:paraId="7458C42B">
        <w:trPr>
          <w:trHeight w:val="302" w:hRule="atLeast"/>
        </w:trPr>
        <w:tc>
          <w:tcPr>
            <w:tcW w:w="649" w:type="dxa"/>
            <w:vMerge w:val="continue"/>
          </w:tcPr>
          <w:p w14:paraId="604583EE">
            <w:pPr>
              <w:jc w:val="center"/>
              <w:rPr>
                <w:sz w:val="18"/>
                <w:szCs w:val="18"/>
              </w:rPr>
            </w:pPr>
          </w:p>
        </w:tc>
        <w:tc>
          <w:tcPr>
            <w:tcW w:w="901" w:type="dxa"/>
            <w:vMerge w:val="continue"/>
          </w:tcPr>
          <w:p w14:paraId="65E31860">
            <w:pPr>
              <w:jc w:val="center"/>
              <w:rPr>
                <w:sz w:val="18"/>
                <w:szCs w:val="18"/>
              </w:rPr>
            </w:pPr>
          </w:p>
        </w:tc>
        <w:tc>
          <w:tcPr>
            <w:tcW w:w="5767" w:type="dxa"/>
          </w:tcPr>
          <w:p w14:paraId="542B0FB0">
            <w:pPr>
              <w:rPr>
                <w:sz w:val="18"/>
                <w:szCs w:val="18"/>
              </w:rPr>
            </w:pPr>
            <w:r>
              <w:rPr>
                <w:rFonts w:hint="eastAsia"/>
                <w:sz w:val="18"/>
                <w:szCs w:val="18"/>
              </w:rPr>
              <w:t>结构合理，符合逻辑，语言通顺，语言表达符合基本文法</w:t>
            </w:r>
          </w:p>
        </w:tc>
        <w:tc>
          <w:tcPr>
            <w:tcW w:w="1442" w:type="dxa"/>
          </w:tcPr>
          <w:p w14:paraId="1305B399">
            <w:pPr>
              <w:jc w:val="center"/>
              <w:rPr>
                <w:b/>
                <w:sz w:val="18"/>
                <w:szCs w:val="18"/>
              </w:rPr>
            </w:pPr>
            <w:r>
              <w:rPr>
                <w:rFonts w:hint="eastAsia"/>
                <w:b/>
                <w:sz w:val="18"/>
                <w:szCs w:val="18"/>
              </w:rPr>
              <w:t>6-11</w:t>
            </w:r>
          </w:p>
          <w:p w14:paraId="5CC7B432">
            <w:pPr>
              <w:jc w:val="center"/>
              <w:rPr>
                <w:b/>
                <w:sz w:val="18"/>
                <w:szCs w:val="18"/>
              </w:rPr>
            </w:pPr>
          </w:p>
        </w:tc>
      </w:tr>
      <w:tr w14:paraId="1E1D4AAE">
        <w:trPr>
          <w:trHeight w:val="504" w:hRule="atLeast"/>
        </w:trPr>
        <w:tc>
          <w:tcPr>
            <w:tcW w:w="649" w:type="dxa"/>
            <w:vMerge w:val="continue"/>
          </w:tcPr>
          <w:p w14:paraId="0C6A95F1">
            <w:pPr>
              <w:jc w:val="center"/>
              <w:rPr>
                <w:sz w:val="18"/>
                <w:szCs w:val="18"/>
              </w:rPr>
            </w:pPr>
          </w:p>
        </w:tc>
        <w:tc>
          <w:tcPr>
            <w:tcW w:w="901" w:type="dxa"/>
            <w:vMerge w:val="continue"/>
          </w:tcPr>
          <w:p w14:paraId="7006FCD0">
            <w:pPr>
              <w:jc w:val="center"/>
              <w:rPr>
                <w:sz w:val="18"/>
                <w:szCs w:val="18"/>
              </w:rPr>
            </w:pPr>
          </w:p>
        </w:tc>
        <w:tc>
          <w:tcPr>
            <w:tcW w:w="5767" w:type="dxa"/>
          </w:tcPr>
          <w:p w14:paraId="571DB597">
            <w:pPr>
              <w:rPr>
                <w:sz w:val="18"/>
                <w:szCs w:val="18"/>
              </w:rPr>
            </w:pPr>
            <w:r>
              <w:rPr>
                <w:rFonts w:hint="eastAsia"/>
                <w:sz w:val="18"/>
                <w:szCs w:val="18"/>
              </w:rPr>
              <w:t>结构不甚合理，文字语言表达较不清</w:t>
            </w:r>
            <w:bookmarkStart w:id="0" w:name="_GoBack"/>
            <w:bookmarkEnd w:id="0"/>
          </w:p>
        </w:tc>
        <w:tc>
          <w:tcPr>
            <w:tcW w:w="1442" w:type="dxa"/>
          </w:tcPr>
          <w:p w14:paraId="29CC4FC7">
            <w:pPr>
              <w:jc w:val="center"/>
              <w:rPr>
                <w:b/>
                <w:sz w:val="18"/>
                <w:szCs w:val="18"/>
              </w:rPr>
            </w:pPr>
            <w:r>
              <w:rPr>
                <w:rFonts w:hint="eastAsia"/>
                <w:b/>
                <w:sz w:val="18"/>
                <w:szCs w:val="18"/>
              </w:rPr>
              <w:t>1-5</w:t>
            </w:r>
          </w:p>
        </w:tc>
      </w:tr>
      <w:tr w14:paraId="5BB71FE8">
        <w:trPr>
          <w:trHeight w:val="512" w:hRule="atLeast"/>
        </w:trPr>
        <w:tc>
          <w:tcPr>
            <w:tcW w:w="1550" w:type="dxa"/>
            <w:gridSpan w:val="2"/>
            <w:vAlign w:val="center"/>
          </w:tcPr>
          <w:p w14:paraId="64C6B054">
            <w:pPr>
              <w:jc w:val="center"/>
              <w:rPr>
                <w:sz w:val="18"/>
                <w:szCs w:val="18"/>
              </w:rPr>
            </w:pPr>
            <w:r>
              <w:rPr>
                <w:rFonts w:hint="eastAsia"/>
                <w:sz w:val="18"/>
                <w:szCs w:val="18"/>
              </w:rPr>
              <w:t>总分</w:t>
            </w:r>
          </w:p>
        </w:tc>
        <w:tc>
          <w:tcPr>
            <w:tcW w:w="7209" w:type="dxa"/>
            <w:gridSpan w:val="2"/>
            <w:vAlign w:val="center"/>
          </w:tcPr>
          <w:p w14:paraId="35676C6B">
            <w:pPr>
              <w:jc w:val="center"/>
              <w:rPr>
                <w:rFonts w:hint="default" w:eastAsia="宋体"/>
                <w:sz w:val="18"/>
                <w:szCs w:val="18"/>
                <w:lang w:val="en-US" w:eastAsia="zh-CN"/>
              </w:rPr>
            </w:pPr>
            <w:r>
              <w:rPr>
                <w:rFonts w:hint="eastAsia"/>
                <w:sz w:val="18"/>
                <w:szCs w:val="18"/>
                <w:lang w:val="en-US" w:eastAsia="zh-CN"/>
              </w:rPr>
              <w:t>80</w:t>
            </w:r>
          </w:p>
        </w:tc>
      </w:tr>
      <w:tr w14:paraId="3D860866">
        <w:trPr>
          <w:trHeight w:val="512" w:hRule="atLeast"/>
        </w:trPr>
        <w:tc>
          <w:tcPr>
            <w:tcW w:w="1550" w:type="dxa"/>
            <w:gridSpan w:val="2"/>
            <w:vAlign w:val="center"/>
          </w:tcPr>
          <w:p w14:paraId="1B4FFBB9">
            <w:pPr>
              <w:jc w:val="center"/>
              <w:rPr>
                <w:sz w:val="18"/>
                <w:szCs w:val="18"/>
              </w:rPr>
            </w:pPr>
            <w:r>
              <w:rPr>
                <w:rFonts w:hint="eastAsia"/>
                <w:sz w:val="18"/>
                <w:szCs w:val="18"/>
              </w:rPr>
              <w:t>审定意见</w:t>
            </w:r>
          </w:p>
        </w:tc>
        <w:tc>
          <w:tcPr>
            <w:tcW w:w="7209" w:type="dxa"/>
            <w:gridSpan w:val="2"/>
            <w:vAlign w:val="center"/>
          </w:tcPr>
          <w:p w14:paraId="6678A605">
            <w:pPr>
              <w:jc w:val="center"/>
              <w:rPr>
                <w:sz w:val="18"/>
                <w:szCs w:val="18"/>
              </w:rPr>
            </w:pPr>
            <w:r>
              <w:rPr>
                <w:rFonts w:hint="eastAsia"/>
                <w:sz w:val="18"/>
                <w:szCs w:val="18"/>
              </w:rPr>
              <w:t>返修</w:t>
            </w:r>
          </w:p>
        </w:tc>
      </w:tr>
      <w:tr w14:paraId="021FE477">
        <w:trPr>
          <w:trHeight w:val="512" w:hRule="atLeast"/>
        </w:trPr>
        <w:tc>
          <w:tcPr>
            <w:tcW w:w="1550" w:type="dxa"/>
            <w:gridSpan w:val="2"/>
            <w:vAlign w:val="center"/>
          </w:tcPr>
          <w:p w14:paraId="5B5181E4">
            <w:pPr>
              <w:jc w:val="center"/>
              <w:rPr>
                <w:sz w:val="18"/>
                <w:szCs w:val="18"/>
              </w:rPr>
            </w:pPr>
          </w:p>
          <w:p w14:paraId="13507755">
            <w:pPr>
              <w:jc w:val="center"/>
              <w:rPr>
                <w:sz w:val="18"/>
                <w:szCs w:val="18"/>
              </w:rPr>
            </w:pPr>
          </w:p>
          <w:p w14:paraId="15738E8F">
            <w:pPr>
              <w:jc w:val="center"/>
              <w:rPr>
                <w:sz w:val="18"/>
                <w:szCs w:val="18"/>
              </w:rPr>
            </w:pPr>
          </w:p>
          <w:p w14:paraId="24F3347D">
            <w:pPr>
              <w:jc w:val="center"/>
              <w:rPr>
                <w:sz w:val="18"/>
                <w:szCs w:val="18"/>
              </w:rPr>
            </w:pPr>
          </w:p>
          <w:p w14:paraId="01CBE083">
            <w:pPr>
              <w:jc w:val="center"/>
              <w:rPr>
                <w:sz w:val="18"/>
                <w:szCs w:val="18"/>
              </w:rPr>
            </w:pPr>
          </w:p>
          <w:p w14:paraId="50A855CC">
            <w:pPr>
              <w:jc w:val="center"/>
              <w:rPr>
                <w:sz w:val="18"/>
                <w:szCs w:val="18"/>
              </w:rPr>
            </w:pPr>
          </w:p>
          <w:p w14:paraId="72291768">
            <w:pPr>
              <w:jc w:val="center"/>
              <w:rPr>
                <w:sz w:val="18"/>
                <w:szCs w:val="18"/>
              </w:rPr>
            </w:pPr>
          </w:p>
          <w:p w14:paraId="54F099B5">
            <w:pPr>
              <w:jc w:val="center"/>
              <w:rPr>
                <w:sz w:val="18"/>
                <w:szCs w:val="18"/>
              </w:rPr>
            </w:pPr>
          </w:p>
          <w:p w14:paraId="59FD1130">
            <w:pPr>
              <w:jc w:val="center"/>
              <w:rPr>
                <w:sz w:val="18"/>
                <w:szCs w:val="18"/>
              </w:rPr>
            </w:pPr>
            <w:r>
              <w:rPr>
                <w:rFonts w:hint="eastAsia"/>
                <w:sz w:val="18"/>
                <w:szCs w:val="18"/>
              </w:rPr>
              <w:t>论文评价（优点、存在问题、修改建议等）</w:t>
            </w:r>
          </w:p>
        </w:tc>
        <w:tc>
          <w:tcPr>
            <w:tcW w:w="7209" w:type="dxa"/>
            <w:gridSpan w:val="2"/>
            <w:vAlign w:val="center"/>
          </w:tcPr>
          <w:p w14:paraId="5C893A00">
            <w:pPr>
              <w:jc w:val="center"/>
              <w:rPr>
                <w:sz w:val="18"/>
                <w:szCs w:val="18"/>
              </w:rPr>
            </w:pPr>
          </w:p>
          <w:p w14:paraId="1782EA7E">
            <w:pPr>
              <w:jc w:val="center"/>
              <w:rPr>
                <w:sz w:val="18"/>
                <w:szCs w:val="18"/>
              </w:rPr>
            </w:pPr>
          </w:p>
          <w:p w14:paraId="2C1A2621">
            <w:pPr>
              <w:rPr>
                <w:sz w:val="18"/>
                <w:szCs w:val="18"/>
              </w:rPr>
            </w:pPr>
            <w:r>
              <w:rPr>
                <w:rFonts w:hint="eastAsia"/>
                <w:sz w:val="18"/>
                <w:szCs w:val="18"/>
              </w:rPr>
              <w:t>本选题具有研究价值，但作者在此篇文章中的部分观点建议进行完善修改：</w:t>
            </w:r>
          </w:p>
          <w:p w14:paraId="59AF35FA">
            <w:pPr>
              <w:ind w:firstLine="360" w:firstLineChars="200"/>
              <w:rPr>
                <w:sz w:val="18"/>
                <w:szCs w:val="18"/>
              </w:rPr>
            </w:pPr>
            <w:r>
              <w:rPr>
                <w:rFonts w:hint="eastAsia"/>
                <w:sz w:val="18"/>
                <w:szCs w:val="18"/>
              </w:rPr>
              <w:t>1.作者在此篇文章中多次提及“高额的诉讼费用”，这一术语的使用在我国当前语境下并不准确，我国的《诉讼费用交纳办法》系在“让老百姓打得起官司”的背景下出台，主流观点认为我国的诉讼费用与其他国家相比，明显较低，故很多学者在当前提倡对该法进行修改并适当提高诉讼费用，从而避免我国成为诉讼大国。故建议作者修改文章中相关表述，从个案中部分个体出于经济困难、败诉风险承担等方面而可能无力提起诉讼，第三方诉讼融资为其提供了更多制度选择这一角度展开论述，更为妥当。</w:t>
            </w:r>
          </w:p>
          <w:p w14:paraId="44A88170">
            <w:pPr>
              <w:ind w:firstLine="360" w:firstLineChars="200"/>
              <w:rPr>
                <w:sz w:val="18"/>
                <w:szCs w:val="18"/>
              </w:rPr>
            </w:pPr>
            <w:r>
              <w:rPr>
                <w:rFonts w:hint="eastAsia"/>
                <w:sz w:val="18"/>
                <w:szCs w:val="18"/>
              </w:rPr>
              <w:t>2.作者在2.3中提及了投资者对当事人的“程序控制权”，还提出“诉讼权利具有可交易性”这一观点。作者这部分的论述与我国当前的法律规范以及主流观点明显存在冲突，建议进行修改调整。我国当前仅认可法定的诉讼担当，而不认可任意的诉讼担当，即认为诉权一般需要由与案件存在实体法律关系的主体行使，这不仅是为了防止当事人滥诉，亦是为了保障诉讼中当事人的自我决定与自我负责，而赋予投资者诉权或其他程序控制权，极有可能扰乱当前的诉讼构造与诉讼秩序，所以很多法院将投资者参与程度过深的《诉讼融资协议》认定为无效，故作者在此篇文章的论述中，请进一步厘清 投资者的权限范围。</w:t>
            </w:r>
          </w:p>
          <w:p w14:paraId="20AA7C70">
            <w:pPr>
              <w:ind w:firstLine="360" w:firstLineChars="200"/>
              <w:rPr>
                <w:sz w:val="18"/>
                <w:szCs w:val="18"/>
              </w:rPr>
            </w:pPr>
            <w:r>
              <w:rPr>
                <w:rFonts w:hint="eastAsia"/>
                <w:sz w:val="18"/>
                <w:szCs w:val="18"/>
              </w:rPr>
              <w:t>3.</w:t>
            </w:r>
            <w:r>
              <w:rPr>
                <w:sz w:val="18"/>
                <w:szCs w:val="18"/>
              </w:rPr>
              <w:t>作者</w:t>
            </w:r>
            <w:r>
              <w:rPr>
                <w:rFonts w:hint="eastAsia"/>
                <w:sz w:val="18"/>
                <w:szCs w:val="18"/>
              </w:rPr>
              <w:t>既然将文章标题表述为“本土化“，那么我国的第三方诉讼融资制度，与域外该制度，是否存在根据国情进行调试的显著差异呢，目前的论述中并未凸显这一点。</w:t>
            </w:r>
          </w:p>
          <w:p w14:paraId="3A08E402">
            <w:pPr>
              <w:rPr>
                <w:sz w:val="18"/>
                <w:szCs w:val="18"/>
              </w:rPr>
            </w:pPr>
          </w:p>
          <w:p w14:paraId="6EF21257">
            <w:pPr>
              <w:ind w:firstLine="360" w:firstLineChars="200"/>
              <w:jc w:val="left"/>
              <w:rPr>
                <w:rFonts w:hint="eastAsia"/>
                <w:sz w:val="18"/>
                <w:szCs w:val="18"/>
                <w:lang w:val="en-US" w:eastAsia="zh-CN"/>
              </w:rPr>
            </w:pPr>
            <w:r>
              <w:rPr>
                <w:rFonts w:hint="eastAsia"/>
                <w:sz w:val="18"/>
                <w:szCs w:val="18"/>
                <w:lang w:val="en-US" w:eastAsia="zh-CN"/>
              </w:rPr>
              <w:t>文章修改后各方面有了一定提升，但并未完全解决一审中存在的问题，具体如下：</w:t>
            </w:r>
          </w:p>
          <w:p w14:paraId="01FF320D">
            <w:pPr>
              <w:ind w:firstLine="360" w:firstLineChars="200"/>
              <w:jc w:val="left"/>
              <w:rPr>
                <w:rFonts w:hint="eastAsia"/>
                <w:sz w:val="18"/>
                <w:szCs w:val="18"/>
                <w:lang w:val="en-US" w:eastAsia="zh-CN"/>
              </w:rPr>
            </w:pPr>
            <w:r>
              <w:rPr>
                <w:rFonts w:hint="eastAsia"/>
                <w:sz w:val="18"/>
                <w:szCs w:val="18"/>
                <w:lang w:val="en-US" w:eastAsia="zh-CN"/>
              </w:rPr>
              <w:t>关于一审中的问题2.（</w:t>
            </w:r>
            <w:r>
              <w:rPr>
                <w:rFonts w:hint="eastAsia"/>
                <w:sz w:val="18"/>
                <w:szCs w:val="18"/>
              </w:rPr>
              <w:t>文章还需要着重说明，为什么我国要引入一个在国外运行备受争议的制度？在国外运行得有争议，在我国会运行好吗？</w:t>
            </w:r>
            <w:r>
              <w:rPr>
                <w:rFonts w:hint="eastAsia"/>
                <w:sz w:val="18"/>
                <w:szCs w:val="18"/>
                <w:lang w:eastAsia="zh-CN"/>
              </w:rPr>
              <w:t>）</w:t>
            </w:r>
            <w:r>
              <w:rPr>
                <w:rFonts w:hint="eastAsia"/>
                <w:sz w:val="18"/>
                <w:szCs w:val="18"/>
                <w:lang w:val="en-US" w:eastAsia="zh-CN"/>
              </w:rPr>
              <w:t>：首先，文章第二章在结构上存在一定问题。本章是要论证必要性和可行性，</w:t>
            </w:r>
            <w:r>
              <w:rPr>
                <w:rFonts w:hint="default"/>
                <w:sz w:val="18"/>
                <w:szCs w:val="18"/>
              </w:rPr>
              <w:t>第一节是域外争议不构成引入阻碍</w:t>
            </w:r>
            <w:r>
              <w:rPr>
                <w:rFonts w:hint="eastAsia"/>
                <w:sz w:val="18"/>
                <w:szCs w:val="18"/>
                <w:lang w:eastAsia="zh-CN"/>
              </w:rPr>
              <w:t>，</w:t>
            </w:r>
            <w:r>
              <w:rPr>
                <w:rFonts w:hint="default"/>
                <w:sz w:val="18"/>
                <w:szCs w:val="18"/>
              </w:rPr>
              <w:t>这本质上属于回应反对意见，</w:t>
            </w:r>
            <w:r>
              <w:rPr>
                <w:rFonts w:hint="eastAsia"/>
                <w:sz w:val="18"/>
                <w:szCs w:val="18"/>
                <w:lang w:val="en-US" w:eastAsia="zh-CN"/>
              </w:rPr>
              <w:t>更偏向可行性范畴，</w:t>
            </w:r>
            <w:r>
              <w:rPr>
                <w:rFonts w:hint="default"/>
                <w:sz w:val="18"/>
                <w:szCs w:val="18"/>
              </w:rPr>
              <w:t>容易</w:t>
            </w:r>
            <w:r>
              <w:rPr>
                <w:rFonts w:hint="eastAsia"/>
                <w:sz w:val="18"/>
                <w:szCs w:val="18"/>
                <w:lang w:val="en-US" w:eastAsia="zh-CN"/>
              </w:rPr>
              <w:t>使人</w:t>
            </w:r>
            <w:r>
              <w:rPr>
                <w:rFonts w:hint="default"/>
                <w:sz w:val="18"/>
                <w:szCs w:val="18"/>
              </w:rPr>
              <w:t>感到论证起点模糊</w:t>
            </w:r>
            <w:r>
              <w:rPr>
                <w:rFonts w:hint="eastAsia"/>
                <w:sz w:val="18"/>
                <w:szCs w:val="18"/>
                <w:lang w:eastAsia="zh-CN"/>
              </w:rPr>
              <w:t>，</w:t>
            </w:r>
            <w:r>
              <w:rPr>
                <w:rFonts w:hint="eastAsia"/>
                <w:sz w:val="18"/>
                <w:szCs w:val="18"/>
                <w:lang w:val="en-US" w:eastAsia="zh-CN"/>
              </w:rPr>
              <w:t>更合理的排布是先明确第三方诉讼融资制度的性质，比如融资本质上是私法行为还是民事法律行为；再论证“（二）中国存在引入第三方诉讼融资制度的现实必要”（也可将性质放在必要性中，但必须明确该制度的性质，否则论证过于松散）；最后再回应争议，论证制度可行性。其次，第二章论证上也存在一定问题。文章引用上海二中院判决（2021）沪02民终10224号作为质疑，但未对该判决进行详细分析，仅批判其推理方式，论证力度不足。论证引入第三方融资制度的必要性的时候，仅堆叠了法条而没有一个案例，同样缺乏说服力。</w:t>
            </w:r>
          </w:p>
          <w:p w14:paraId="579CBEBA">
            <w:pPr>
              <w:ind w:firstLine="360" w:firstLineChars="200"/>
              <w:jc w:val="left"/>
              <w:rPr>
                <w:rFonts w:hint="default"/>
                <w:sz w:val="18"/>
                <w:szCs w:val="18"/>
                <w:lang w:val="en-US" w:eastAsia="zh-CN"/>
              </w:rPr>
            </w:pPr>
            <w:r>
              <w:rPr>
                <w:rFonts w:hint="eastAsia"/>
                <w:sz w:val="18"/>
                <w:szCs w:val="18"/>
                <w:lang w:val="en-US" w:eastAsia="zh-CN"/>
              </w:rPr>
              <w:t>关于一审中的问题3.（</w:t>
            </w:r>
            <w:r>
              <w:rPr>
                <w:rFonts w:hint="eastAsia"/>
                <w:sz w:val="18"/>
                <w:szCs w:val="18"/>
              </w:rPr>
              <w:t>第三章立法构想较为宏观，作为立法论的文章，应当给出具体的方案并论证可行性。</w:t>
            </w:r>
            <w:r>
              <w:rPr>
                <w:rFonts w:hint="eastAsia"/>
                <w:sz w:val="18"/>
                <w:szCs w:val="18"/>
                <w:lang w:val="en-US" w:eastAsia="zh-CN"/>
              </w:rPr>
              <w:t>）：经过修改后立法构想具体了很多，但是可操作性仍然</w:t>
            </w:r>
            <w:r>
              <w:rPr>
                <w:rFonts w:hint="eastAsia"/>
                <w:sz w:val="18"/>
                <w:szCs w:val="18"/>
              </w:rPr>
              <w:t>较弱，本土化设计落地难度高</w:t>
            </w:r>
            <w:r>
              <w:rPr>
                <w:rFonts w:hint="eastAsia"/>
                <w:sz w:val="18"/>
                <w:szCs w:val="18"/>
                <w:lang w:eastAsia="zh-CN"/>
              </w:rPr>
              <w:t>，</w:t>
            </w:r>
            <w:r>
              <w:rPr>
                <w:rFonts w:hint="eastAsia"/>
                <w:sz w:val="18"/>
                <w:szCs w:val="18"/>
              </w:rPr>
              <w:t>五项措施</w:t>
            </w:r>
            <w:r>
              <w:rPr>
                <w:rFonts w:hint="eastAsia"/>
                <w:sz w:val="18"/>
                <w:szCs w:val="18"/>
                <w:lang w:val="en-US" w:eastAsia="zh-CN"/>
              </w:rPr>
              <w:t>也</w:t>
            </w:r>
            <w:r>
              <w:rPr>
                <w:rFonts w:hint="eastAsia"/>
                <w:sz w:val="18"/>
                <w:szCs w:val="18"/>
              </w:rPr>
              <w:t>缺乏层次和关联说明</w:t>
            </w:r>
            <w:r>
              <w:rPr>
                <w:rFonts w:hint="eastAsia"/>
                <w:sz w:val="18"/>
                <w:szCs w:val="18"/>
                <w:lang w:eastAsia="zh-CN"/>
              </w:rPr>
              <w:t>。</w:t>
            </w:r>
            <w:r>
              <w:rPr>
                <w:rFonts w:hint="eastAsia"/>
                <w:sz w:val="18"/>
                <w:szCs w:val="18"/>
                <w:lang w:val="en-US" w:eastAsia="zh-CN"/>
              </w:rPr>
              <w:t>受限于选题和篇幅，这是难以避免的问题，但不解决该问题文章就缺乏足够的创新性，作者可以通过</w:t>
            </w:r>
            <w:r>
              <w:rPr>
                <w:rFonts w:hint="eastAsia"/>
                <w:sz w:val="18"/>
                <w:szCs w:val="18"/>
              </w:rPr>
              <w:t>明确监管权责划分、处罚幅度、案件类型界定</w:t>
            </w:r>
            <w:r>
              <w:rPr>
                <w:rFonts w:hint="eastAsia"/>
                <w:sz w:val="18"/>
                <w:szCs w:val="18"/>
                <w:lang w:val="en-US" w:eastAsia="zh-CN"/>
              </w:rPr>
              <w:t>等</w:t>
            </w:r>
            <w:r>
              <w:rPr>
                <w:rFonts w:hint="eastAsia"/>
                <w:sz w:val="18"/>
                <w:szCs w:val="18"/>
              </w:rPr>
              <w:t>提升制度落地性。</w:t>
            </w:r>
          </w:p>
          <w:p w14:paraId="146AB968">
            <w:pPr>
              <w:rPr>
                <w:sz w:val="18"/>
                <w:szCs w:val="18"/>
              </w:rPr>
            </w:pPr>
          </w:p>
        </w:tc>
      </w:tr>
    </w:tbl>
    <w:p w14:paraId="7624B1E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9F8"/>
    <w:rsid w:val="00200166"/>
    <w:rsid w:val="003A6B6B"/>
    <w:rsid w:val="003D7FAE"/>
    <w:rsid w:val="0040627D"/>
    <w:rsid w:val="005D5BDD"/>
    <w:rsid w:val="00683FAC"/>
    <w:rsid w:val="007E6CC7"/>
    <w:rsid w:val="00BB4F5D"/>
    <w:rsid w:val="00C17DEA"/>
    <w:rsid w:val="00C2247E"/>
    <w:rsid w:val="00C749F8"/>
    <w:rsid w:val="00CF60D9"/>
    <w:rsid w:val="00DD4CD6"/>
    <w:rsid w:val="27A752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3">
    <w:name w:val="header"/>
    <w:basedOn w:val="1"/>
    <w:link w:val="6"/>
    <w:unhideWhenUsed/>
    <w:uiPriority w:val="99"/>
    <w:pP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207</Words>
  <Characters>1184</Characters>
  <Lines>9</Lines>
  <Paragraphs>2</Paragraphs>
  <TotalTime>0</TotalTime>
  <ScaleCrop>false</ScaleCrop>
  <LinksUpToDate>false</LinksUpToDate>
  <CharactersWithSpaces>1389</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2026-04-03T20:49:00Z</dcterms:created>
  <dc:creator>admin</dc:creator>
  <cp:lastModifiedBy>张芮铭</cp:lastModifiedBy>
  <dcterms:modified xsi:type="dcterms:W3CDTF">2026-05-20T11:16:27Z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4C101B52BC4AD8E88B270D6AE33E2AAF_42</vt:lpwstr>
  </property>
</Properties>
</file>