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71DB7">
      <w:pPr>
        <w:widowControl w:val="0"/>
        <w:spacing w:after="0" w:line="360" w:lineRule="auto"/>
        <w:ind w:firstLine="0"/>
        <w:jc w:val="center"/>
        <w:rPr>
          <w:rFonts w:hint="eastAsia"/>
          <w:b/>
          <w:bCs/>
          <w:sz w:val="20"/>
          <w:szCs w:val="22"/>
        </w:rPr>
      </w:pPr>
      <w:r>
        <w:rPr>
          <w:rFonts w:hint="eastAsia" w:ascii="黑体" w:hAnsi="黑体" w:eastAsia="黑体" w:cstheme="minorBidi"/>
          <w:b/>
          <w:bCs/>
          <w:kern w:val="2"/>
          <w:sz w:val="32"/>
          <w:szCs w:val="32"/>
        </w:rPr>
        <w:t>证券虚假陈述帮助行为的二阶归责与梯度责任</w:t>
      </w:r>
    </w:p>
    <w:p w14:paraId="5C0E99AE">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b/>
          <w:bCs/>
          <w:sz w:val="20"/>
          <w:szCs w:val="22"/>
        </w:rPr>
      </w:pPr>
      <w:r>
        <w:rPr>
          <w:rFonts w:hint="eastAsia" w:ascii="Times New Roman" w:hAnsi="Times New Roman" w:eastAsia="宋体"/>
          <w:b/>
          <w:bCs/>
          <w:sz w:val="20"/>
          <w:szCs w:val="22"/>
          <w:lang w:val="en-US" w:eastAsia="zh-CN"/>
        </w:rPr>
        <w:t>杨晨艺</w:t>
      </w:r>
      <w:r>
        <w:rPr>
          <w:rStyle w:val="16"/>
          <w:rFonts w:hint="eastAsia" w:ascii="Times New Roman" w:hAnsi="Times New Roman" w:eastAsia="宋体"/>
          <w:b/>
          <w:bCs/>
          <w:sz w:val="20"/>
          <w:szCs w:val="22"/>
          <w:lang w:val="en-US" w:eastAsia="zh-CN"/>
        </w:rPr>
        <w:footnoteReference w:id="0" w:customMarkFollows="1"/>
        <w:t>*</w:t>
      </w:r>
      <w:bookmarkStart w:id="0" w:name="_GoBack"/>
      <w:bookmarkEnd w:id="0"/>
    </w:p>
    <w:p w14:paraId="4DA50AFC">
      <w:pPr>
        <w:widowControl w:val="0"/>
        <w:spacing w:after="0"/>
        <w:ind w:firstLine="0"/>
        <w:rPr>
          <w:rFonts w:cstheme="minorBidi"/>
          <w:kern w:val="2"/>
          <w:sz w:val="21"/>
        </w:rPr>
      </w:pPr>
      <w:r>
        <w:rPr>
          <w:rFonts w:cstheme="minorBidi"/>
          <w:b/>
          <w:bCs/>
          <w:kern w:val="2"/>
          <w:sz w:val="21"/>
        </w:rPr>
        <w:t>摘要</w:t>
      </w:r>
      <w:r>
        <w:rPr>
          <w:rFonts w:cstheme="minorBidi"/>
          <w:bCs/>
          <w:kern w:val="2"/>
          <w:sz w:val="21"/>
        </w:rPr>
        <w:t xml:space="preserve"> </w:t>
      </w:r>
      <w:r>
        <w:rPr>
          <w:rFonts w:hint="eastAsia" w:cstheme="minorBidi"/>
          <w:bCs/>
          <w:kern w:val="2"/>
          <w:sz w:val="21"/>
        </w:rPr>
        <w:t>证券虚假陈述帮助造假者的民事责任，以《民法典》第1169条与第1172条为双轨归责基础；又因损害属纯粹经济损失、帮助造假者非信息披露义务人，须借助义务范围与近因要素对</w:t>
      </w:r>
      <w:r>
        <w:rPr>
          <w:rFonts w:hint="eastAsia" w:cstheme="minorBidi"/>
          <w:bCs/>
          <w:kern w:val="2"/>
          <w:sz w:val="21"/>
          <w:lang w:val="en-US" w:eastAsia="zh-CN"/>
        </w:rPr>
        <w:t>其</w:t>
      </w:r>
      <w:r>
        <w:rPr>
          <w:rFonts w:hint="eastAsia" w:cstheme="minorBidi"/>
          <w:bCs/>
          <w:kern w:val="2"/>
          <w:sz w:val="21"/>
        </w:rPr>
        <w:t>责任作结构性限缩。2022年</w:t>
      </w:r>
      <w:r>
        <w:rPr>
          <w:rFonts w:hint="eastAsia" w:cstheme="minorBidi"/>
          <w:bCs/>
          <w:kern w:val="2"/>
          <w:sz w:val="21"/>
          <w:lang w:val="en-US" w:eastAsia="zh-CN"/>
        </w:rPr>
        <w:t>虚假陈述</w:t>
      </w:r>
      <w:r>
        <w:rPr>
          <w:rFonts w:hint="eastAsia" w:cstheme="minorBidi"/>
          <w:bCs/>
          <w:kern w:val="2"/>
          <w:sz w:val="21"/>
        </w:rPr>
        <w:t>司法解释生效后，实践普遍判处单一比例连带责任，难以匹配帮助手法、主体类型与介入动因的多样性。应构建二阶归责模型</w:t>
      </w:r>
      <w:r>
        <w:rPr>
          <w:rFonts w:hint="eastAsia" w:cstheme="minorBidi"/>
          <w:bCs/>
          <w:kern w:val="2"/>
          <w:sz w:val="21"/>
          <w:lang w:eastAsia="zh-CN"/>
        </w:rPr>
        <w:t>，</w:t>
      </w:r>
      <w:r>
        <w:rPr>
          <w:rFonts w:hint="eastAsia" w:cstheme="minorBidi"/>
          <w:bCs/>
          <w:kern w:val="2"/>
          <w:sz w:val="21"/>
        </w:rPr>
        <w:t>将帮助造假者责任的判断过程拆解为两个相互独立而又前后衔接的审查阶段：第一阶为责任成立阶段，审查基础虚假陈述、帮助行为、主观过错与相当因果关系，回答是否进入司法解释第22条的责任射程；第二阶为责任形态配置阶段，以过错程度与原因力为主轴变量，以不当利益取得与中介机构介入</w:t>
      </w:r>
      <w:r>
        <w:rPr>
          <w:rFonts w:hint="eastAsia" w:cstheme="minorBidi"/>
          <w:bCs/>
          <w:kern w:val="2"/>
          <w:sz w:val="21"/>
          <w:lang w:val="en-US" w:eastAsia="zh-CN"/>
        </w:rPr>
        <w:t>情况</w:t>
      </w:r>
      <w:r>
        <w:rPr>
          <w:rFonts w:hint="eastAsia" w:cstheme="minorBidi"/>
          <w:bCs/>
          <w:kern w:val="2"/>
          <w:sz w:val="21"/>
        </w:rPr>
        <w:t>为修正变量，回答应承担何种责任结构。二阶归责为梯度责任的展开提供方法论通道，梯度责任则是第二阶变量组合的结构化输出</w:t>
      </w:r>
      <w:r>
        <w:rPr>
          <w:rFonts w:hint="eastAsia" w:cstheme="minorBidi"/>
          <w:bCs/>
          <w:kern w:val="2"/>
          <w:sz w:val="21"/>
          <w:lang w:eastAsia="zh-CN"/>
        </w:rPr>
        <w:t>。</w:t>
      </w:r>
      <w:r>
        <w:rPr>
          <w:rFonts w:hint="eastAsia" w:cstheme="minorBidi"/>
          <w:bCs/>
          <w:kern w:val="2"/>
          <w:sz w:val="21"/>
        </w:rPr>
        <w:t>梯度责任由四档构成：轻过失叠加低原因力且未获益者不承担责任；重大过失叠加低原因力者承担按份责任；间接故意叠加中等原因力者承担比例连带责任；直接故意叠加高原因力者承担全额连带责任。</w:t>
      </w:r>
    </w:p>
    <w:p w14:paraId="305DBA88">
      <w:pPr>
        <w:widowControl w:val="0"/>
        <w:spacing w:after="0"/>
        <w:ind w:firstLine="0"/>
        <w:rPr>
          <w:rFonts w:cstheme="minorBidi"/>
          <w:bCs/>
          <w:kern w:val="2"/>
          <w:sz w:val="21"/>
        </w:rPr>
      </w:pPr>
      <w:r>
        <w:rPr>
          <w:rFonts w:cstheme="minorBidi"/>
          <w:b/>
          <w:bCs/>
          <w:kern w:val="2"/>
          <w:sz w:val="21"/>
        </w:rPr>
        <w:t>关键词</w:t>
      </w:r>
      <w:r>
        <w:rPr>
          <w:rFonts w:cstheme="minorBidi"/>
          <w:bCs/>
          <w:kern w:val="2"/>
          <w:sz w:val="21"/>
        </w:rPr>
        <w:t xml:space="preserve"> 虚假陈述 帮助行为 二阶归责 梯度责任</w:t>
      </w:r>
    </w:p>
    <w:p w14:paraId="7524025F">
      <w:pPr>
        <w:widowControl w:val="0"/>
        <w:spacing w:after="0"/>
        <w:ind w:firstLine="0"/>
        <w:rPr>
          <w:rFonts w:hint="eastAsia" w:cstheme="minorBidi"/>
          <w:kern w:val="2"/>
          <w:sz w:val="21"/>
        </w:rPr>
      </w:pPr>
    </w:p>
    <w:p w14:paraId="4816645B">
      <w:pPr>
        <w:widowControl w:val="0"/>
        <w:spacing w:after="0"/>
        <w:ind w:firstLine="0"/>
        <w:jc w:val="center"/>
        <w:outlineLvl w:val="0"/>
        <w:rPr>
          <w:rFonts w:ascii="黑体" w:hAnsi="黑体" w:eastAsia="黑体" w:cstheme="minorBidi"/>
          <w:b/>
          <w:bCs/>
          <w:kern w:val="2"/>
          <w:sz w:val="28"/>
          <w:szCs w:val="28"/>
        </w:rPr>
      </w:pPr>
      <w:r>
        <w:rPr>
          <w:rFonts w:hint="eastAsia" w:ascii="黑体" w:hAnsi="黑体" w:eastAsia="黑体" w:cstheme="minorBidi"/>
          <w:b/>
          <w:bCs/>
          <w:kern w:val="2"/>
          <w:sz w:val="28"/>
          <w:szCs w:val="28"/>
        </w:rPr>
        <w:t>一、问题的提出</w:t>
      </w:r>
    </w:p>
    <w:p w14:paraId="1E14D83E">
      <w:pPr>
        <w:pStyle w:val="17"/>
        <w:widowControl w:val="0"/>
        <w:spacing w:after="0"/>
        <w:rPr>
          <w:sz w:val="21"/>
          <w:szCs w:val="21"/>
        </w:rPr>
      </w:pPr>
      <w:r>
        <w:rPr>
          <w:rFonts w:hint="eastAsia"/>
          <w:sz w:val="21"/>
          <w:szCs w:val="21"/>
        </w:rPr>
        <w:t>证券市场上的财务造假行为长期以来鲜有发行人单独实施之例，其往往依托第三方主体在交易链条各节点协同配合而得以系统性完成。帮助造假的主要做法往往包括签订虚假销售合同、采购合同以协助发行人虚构销售业务、虚增营业收入，出具虚假询证回函以协助发行人编造虚假银行存款数额等。</w:t>
      </w:r>
    </w:p>
    <w:p w14:paraId="20B88C8E">
      <w:pPr>
        <w:pStyle w:val="3"/>
        <w:widowControl w:val="0"/>
        <w:spacing w:after="0"/>
        <w:rPr>
          <w:sz w:val="21"/>
          <w:szCs w:val="21"/>
        </w:rPr>
      </w:pPr>
      <w:r>
        <w:rPr>
          <w:rFonts w:hint="eastAsia"/>
          <w:sz w:val="21"/>
          <w:szCs w:val="21"/>
        </w:rPr>
        <w:t>进一步追问第三方主体愿意帮助造假的原因，可大致归纳为三个层次。一方面源于内部控制存在缺陷的疏漏型成因，另一方面源于通过融资性贸易等做大收入规模的业务冲动型成因，再一方面则源于少数高管接受造假上市公司贿赂的直接受贿型成因。</w:t>
      </w:r>
      <w:r>
        <w:rPr>
          <w:rStyle w:val="16"/>
          <w:sz w:val="21"/>
          <w:szCs w:val="21"/>
        </w:rPr>
        <w:footnoteReference w:id="1"/>
      </w:r>
      <w:r>
        <w:rPr>
          <w:rFonts w:hint="eastAsia"/>
          <w:sz w:val="21"/>
          <w:szCs w:val="21"/>
        </w:rPr>
        <w:t>前两类原因属于过失或者放任型介入，第三类则属于直接受贿型故意介入。虽然客观上同为配合造假，但这三类成因背后所对应的主观状态和可归责程度存在梯度差异，这种差异为后续的责任精细化分配预设了制度空间。在民事责任认定上若对所有帮助造假主体不加区分地适用同一责任形态，势必造成主观可归责性与责任后果之间的脱节。</w:t>
      </w:r>
    </w:p>
    <w:p w14:paraId="62F4E8BE">
      <w:pPr>
        <w:pStyle w:val="3"/>
        <w:widowControl w:val="0"/>
        <w:spacing w:after="0"/>
        <w:rPr>
          <w:sz w:val="21"/>
          <w:szCs w:val="21"/>
        </w:rPr>
      </w:pPr>
      <w:r>
        <w:rPr>
          <w:rFonts w:hint="eastAsia"/>
          <w:sz w:val="21"/>
          <w:szCs w:val="21"/>
        </w:rPr>
        <w:t>进而，介入动因存在梯度，帮助造假者的主体类型同样呈现多样化。按其与发行人的关系远近，依次可分为指导发行人从事虚假陈述的财务顾问、发行人的子公司、发行人控股股东与实际控制人的关联方、与发行人具有持续交易关系的供应商与客户、为发行人提供金融服务的银行等若干类。</w:t>
      </w:r>
      <w:r>
        <w:rPr>
          <w:rStyle w:val="16"/>
          <w:sz w:val="21"/>
          <w:szCs w:val="21"/>
        </w:rPr>
        <w:footnoteReference w:id="2"/>
      </w:r>
      <w:r>
        <w:rPr>
          <w:rFonts w:hint="eastAsia"/>
          <w:sz w:val="21"/>
          <w:szCs w:val="21"/>
        </w:rPr>
        <w:t>不同类型主体在与发行人之间的法律关系、信息接近能力、对虚假陈述事实的识别可能性等方面存在结构性差异。各类主体在虚假陈述事实链条中所承担的角色不同，对证券市场信息真实性所应承担的注意义务亦不一致。这种主体类型上的多样性，与前述介入动因的梯度差异相叠加，进一步要求民事责任的认定具备相应的层次感。</w:t>
      </w:r>
    </w:p>
    <w:p w14:paraId="4AE5A401">
      <w:pPr>
        <w:pStyle w:val="3"/>
        <w:widowControl w:val="0"/>
        <w:spacing w:after="0"/>
        <w:rPr>
          <w:sz w:val="21"/>
          <w:szCs w:val="21"/>
        </w:rPr>
      </w:pPr>
      <w:r>
        <w:rPr>
          <w:rFonts w:hint="eastAsia"/>
          <w:sz w:val="21"/>
          <w:szCs w:val="21"/>
        </w:rPr>
        <w:t>事实层面的多样复杂性，与规范回应的整齐化之间存在张力。《最高人民法院关于审理证券市场虚假陈述侵权民事赔偿案件的若干规定》（法释〔2022〕2号）（以下简称“2022年司法解释”）生效以来做出判决的案例，绝大多数判令帮助造假者承担比例连带责任。在帮助手法不一、主体类型多样、介入动因存在故意至过失梯度的现实背景下，单一的比例连带责任难以匹配上述差异，由此显露的是认定方法的不够精细。这一不够精细的状态实际上是在结构层面将本属责任成立与责任形态两个独立判断的维度压缩为单一坐标，使得过错梯度与原因力差异无从在裁判结论中获得对应的位置。</w:t>
      </w:r>
    </w:p>
    <w:p w14:paraId="38B1D6A2">
      <w:pPr>
        <w:pStyle w:val="3"/>
        <w:widowControl w:val="0"/>
        <w:spacing w:after="0"/>
        <w:rPr>
          <w:sz w:val="21"/>
          <w:szCs w:val="21"/>
        </w:rPr>
      </w:pPr>
      <w:r>
        <w:rPr>
          <w:rFonts w:hint="eastAsia"/>
          <w:sz w:val="21"/>
          <w:szCs w:val="21"/>
        </w:rPr>
        <w:t>研究路径首先指向归责条款本身的层级关系。下文先在一般侵权法层面厘清帮助造假者民事责任的法理依据，再就证券虚假陈述语境下的纯粹经济损失属性与非信息披露义务人定位作针对性矫正，进而在中外司法实践与学说镜鉴的基础上提出责任成立与责任形态配置的二阶归责模型，使主观可归责性、行为原因力与责任形态相互匹配，以维持证券市场自己责任原则与投资者保护机制之间的合理平衡。</w:t>
      </w:r>
    </w:p>
    <w:p w14:paraId="148978E4">
      <w:pPr>
        <w:pStyle w:val="3"/>
        <w:widowControl w:val="0"/>
        <w:spacing w:after="0"/>
        <w:rPr>
          <w:rFonts w:hint="eastAsia"/>
          <w:sz w:val="21"/>
          <w:szCs w:val="21"/>
        </w:rPr>
      </w:pPr>
    </w:p>
    <w:p w14:paraId="1983DEC5">
      <w:pPr>
        <w:widowControl w:val="0"/>
        <w:spacing w:after="0"/>
        <w:ind w:firstLine="0"/>
        <w:jc w:val="center"/>
        <w:outlineLvl w:val="0"/>
        <w:rPr>
          <w:rFonts w:ascii="黑体" w:hAnsi="黑体" w:eastAsia="黑体" w:cstheme="minorBidi"/>
          <w:b/>
          <w:bCs/>
          <w:kern w:val="2"/>
          <w:sz w:val="28"/>
          <w:szCs w:val="28"/>
        </w:rPr>
      </w:pPr>
      <w:r>
        <w:rPr>
          <w:rFonts w:hint="eastAsia" w:ascii="黑体" w:hAnsi="黑体" w:eastAsia="黑体" w:cstheme="minorBidi"/>
          <w:b/>
          <w:bCs/>
          <w:kern w:val="2"/>
          <w:sz w:val="28"/>
          <w:szCs w:val="28"/>
        </w:rPr>
        <w:t>二、帮助造假者民事责任的法理基础</w:t>
      </w:r>
    </w:p>
    <w:p w14:paraId="7305DDD7">
      <w:pPr>
        <w:pStyle w:val="17"/>
        <w:widowControl w:val="0"/>
        <w:spacing w:after="0"/>
        <w:rPr>
          <w:sz w:val="21"/>
          <w:szCs w:val="21"/>
        </w:rPr>
      </w:pPr>
      <w:r>
        <w:rPr>
          <w:rFonts w:hint="eastAsia"/>
          <w:sz w:val="21"/>
          <w:szCs w:val="21"/>
        </w:rPr>
        <w:t>精细化认定的前提，是厘清帮助造假者所承担责任的归责基础与适用条款定位。2022年司法解释第22条在表述上明确了帮助造假者承担民事责任的事实构成，但未就其责任性质给出清晰定性</w:t>
      </w:r>
      <w:r>
        <w:rPr>
          <w:rStyle w:val="16"/>
          <w:sz w:val="21"/>
          <w:szCs w:val="21"/>
        </w:rPr>
        <w:footnoteReference w:id="3"/>
      </w:r>
      <w:r>
        <w:rPr>
          <w:rFonts w:hint="eastAsia"/>
          <w:sz w:val="21"/>
          <w:szCs w:val="21"/>
        </w:rPr>
        <w:t>。本章所讨论的法理性质，限于归责条款的选择、归责要件的构造与责任形态的正当性三个层面。</w:t>
      </w:r>
    </w:p>
    <w:p w14:paraId="3FD53B63">
      <w:pPr>
        <w:widowControl w:val="0"/>
        <w:spacing w:after="0"/>
        <w:ind w:firstLine="420" w:firstLineChars="200"/>
        <w:outlineLvl w:val="1"/>
        <w:rPr>
          <w:rFonts w:cs="宋体"/>
          <w:b/>
          <w:bCs/>
          <w:kern w:val="2"/>
          <w:sz w:val="21"/>
          <w:szCs w:val="21"/>
        </w:rPr>
      </w:pPr>
      <w:r>
        <w:rPr>
          <w:rFonts w:hint="eastAsia" w:cs="宋体"/>
          <w:b/>
          <w:bCs/>
          <w:kern w:val="2"/>
          <w:sz w:val="21"/>
          <w:szCs w:val="21"/>
        </w:rPr>
        <w:t>（一）一般侵权法上的归责框架</w:t>
      </w:r>
    </w:p>
    <w:p w14:paraId="36EA2D43">
      <w:pPr>
        <w:pStyle w:val="17"/>
        <w:widowControl w:val="0"/>
        <w:spacing w:after="0"/>
        <w:rPr>
          <w:sz w:val="21"/>
          <w:szCs w:val="21"/>
        </w:rPr>
      </w:pPr>
      <w:r>
        <w:rPr>
          <w:rFonts w:hint="eastAsia"/>
          <w:sz w:val="21"/>
          <w:szCs w:val="21"/>
        </w:rPr>
        <w:t>证券虚假陈述侵权责任在我国法上构成大陆法系欺诈侵权与英美法系虚假陈述的融合产物，这一融合性决定了帮助造假者责任的归责基础须同时容纳两套法系的教义资源。证券法中许多次要责任教义实际源于普通法侵权与契约传统</w:t>
      </w:r>
      <w:r>
        <w:rPr>
          <w:rStyle w:val="16"/>
          <w:sz w:val="21"/>
          <w:szCs w:val="21"/>
        </w:rPr>
        <w:footnoteReference w:id="4"/>
      </w:r>
      <w:r>
        <w:rPr>
          <w:rFonts w:hint="eastAsia"/>
          <w:sz w:val="21"/>
          <w:szCs w:val="21"/>
        </w:rPr>
        <w:t>，我国证券法上的虚假陈述侵权责任已逐步形成大陆法系的欺诈侵权与英美法系的虚假陈述在理论上相融合的产物</w:t>
      </w:r>
      <w:r>
        <w:rPr>
          <w:rStyle w:val="16"/>
          <w:sz w:val="21"/>
          <w:szCs w:val="21"/>
        </w:rPr>
        <w:footnoteReference w:id="5"/>
      </w:r>
      <w:r>
        <w:rPr>
          <w:rFonts w:hint="eastAsia"/>
          <w:sz w:val="21"/>
          <w:szCs w:val="21"/>
        </w:rPr>
        <w:t>，帮助造假者的证券虚假陈述侵权责任在很大程度上可以适用大陆法系侵权法的基础理论。</w:t>
      </w:r>
      <w:r>
        <w:rPr>
          <w:rStyle w:val="16"/>
          <w:sz w:val="21"/>
          <w:szCs w:val="21"/>
        </w:rPr>
        <w:footnoteReference w:id="6"/>
      </w:r>
    </w:p>
    <w:p w14:paraId="50D72B92">
      <w:pPr>
        <w:widowControl w:val="0"/>
        <w:spacing w:after="0"/>
        <w:ind w:firstLine="420" w:firstLineChars="200"/>
        <w:outlineLvl w:val="2"/>
        <w:rPr>
          <w:rFonts w:cs="宋体"/>
          <w:b/>
          <w:bCs/>
          <w:kern w:val="2"/>
          <w:sz w:val="21"/>
          <w:szCs w:val="21"/>
        </w:rPr>
      </w:pPr>
      <w:r>
        <w:rPr>
          <w:rFonts w:hint="eastAsia" w:cs="宋体"/>
          <w:b/>
          <w:bCs/>
          <w:kern w:val="2"/>
          <w:sz w:val="21"/>
          <w:szCs w:val="21"/>
        </w:rPr>
        <w:t>1、共同侵权规则的不适用</w:t>
      </w:r>
    </w:p>
    <w:p w14:paraId="69AF5DC6">
      <w:pPr>
        <w:pStyle w:val="17"/>
        <w:widowControl w:val="0"/>
        <w:spacing w:after="0"/>
        <w:rPr>
          <w:sz w:val="21"/>
          <w:szCs w:val="21"/>
        </w:rPr>
      </w:pPr>
      <w:r>
        <w:rPr>
          <w:rFonts w:hint="eastAsia"/>
          <w:sz w:val="21"/>
          <w:szCs w:val="21"/>
        </w:rPr>
        <w:t>《民法典》第1168条所规定的共同侵权，系指二人以上共同实施侵权行为造成他人损害的情形，其核心要件在于各行为人均为实行行为人。而帮助造假者在虚假陈述侵权中的行为构造与此并不契合。教唆人仅为造意者，帮助人则系提供必要条件的人，帮助造假者并不亲自对外发布虚假陈述信息，亦未直接以披露义务人身份向投资者作出意思表示，其地位与共同加害行为中的实行行为人有所不同。</w:t>
      </w:r>
      <w:r>
        <w:rPr>
          <w:rStyle w:val="16"/>
          <w:sz w:val="21"/>
          <w:szCs w:val="21"/>
        </w:rPr>
        <w:footnoteReference w:id="7"/>
      </w:r>
    </w:p>
    <w:p w14:paraId="07AD57B0">
      <w:pPr>
        <w:widowControl w:val="0"/>
        <w:spacing w:after="0"/>
        <w:ind w:firstLine="420" w:firstLineChars="200"/>
        <w:outlineLvl w:val="2"/>
        <w:rPr>
          <w:rFonts w:cs="宋体"/>
          <w:b/>
          <w:bCs/>
          <w:kern w:val="2"/>
          <w:sz w:val="21"/>
          <w:szCs w:val="21"/>
        </w:rPr>
      </w:pPr>
      <w:r>
        <w:rPr>
          <w:rFonts w:hint="eastAsia" w:cs="宋体"/>
          <w:b/>
          <w:bCs/>
          <w:kern w:val="2"/>
          <w:sz w:val="21"/>
          <w:szCs w:val="21"/>
        </w:rPr>
        <w:t>2、意思联络下的帮助、教唆侵权</w:t>
      </w:r>
    </w:p>
    <w:p w14:paraId="2009BDDA">
      <w:pPr>
        <w:pStyle w:val="17"/>
        <w:widowControl w:val="0"/>
        <w:spacing w:after="0"/>
        <w:rPr>
          <w:sz w:val="21"/>
          <w:szCs w:val="21"/>
        </w:rPr>
      </w:pPr>
      <w:r>
        <w:rPr>
          <w:rFonts w:hint="eastAsia"/>
          <w:sz w:val="21"/>
          <w:szCs w:val="21"/>
        </w:rPr>
        <w:t>意思联络下的帮助教唆侵权是1169条所适用的归责场景。《民法典》第1169条规定，教唆、帮助他人实施侵权行为的，应当与行为人承担连带责任。本条的适用以帮助人主观上具有故意以及帮助人与实行人之间就实行行为达成意思联络为前提。帮助侵权下，帮助人的故意分两个层面，一是帮助人有意识地协助实行行为的完成，二是其明确知晓实行行为欲求达成的损害结果</w:t>
      </w:r>
      <w:r>
        <w:rPr>
          <w:rStyle w:val="16"/>
          <w:sz w:val="21"/>
          <w:szCs w:val="21"/>
        </w:rPr>
        <w:footnoteReference w:id="8"/>
      </w:r>
      <w:r>
        <w:rPr>
          <w:rFonts w:hint="eastAsia"/>
          <w:sz w:val="21"/>
          <w:szCs w:val="21"/>
        </w:rPr>
        <w:t>。就帮助侵权而言，帮助行为无法独自产生损害，故因果关系只能产生于实行行为与损害结果之间。要将帮助行为并入实行行为，唯有要求帮助人与实行人就实行行为的协作分工达成意思联络，而非仅就帮助内容形成合意。</w:t>
      </w:r>
    </w:p>
    <w:p w14:paraId="30C50F8A">
      <w:pPr>
        <w:pStyle w:val="3"/>
        <w:widowControl w:val="0"/>
        <w:spacing w:after="0"/>
        <w:rPr>
          <w:sz w:val="21"/>
          <w:szCs w:val="21"/>
        </w:rPr>
      </w:pPr>
      <w:r>
        <w:rPr>
          <w:rFonts w:hint="eastAsia"/>
          <w:sz w:val="21"/>
          <w:szCs w:val="21"/>
        </w:rPr>
        <w:t>将上述教义学构造引入证券虚假陈述场景，可以得出如下结论。如帮助造假者和发行人存在关于虚假陈述的意思联络，构成共同侵权行为，则应对投资者损失承担连带责任。</w:t>
      </w:r>
      <w:r>
        <w:rPr>
          <w:rStyle w:val="16"/>
          <w:sz w:val="21"/>
          <w:szCs w:val="21"/>
        </w:rPr>
        <w:footnoteReference w:id="9"/>
      </w:r>
      <w:r>
        <w:rPr>
          <w:rFonts w:hint="eastAsia"/>
          <w:sz w:val="21"/>
          <w:szCs w:val="21"/>
        </w:rPr>
        <w:t>在此情形下，帮助造假者明知发行人意图通过虚假陈述误导投资者并由此造成损失，仍与发行人就虚构销售、过桥资金等具体造假手法形成分工合意，则其行为已经在主观上与实行人构成意志层面的合流，在客观上构成对实行行为不可或缺的支持。此时，帮助造假者所承担的并非按份独立计算的份额，其性质为与发行人就投资者全部损失共负的连带责任。该种连带责任的正当性根植于双方意思联络所形成的共同归责基础，并不止于单纯基于行为后果上的关联。意思联络的认定应以充分证据为前提，包括明示通谋、隐蔽通谋以及通过反复配合所形成的稳定行为模式等，而不可仅凭客观配合事实推定其存在。</w:t>
      </w:r>
    </w:p>
    <w:p w14:paraId="12F1F594">
      <w:pPr>
        <w:widowControl w:val="0"/>
        <w:spacing w:after="0"/>
        <w:ind w:firstLine="420" w:firstLineChars="200"/>
        <w:outlineLvl w:val="2"/>
        <w:rPr>
          <w:rFonts w:cs="宋体"/>
          <w:b/>
          <w:bCs/>
          <w:kern w:val="2"/>
          <w:sz w:val="21"/>
          <w:szCs w:val="21"/>
        </w:rPr>
      </w:pPr>
      <w:r>
        <w:rPr>
          <w:rFonts w:hint="eastAsia" w:cs="宋体"/>
          <w:b/>
          <w:bCs/>
          <w:kern w:val="2"/>
          <w:sz w:val="21"/>
          <w:szCs w:val="21"/>
        </w:rPr>
        <w:t>3、故意与过失结合下的无意思联络数人侵权</w:t>
      </w:r>
    </w:p>
    <w:p w14:paraId="6766FD70">
      <w:pPr>
        <w:pStyle w:val="17"/>
        <w:widowControl w:val="0"/>
        <w:spacing w:after="0"/>
        <w:rPr>
          <w:sz w:val="21"/>
          <w:szCs w:val="21"/>
        </w:rPr>
      </w:pPr>
      <w:r>
        <w:rPr>
          <w:rFonts w:hint="eastAsia"/>
          <w:sz w:val="21"/>
          <w:szCs w:val="21"/>
        </w:rPr>
        <w:t>实际案件中更为常见的情形是，帮助造假者主观上并未积极追求虚假陈述损害结果，而是因内部控制缺陷、做大业绩冲动或对发行人请求的过度信赖等原因，在过失或重大过失状态下提供配合，由此与发行人故意虚假陈述行为相结合，共同造成投资者损失。</w:t>
      </w:r>
    </w:p>
    <w:p w14:paraId="7515A73F">
      <w:pPr>
        <w:pStyle w:val="3"/>
        <w:widowControl w:val="0"/>
        <w:spacing w:after="0"/>
        <w:rPr>
          <w:sz w:val="21"/>
          <w:szCs w:val="21"/>
        </w:rPr>
      </w:pPr>
      <w:r>
        <w:rPr>
          <w:rFonts w:hint="eastAsia"/>
          <w:sz w:val="21"/>
          <w:szCs w:val="21"/>
        </w:rPr>
        <w:t>对此种主观故意与过失相结合的情形，《民法典》第1172条所确立的无意思联络数人侵权规则提供了恰当的法理基础，因为该条的归责重心已由意思联络转向因果原因力的比较。在帮助人与实行人缺乏意思联络的情形下，若帮助行为与损害结果构成相当性，可能触发直接或间接结合的因果关系，构成无意思联络的数人侵权</w:t>
      </w:r>
      <w:r>
        <w:rPr>
          <w:rStyle w:val="16"/>
          <w:sz w:val="21"/>
          <w:szCs w:val="21"/>
        </w:rPr>
        <w:footnoteReference w:id="10"/>
      </w:r>
      <w:r>
        <w:rPr>
          <w:rFonts w:hint="eastAsia"/>
          <w:sz w:val="21"/>
          <w:szCs w:val="21"/>
        </w:rPr>
        <w:t>，依据帮助行为造成损害的贡献，确定帮助人的责任大小。</w:t>
      </w:r>
      <w:r>
        <w:rPr>
          <w:rStyle w:val="16"/>
          <w:sz w:val="21"/>
          <w:szCs w:val="21"/>
        </w:rPr>
        <w:footnoteReference w:id="11"/>
      </w:r>
      <w:r>
        <w:rPr>
          <w:rFonts w:hint="eastAsia"/>
          <w:sz w:val="21"/>
          <w:szCs w:val="21"/>
        </w:rPr>
        <w:t>这一处理方式既维护了第1169条对意思联络的严格要求，避免将一般过失帮助一律纳入连带责任，又通过第1172条的因果原因力比较规则，使帮助人在其行为对损害所生贡献的范围内承担责任，符合自己责任原则。</w:t>
      </w:r>
    </w:p>
    <w:p w14:paraId="5ABE1BDD">
      <w:pPr>
        <w:pStyle w:val="3"/>
        <w:widowControl w:val="0"/>
        <w:spacing w:after="0"/>
        <w:rPr>
          <w:sz w:val="21"/>
          <w:szCs w:val="21"/>
        </w:rPr>
      </w:pPr>
      <w:r>
        <w:rPr>
          <w:rFonts w:hint="eastAsia"/>
          <w:sz w:val="21"/>
          <w:szCs w:val="21"/>
        </w:rPr>
        <w:t>进而，无意思联络数人侵权下因果关系的判断系经过主观化处理的相当因果关系判断。在无意思联络数人侵权的场景下，帮助侵权的归责立足于帮助行为的因果性，而非帮助人与实行人的意思联络。构成相当因果关系的关键并不止于帮助行为客观上引发损害结果，而在于后者落入帮助人的意志或认识范围。这一处理并不以帮助人的主观状态进行归责，而是将相当性的评价标准主观化，即以帮助人的预见能力替代社会一般人的认识能力，借此衡量侵权行为触发损害结果的可能性。</w:t>
      </w:r>
      <w:r>
        <w:rPr>
          <w:rStyle w:val="16"/>
          <w:sz w:val="21"/>
          <w:szCs w:val="21"/>
        </w:rPr>
        <w:footnoteReference w:id="12"/>
      </w:r>
      <w:r>
        <w:rPr>
          <w:rFonts w:hint="eastAsia"/>
          <w:sz w:val="21"/>
          <w:szCs w:val="21"/>
        </w:rPr>
        <w:t>由此，帮助造假者的预见能力成为认定其行为与损害之间是否存在相当因果关系的关键参数，并直接影响其在第1172条下应承担的责任比例。</w:t>
      </w:r>
    </w:p>
    <w:p w14:paraId="4A3FD06A">
      <w:pPr>
        <w:widowControl w:val="0"/>
        <w:spacing w:after="0"/>
        <w:ind w:firstLine="420" w:firstLineChars="200"/>
        <w:outlineLvl w:val="1"/>
        <w:rPr>
          <w:rFonts w:cs="宋体"/>
          <w:b/>
          <w:bCs/>
          <w:kern w:val="2"/>
          <w:sz w:val="21"/>
          <w:szCs w:val="21"/>
        </w:rPr>
      </w:pPr>
      <w:r>
        <w:rPr>
          <w:rFonts w:hint="eastAsia" w:cs="宋体"/>
          <w:b/>
          <w:bCs/>
          <w:kern w:val="2"/>
          <w:sz w:val="21"/>
          <w:szCs w:val="21"/>
        </w:rPr>
        <w:t>（二）证券虚假陈述场景下的责任限缩</w:t>
      </w:r>
    </w:p>
    <w:p w14:paraId="0D2B5844">
      <w:pPr>
        <w:pStyle w:val="17"/>
        <w:widowControl w:val="0"/>
        <w:spacing w:after="0"/>
        <w:rPr>
          <w:sz w:val="21"/>
          <w:szCs w:val="21"/>
        </w:rPr>
      </w:pPr>
      <w:r>
        <w:rPr>
          <w:rFonts w:hint="eastAsia"/>
          <w:sz w:val="21"/>
          <w:szCs w:val="21"/>
        </w:rPr>
        <w:t>一般侵权法的归责框架构成讨论帮助造假者责任的起点，但单纯停留于一般侵权法尚不足以充分说明证券虚假陈述领域帮助造假者责任的特殊性。证券虚假陈述民事责任作为特殊侵权责任，其涉众性与公共性使损害类型与主体角色均与一般民事侵权存在结构性差异，由此削弱了连带责任在该领域的适用基础。</w:t>
      </w:r>
    </w:p>
    <w:p w14:paraId="52E5CF71">
      <w:pPr>
        <w:widowControl w:val="0"/>
        <w:spacing w:after="0"/>
        <w:ind w:firstLine="420" w:firstLineChars="200"/>
        <w:outlineLvl w:val="2"/>
        <w:rPr>
          <w:rFonts w:cs="宋体"/>
          <w:b/>
          <w:bCs/>
          <w:kern w:val="2"/>
          <w:sz w:val="21"/>
          <w:szCs w:val="21"/>
        </w:rPr>
      </w:pPr>
      <w:r>
        <w:rPr>
          <w:rFonts w:hint="eastAsia" w:cs="宋体"/>
          <w:b/>
          <w:bCs/>
          <w:kern w:val="2"/>
          <w:sz w:val="21"/>
          <w:szCs w:val="21"/>
        </w:rPr>
        <w:t>1、纯粹经济损失与责任不成比例问题</w:t>
      </w:r>
    </w:p>
    <w:p w14:paraId="5553F85E">
      <w:pPr>
        <w:pStyle w:val="17"/>
        <w:widowControl w:val="0"/>
        <w:spacing w:after="0"/>
        <w:rPr>
          <w:sz w:val="21"/>
          <w:szCs w:val="21"/>
        </w:rPr>
      </w:pPr>
      <w:r>
        <w:rPr>
          <w:rFonts w:hint="eastAsia"/>
          <w:sz w:val="21"/>
          <w:szCs w:val="21"/>
        </w:rPr>
        <w:t>区别于一般侵权行为导致的特定人身、财产损失，虚假陈述系“言语”侵权，造成的是普通法上的“纯粹经济损失”</w:t>
      </w:r>
      <w:r>
        <w:rPr>
          <w:rStyle w:val="16"/>
          <w:sz w:val="21"/>
          <w:szCs w:val="21"/>
        </w:rPr>
        <w:footnoteReference w:id="13"/>
      </w:r>
      <w:r>
        <w:rPr>
          <w:rFonts w:hint="eastAsia"/>
          <w:sz w:val="21"/>
          <w:szCs w:val="21"/>
        </w:rPr>
        <w:t>。虚假陈述在理论上可不限范围地传播，加之虚假陈述与投资者信赖之间的因果关系可被推定，由此可主张赔偿的投资者范围近乎不受限制，单一案件的赔偿总额可能远超帮助行为的可责难性边界。若要求所有帮助造假者一律与发行人共同承担连带赔偿责任，不但破坏责任与过错之间的比例关系，亦使帮助行为人承担与其参与程度不成比例的赔偿风险。在普通侵权法所无须处理的责任不成比例问题，在证券虚假陈述场景中已成为必须正面回应的结构性问题。</w:t>
      </w:r>
      <w:r>
        <w:rPr>
          <w:rStyle w:val="16"/>
          <w:sz w:val="21"/>
          <w:szCs w:val="21"/>
        </w:rPr>
        <w:footnoteReference w:id="14"/>
      </w:r>
    </w:p>
    <w:p w14:paraId="116C1195">
      <w:pPr>
        <w:pStyle w:val="3"/>
        <w:widowControl w:val="0"/>
        <w:spacing w:after="0"/>
        <w:rPr>
          <w:sz w:val="21"/>
          <w:szCs w:val="21"/>
        </w:rPr>
      </w:pPr>
      <w:r>
        <w:rPr>
          <w:rFonts w:hint="eastAsia"/>
          <w:sz w:val="21"/>
          <w:szCs w:val="21"/>
        </w:rPr>
        <w:t>传统一般侵权中，受害人的范围及其损失相对有限、可预期。损失的性质也和人身权、财产权直接相关，故即便对侵权人苛以连带责任，使其实际担责超出过错范围，也被认为并未实质性地违反自己责任原则，是社会公平所能容忍的。然而在证券侵权场景下，这一代价已经因损害类型与主体范围的根本性变化而难以承受。</w:t>
      </w:r>
    </w:p>
    <w:p w14:paraId="79EB3606">
      <w:pPr>
        <w:pStyle w:val="3"/>
        <w:widowControl w:val="0"/>
        <w:spacing w:after="0"/>
        <w:rPr>
          <w:sz w:val="21"/>
          <w:szCs w:val="21"/>
        </w:rPr>
      </w:pPr>
      <w:r>
        <w:rPr>
          <w:rFonts w:hint="eastAsia"/>
          <w:sz w:val="21"/>
          <w:szCs w:val="21"/>
        </w:rPr>
        <w:t>由此，必须借助过失法中那些限制责任的工具，如义务、近因等，对责任边界予以校正。这就要求在帮助造假者责任的法理构造中，主动引入义务范围与近因要素，以此对责任的边界进行结构性限缩。该限缩既不否定帮助造假者的过错，也不削弱投资者保护，而是在过错与责任之间维持比例关系，从而避免帮助造假者沦为不成比例风险的最终承担者。</w:t>
      </w:r>
    </w:p>
    <w:p w14:paraId="4F848D86">
      <w:pPr>
        <w:widowControl w:val="0"/>
        <w:spacing w:after="0"/>
        <w:ind w:firstLine="420" w:firstLineChars="200"/>
        <w:outlineLvl w:val="2"/>
        <w:rPr>
          <w:rFonts w:cs="宋体"/>
          <w:b/>
          <w:bCs/>
          <w:kern w:val="2"/>
          <w:sz w:val="21"/>
          <w:szCs w:val="21"/>
        </w:rPr>
      </w:pPr>
      <w:r>
        <w:rPr>
          <w:rFonts w:hint="eastAsia" w:cs="宋体"/>
          <w:b/>
          <w:bCs/>
          <w:kern w:val="2"/>
          <w:sz w:val="21"/>
          <w:szCs w:val="21"/>
        </w:rPr>
        <w:t>2、非信息披露义务人的角色限定</w:t>
      </w:r>
    </w:p>
    <w:p w14:paraId="2B362592">
      <w:pPr>
        <w:pStyle w:val="17"/>
        <w:widowControl w:val="0"/>
        <w:spacing w:after="0"/>
        <w:rPr>
          <w:sz w:val="21"/>
          <w:szCs w:val="21"/>
        </w:rPr>
      </w:pPr>
      <w:r>
        <w:rPr>
          <w:rFonts w:hint="eastAsia"/>
          <w:sz w:val="21"/>
          <w:szCs w:val="21"/>
        </w:rPr>
        <w:t>证券侵权的特殊性除体现于损害类型，亦体现于主体角色定位。资本市场是信息市场，市场主体的业务活动和监管部门的执法无不围绕信息披露而展开，目的在于确保信息的真实、准确和完整，维护市场的有效性。从信息的来源和使用看，发行人及其内部人、控制人可谓信息的源头主体或提供者，它们有义务向投资者公开招股说明书、债券募集文件和各类年报、公告等，投资者则是上述信息的使用主体。</w:t>
      </w:r>
    </w:p>
    <w:p w14:paraId="574C2E5A">
      <w:pPr>
        <w:pStyle w:val="3"/>
        <w:widowControl w:val="0"/>
        <w:spacing w:after="0"/>
        <w:rPr>
          <w:sz w:val="21"/>
          <w:szCs w:val="21"/>
        </w:rPr>
      </w:pPr>
      <w:r>
        <w:rPr>
          <w:rFonts w:hint="eastAsia"/>
          <w:sz w:val="21"/>
          <w:szCs w:val="21"/>
        </w:rPr>
        <w:t>由此再考察帮助造假者的角色，便可发现其与信息披露义务人之间存在结构性差异。从信息的审验看，帮助造假者并非信息披露义务人，并未在公开披露的文件上签名，帮助造假者并没有义务保证发行人所披露信息的真实、准确和完整，并且投资者也缺乏对于帮助造假者行为的信赖要件。这一特征在一般侵权法的归责框架中具有重要意义。投资者对帮助造假者并不具有制度性的信赖关系，亦无从将其视为披露文件真实性的担保人。帮助造假者所承担的，至多是对其在交易关系中所提供合同、票据、资金等具体事项的真实性义务，并不延伸至对发行人整体信息披露内容的合规性保证。这种角色定位决定了，连带责任所内含的“对全部损害共负其责”的逻辑，在帮助造假者身上缺乏与信息披露义务相对应的规范基础。</w:t>
      </w:r>
    </w:p>
    <w:p w14:paraId="209B0425">
      <w:pPr>
        <w:pStyle w:val="3"/>
        <w:widowControl w:val="0"/>
        <w:spacing w:after="0"/>
        <w:rPr>
          <w:sz w:val="21"/>
          <w:szCs w:val="21"/>
        </w:rPr>
      </w:pPr>
      <w:r>
        <w:rPr>
          <w:rFonts w:hint="eastAsia"/>
          <w:sz w:val="21"/>
          <w:szCs w:val="21"/>
        </w:rPr>
        <w:t>在信息控制能力维度上，帮助造假者对其所配合制造之信息后续传播的可控性较为有限。从信息的复制、传播看，帮助造假者往往很难充分预见到投资者的范围、场景，也无从知悉他们是否依赖以及在多大程度上依赖了其帮助造假行为所制造出的信息。从这种特性出发，不应简单地将帮助造假者类比为产品生产者，进而要求它承担类似的连带责任。产品生产者能够掌握和控制有形产品的销量，产品的用途也是特定的，故而对赔偿上限是可以充分预见的。</w:t>
      </w:r>
      <w:r>
        <w:rPr>
          <w:rStyle w:val="16"/>
          <w:sz w:val="21"/>
          <w:szCs w:val="21"/>
        </w:rPr>
        <w:footnoteReference w:id="15"/>
      </w:r>
      <w:r>
        <w:rPr>
          <w:rFonts w:hint="eastAsia"/>
          <w:sz w:val="21"/>
          <w:szCs w:val="21"/>
        </w:rPr>
        <w:t>与产品生产者所掌控的有形物的封闭性相比，信息一旦进入资本市场便具有近乎无限的传播性与多用途性，帮助造假者无从预见也无从控制其下游影响。在此意义上，将帮助造假者一律置于与发行人同等的责任地位，既不符合其在信息生产链中的实际位置，也偏离了责任与控制能力相匹配的基本要求。</w:t>
      </w:r>
    </w:p>
    <w:p w14:paraId="0A95A6A0">
      <w:pPr>
        <w:pStyle w:val="3"/>
        <w:widowControl w:val="0"/>
        <w:spacing w:after="0"/>
        <w:rPr>
          <w:sz w:val="21"/>
          <w:szCs w:val="21"/>
        </w:rPr>
      </w:pPr>
      <w:r>
        <w:rPr>
          <w:rFonts w:hint="eastAsia"/>
          <w:sz w:val="21"/>
          <w:szCs w:val="21"/>
        </w:rPr>
        <w:t>纯粹经济损失属性与非信息披露义务人定位两项要素相叠，已对一般侵权法上连带责任的适用基础形成结构性限缩。在此意义上，1169条与1172条的双轨基础与限缩边界共同界定了帮助造假者责任的法理空间。前述法理推演确立了归责双轨基础与限缩边界，但理论建构能否化为可操作的认定路径，仍取决于司法实践的具体回应。下章先考察我国2022年司法解释生效后的典型案例，再梳理美国判例的扩张收紧轨迹与学说修复方案，最后提炼可资本土化转化的三个方向。</w:t>
      </w:r>
    </w:p>
    <w:p w14:paraId="7C456F30">
      <w:pPr>
        <w:pStyle w:val="3"/>
        <w:widowControl w:val="0"/>
        <w:spacing w:after="0"/>
        <w:rPr>
          <w:rFonts w:hint="eastAsia"/>
          <w:sz w:val="21"/>
          <w:szCs w:val="21"/>
        </w:rPr>
      </w:pPr>
    </w:p>
    <w:p w14:paraId="303B35B0">
      <w:pPr>
        <w:widowControl w:val="0"/>
        <w:spacing w:after="0"/>
        <w:ind w:firstLine="0"/>
        <w:jc w:val="center"/>
        <w:outlineLvl w:val="0"/>
        <w:rPr>
          <w:rFonts w:ascii="黑体" w:hAnsi="黑体" w:eastAsia="黑体" w:cstheme="minorBidi"/>
          <w:b/>
          <w:bCs/>
          <w:kern w:val="2"/>
          <w:sz w:val="28"/>
          <w:szCs w:val="28"/>
        </w:rPr>
      </w:pPr>
      <w:r>
        <w:rPr>
          <w:rFonts w:hint="eastAsia" w:ascii="黑体" w:hAnsi="黑体" w:eastAsia="黑体" w:cstheme="minorBidi"/>
          <w:b/>
          <w:bCs/>
          <w:kern w:val="2"/>
          <w:sz w:val="28"/>
          <w:szCs w:val="28"/>
        </w:rPr>
        <w:t>三、司法实践与比较法启示</w:t>
      </w:r>
    </w:p>
    <w:p w14:paraId="6A876BA4">
      <w:pPr>
        <w:widowControl w:val="0"/>
        <w:spacing w:after="0"/>
        <w:ind w:firstLine="420" w:firstLineChars="200"/>
        <w:outlineLvl w:val="1"/>
        <w:rPr>
          <w:rFonts w:cs="宋体"/>
          <w:b/>
          <w:bCs/>
          <w:kern w:val="2"/>
          <w:sz w:val="21"/>
          <w:szCs w:val="21"/>
        </w:rPr>
      </w:pPr>
      <w:r>
        <w:rPr>
          <w:rFonts w:hint="eastAsia" w:cs="宋体"/>
          <w:b/>
          <w:bCs/>
          <w:kern w:val="2"/>
          <w:sz w:val="21"/>
          <w:szCs w:val="21"/>
        </w:rPr>
        <w:t>（一）我国司法实践的两端化特征</w:t>
      </w:r>
    </w:p>
    <w:p w14:paraId="42818FD8">
      <w:pPr>
        <w:pStyle w:val="17"/>
        <w:widowControl w:val="0"/>
        <w:spacing w:after="0"/>
        <w:rPr>
          <w:rFonts w:hint="eastAsia"/>
          <w:sz w:val="21"/>
          <w:szCs w:val="21"/>
        </w:rPr>
      </w:pPr>
      <w:r>
        <w:rPr>
          <w:rFonts w:hint="eastAsia"/>
          <w:sz w:val="21"/>
          <w:szCs w:val="21"/>
        </w:rPr>
        <w:t>2022年司法解释生效后，我国帮助造假者相关案例中，法院大多对帮助造假者判处比例连带责任，具体情况列示如下表。</w:t>
      </w:r>
    </w:p>
    <w:p w14:paraId="79C25034">
      <w:pPr>
        <w:widowControl w:val="0"/>
        <w:spacing w:after="0"/>
        <w:ind w:firstLine="420" w:firstLineChars="200"/>
        <w:jc w:val="center"/>
        <w:rPr>
          <w:sz w:val="21"/>
          <w:szCs w:val="21"/>
        </w:rPr>
      </w:pPr>
      <w:r>
        <w:rPr>
          <w:rFonts w:hint="eastAsia"/>
          <w:sz w:val="21"/>
          <w:szCs w:val="21"/>
        </w:rPr>
        <w:t>表1 2022年司法解释出台后的典型案例</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
        <w:gridCol w:w="1701"/>
        <w:gridCol w:w="3969"/>
        <w:gridCol w:w="1918"/>
      </w:tblGrid>
      <w:tr w14:paraId="6E123643">
        <w:trPr>
          <w:tblHeader/>
          <w:jc w:val="center"/>
        </w:trPr>
        <w:tc>
          <w:tcPr>
            <w:tcW w:w="934" w:type="dxa"/>
            <w:vAlign w:val="center"/>
          </w:tcPr>
          <w:p w14:paraId="2E8BD088">
            <w:pPr>
              <w:widowControl w:val="0"/>
              <w:spacing w:after="0" w:line="240" w:lineRule="auto"/>
              <w:ind w:firstLine="0"/>
              <w:jc w:val="center"/>
              <w:rPr>
                <w:sz w:val="21"/>
                <w:szCs w:val="21"/>
              </w:rPr>
            </w:pPr>
            <w:r>
              <w:rPr>
                <w:rFonts w:hint="eastAsia"/>
                <w:sz w:val="21"/>
                <w:szCs w:val="21"/>
              </w:rPr>
              <w:t>案例名</w:t>
            </w:r>
          </w:p>
        </w:tc>
        <w:tc>
          <w:tcPr>
            <w:tcW w:w="1701" w:type="dxa"/>
            <w:vAlign w:val="center"/>
          </w:tcPr>
          <w:p w14:paraId="44CBABA0">
            <w:pPr>
              <w:widowControl w:val="0"/>
              <w:spacing w:after="0" w:line="240" w:lineRule="auto"/>
              <w:ind w:firstLine="0"/>
              <w:jc w:val="center"/>
              <w:rPr>
                <w:sz w:val="21"/>
                <w:szCs w:val="21"/>
              </w:rPr>
            </w:pPr>
            <w:r>
              <w:rPr>
                <w:sz w:val="21"/>
                <w:szCs w:val="21"/>
              </w:rPr>
              <w:t>帮助造假者类型</w:t>
            </w:r>
          </w:p>
        </w:tc>
        <w:tc>
          <w:tcPr>
            <w:tcW w:w="3969" w:type="dxa"/>
            <w:vAlign w:val="center"/>
          </w:tcPr>
          <w:p w14:paraId="5483F822">
            <w:pPr>
              <w:widowControl w:val="0"/>
              <w:spacing w:after="0" w:line="240" w:lineRule="auto"/>
              <w:ind w:firstLine="0"/>
              <w:jc w:val="center"/>
              <w:rPr>
                <w:sz w:val="21"/>
                <w:szCs w:val="21"/>
              </w:rPr>
            </w:pPr>
            <w:r>
              <w:rPr>
                <w:sz w:val="21"/>
                <w:szCs w:val="21"/>
              </w:rPr>
              <w:t>帮助造假的具体方式</w:t>
            </w:r>
          </w:p>
        </w:tc>
        <w:tc>
          <w:tcPr>
            <w:tcW w:w="1918" w:type="dxa"/>
            <w:vAlign w:val="center"/>
          </w:tcPr>
          <w:p w14:paraId="65D3167A">
            <w:pPr>
              <w:widowControl w:val="0"/>
              <w:spacing w:after="0" w:line="240" w:lineRule="auto"/>
              <w:ind w:firstLine="0"/>
              <w:jc w:val="center"/>
              <w:rPr>
                <w:sz w:val="21"/>
                <w:szCs w:val="21"/>
              </w:rPr>
            </w:pPr>
            <w:r>
              <w:rPr>
                <w:sz w:val="21"/>
                <w:szCs w:val="21"/>
              </w:rPr>
              <w:t>帮助造假者是否被判处承担民事责任</w:t>
            </w:r>
          </w:p>
        </w:tc>
      </w:tr>
      <w:tr w14:paraId="24C0FB6D">
        <w:trPr>
          <w:tblHeader/>
          <w:jc w:val="center"/>
        </w:trPr>
        <w:tc>
          <w:tcPr>
            <w:tcW w:w="934" w:type="dxa"/>
            <w:vAlign w:val="center"/>
          </w:tcPr>
          <w:p w14:paraId="4BB8906A">
            <w:pPr>
              <w:widowControl w:val="0"/>
              <w:spacing w:after="0" w:line="240" w:lineRule="auto"/>
              <w:ind w:firstLine="0"/>
              <w:rPr>
                <w:sz w:val="21"/>
                <w:szCs w:val="21"/>
              </w:rPr>
            </w:pPr>
            <w:r>
              <w:rPr>
                <w:rFonts w:hint="eastAsia"/>
                <w:sz w:val="21"/>
                <w:szCs w:val="21"/>
              </w:rPr>
              <w:t>赛为智能</w:t>
            </w:r>
            <w:r>
              <w:rPr>
                <w:rStyle w:val="16"/>
                <w:rFonts w:hint="eastAsia"/>
                <w:sz w:val="21"/>
                <w:szCs w:val="21"/>
              </w:rPr>
              <w:footnoteReference w:id="16"/>
            </w:r>
          </w:p>
        </w:tc>
        <w:tc>
          <w:tcPr>
            <w:tcW w:w="1701" w:type="dxa"/>
            <w:vAlign w:val="center"/>
          </w:tcPr>
          <w:p w14:paraId="028917E4">
            <w:pPr>
              <w:widowControl w:val="0"/>
              <w:spacing w:after="0" w:line="240" w:lineRule="auto"/>
              <w:ind w:firstLine="0"/>
              <w:rPr>
                <w:sz w:val="21"/>
                <w:szCs w:val="21"/>
              </w:rPr>
            </w:pPr>
            <w:r>
              <w:rPr>
                <w:sz w:val="21"/>
                <w:szCs w:val="21"/>
              </w:rPr>
              <w:t>供应商、分包方、关联方资金通道</w:t>
            </w:r>
          </w:p>
        </w:tc>
        <w:tc>
          <w:tcPr>
            <w:tcW w:w="3969" w:type="dxa"/>
            <w:vAlign w:val="center"/>
          </w:tcPr>
          <w:p w14:paraId="60663016">
            <w:pPr>
              <w:widowControl w:val="0"/>
              <w:spacing w:after="0" w:line="240" w:lineRule="auto"/>
              <w:ind w:firstLine="0"/>
              <w:rPr>
                <w:sz w:val="21"/>
                <w:szCs w:val="21"/>
              </w:rPr>
            </w:pPr>
            <w:r>
              <w:rPr>
                <w:sz w:val="21"/>
                <w:szCs w:val="21"/>
              </w:rPr>
              <w:t>赛为智能向深圳昊天支付工程预付款，深圳昊天将资金转至前海锦祺账户，前海锦祺再转回赛为智能，用于冲抵长期挂账应收账款。</w:t>
            </w:r>
          </w:p>
          <w:p w14:paraId="4B4FA6EB">
            <w:pPr>
              <w:widowControl w:val="0"/>
              <w:spacing w:after="0" w:line="240" w:lineRule="auto"/>
              <w:ind w:firstLine="0"/>
              <w:rPr>
                <w:sz w:val="21"/>
                <w:szCs w:val="21"/>
              </w:rPr>
            </w:pPr>
            <w:r>
              <w:rPr>
                <w:sz w:val="21"/>
                <w:szCs w:val="21"/>
              </w:rPr>
              <w:t>赛为智能与广州高倬签订采购合同并支付货款，其中部分资金未用于采购设备，而用于协助华兴银行退出非公开发行股票认购事项。</w:t>
            </w:r>
          </w:p>
          <w:p w14:paraId="49C35791">
            <w:pPr>
              <w:widowControl w:val="0"/>
              <w:spacing w:after="0" w:line="240" w:lineRule="auto"/>
              <w:ind w:firstLine="0"/>
              <w:rPr>
                <w:sz w:val="21"/>
                <w:szCs w:val="21"/>
              </w:rPr>
            </w:pPr>
            <w:r>
              <w:rPr>
                <w:sz w:val="21"/>
                <w:szCs w:val="21"/>
              </w:rPr>
              <w:t>赛为智能与深圳昊天签订分包合同，相关预付款未用于项目建设，而用于前述退出认购事项、偿债和虚构应收账款收回，并被结转工程成本以虚增收入和利润。</w:t>
            </w:r>
          </w:p>
        </w:tc>
        <w:tc>
          <w:tcPr>
            <w:tcW w:w="1918" w:type="dxa"/>
            <w:vAlign w:val="center"/>
          </w:tcPr>
          <w:p w14:paraId="6603397A">
            <w:pPr>
              <w:widowControl w:val="0"/>
              <w:spacing w:after="0" w:line="240" w:lineRule="auto"/>
              <w:ind w:firstLine="0"/>
              <w:rPr>
                <w:sz w:val="21"/>
                <w:szCs w:val="21"/>
              </w:rPr>
            </w:pPr>
            <w:r>
              <w:rPr>
                <w:rFonts w:hint="eastAsia"/>
                <w:sz w:val="21"/>
                <w:szCs w:val="21"/>
              </w:rPr>
              <w:t>3%比例连带责任</w:t>
            </w:r>
          </w:p>
        </w:tc>
      </w:tr>
      <w:tr w14:paraId="1901A602">
        <w:trPr>
          <w:tblHeader/>
          <w:jc w:val="center"/>
        </w:trPr>
        <w:tc>
          <w:tcPr>
            <w:tcW w:w="934" w:type="dxa"/>
            <w:vAlign w:val="center"/>
          </w:tcPr>
          <w:p w14:paraId="1A7A52FA">
            <w:pPr>
              <w:widowControl w:val="0"/>
              <w:spacing w:after="0" w:line="240" w:lineRule="auto"/>
              <w:ind w:firstLine="0"/>
              <w:rPr>
                <w:sz w:val="21"/>
                <w:szCs w:val="21"/>
              </w:rPr>
            </w:pPr>
            <w:r>
              <w:rPr>
                <w:rFonts w:hint="eastAsia"/>
                <w:sz w:val="21"/>
                <w:szCs w:val="21"/>
              </w:rPr>
              <w:t>华虹计通</w:t>
            </w:r>
            <w:r>
              <w:rPr>
                <w:rStyle w:val="16"/>
                <w:rFonts w:hint="eastAsia"/>
                <w:sz w:val="21"/>
                <w:szCs w:val="21"/>
              </w:rPr>
              <w:footnoteReference w:id="17"/>
            </w:r>
          </w:p>
        </w:tc>
        <w:tc>
          <w:tcPr>
            <w:tcW w:w="1701" w:type="dxa"/>
            <w:vAlign w:val="center"/>
          </w:tcPr>
          <w:p w14:paraId="61CDF425">
            <w:pPr>
              <w:widowControl w:val="0"/>
              <w:spacing w:after="0" w:line="240" w:lineRule="auto"/>
              <w:ind w:firstLine="0"/>
              <w:rPr>
                <w:sz w:val="21"/>
                <w:szCs w:val="21"/>
              </w:rPr>
            </w:pPr>
            <w:r>
              <w:rPr>
                <w:rFonts w:hint="eastAsia"/>
                <w:sz w:val="21"/>
                <w:szCs w:val="21"/>
              </w:rPr>
              <w:t>供应商、客户</w:t>
            </w:r>
          </w:p>
        </w:tc>
        <w:tc>
          <w:tcPr>
            <w:tcW w:w="3969" w:type="dxa"/>
            <w:vAlign w:val="center"/>
          </w:tcPr>
          <w:p w14:paraId="351C198A">
            <w:pPr>
              <w:widowControl w:val="0"/>
              <w:spacing w:after="0" w:line="240" w:lineRule="auto"/>
              <w:ind w:firstLine="0"/>
              <w:rPr>
                <w:sz w:val="21"/>
                <w:szCs w:val="21"/>
              </w:rPr>
            </w:pPr>
            <w:r>
              <w:rPr>
                <w:sz w:val="21"/>
                <w:szCs w:val="21"/>
              </w:rPr>
              <w:t>各方配合开展三笔四方贸易，采购销售形成闭环，贸易资金在数日内完成等额或相近金额循环，且无对应实际物流。</w:t>
            </w:r>
          </w:p>
          <w:p w14:paraId="120CA4C4">
            <w:pPr>
              <w:widowControl w:val="0"/>
              <w:spacing w:after="0" w:line="240" w:lineRule="auto"/>
              <w:ind w:firstLine="0"/>
              <w:rPr>
                <w:sz w:val="21"/>
                <w:szCs w:val="21"/>
              </w:rPr>
            </w:pPr>
            <w:r>
              <w:rPr>
                <w:sz w:val="21"/>
                <w:szCs w:val="21"/>
              </w:rPr>
              <w:t>华虹计通通过向仪电物联虚假销售货物虚增营业收入和营业利润，并以虚假贸易项下回款冲销以前年度长账龄应收账款，少计提坏账准备。</w:t>
            </w:r>
          </w:p>
        </w:tc>
        <w:tc>
          <w:tcPr>
            <w:tcW w:w="1918" w:type="dxa"/>
            <w:vAlign w:val="center"/>
          </w:tcPr>
          <w:p w14:paraId="0A19C0AF">
            <w:pPr>
              <w:widowControl w:val="0"/>
              <w:spacing w:after="0" w:line="240" w:lineRule="auto"/>
              <w:ind w:firstLine="0"/>
              <w:rPr>
                <w:sz w:val="21"/>
                <w:szCs w:val="21"/>
              </w:rPr>
            </w:pPr>
            <w:r>
              <w:rPr>
                <w:sz w:val="21"/>
                <w:szCs w:val="21"/>
              </w:rPr>
              <w:t>分别在20%、10%、10%的范围内承担</w:t>
            </w:r>
            <w:r>
              <w:rPr>
                <w:rFonts w:hint="eastAsia"/>
                <w:sz w:val="21"/>
                <w:szCs w:val="21"/>
              </w:rPr>
              <w:t>比例</w:t>
            </w:r>
            <w:r>
              <w:rPr>
                <w:sz w:val="21"/>
                <w:szCs w:val="21"/>
              </w:rPr>
              <w:t>连带赔偿责任</w:t>
            </w:r>
          </w:p>
        </w:tc>
      </w:tr>
      <w:tr w14:paraId="0F064034">
        <w:trPr>
          <w:tblHeader/>
          <w:jc w:val="center"/>
        </w:trPr>
        <w:tc>
          <w:tcPr>
            <w:tcW w:w="934" w:type="dxa"/>
            <w:vAlign w:val="center"/>
          </w:tcPr>
          <w:p w14:paraId="6F4A698C">
            <w:pPr>
              <w:widowControl w:val="0"/>
              <w:spacing w:after="0" w:line="240" w:lineRule="auto"/>
              <w:ind w:firstLine="0"/>
              <w:rPr>
                <w:sz w:val="21"/>
                <w:szCs w:val="21"/>
              </w:rPr>
            </w:pPr>
            <w:r>
              <w:rPr>
                <w:rFonts w:hint="eastAsia"/>
                <w:sz w:val="21"/>
                <w:szCs w:val="21"/>
              </w:rPr>
              <w:t>行悦信息</w:t>
            </w:r>
            <w:r>
              <w:rPr>
                <w:rStyle w:val="16"/>
                <w:rFonts w:hint="eastAsia"/>
                <w:sz w:val="21"/>
                <w:szCs w:val="21"/>
              </w:rPr>
              <w:footnoteReference w:id="18"/>
            </w:r>
          </w:p>
        </w:tc>
        <w:tc>
          <w:tcPr>
            <w:tcW w:w="1701" w:type="dxa"/>
            <w:vAlign w:val="center"/>
          </w:tcPr>
          <w:p w14:paraId="14C0235D">
            <w:pPr>
              <w:widowControl w:val="0"/>
              <w:spacing w:after="0" w:line="240" w:lineRule="auto"/>
              <w:ind w:firstLine="0"/>
              <w:rPr>
                <w:sz w:val="21"/>
                <w:szCs w:val="21"/>
              </w:rPr>
            </w:pPr>
            <w:r>
              <w:rPr>
                <w:sz w:val="21"/>
                <w:szCs w:val="21"/>
              </w:rPr>
              <w:t>供应商、客户、发行人控股子公司</w:t>
            </w:r>
          </w:p>
        </w:tc>
        <w:tc>
          <w:tcPr>
            <w:tcW w:w="3969" w:type="dxa"/>
            <w:vAlign w:val="center"/>
          </w:tcPr>
          <w:p w14:paraId="2A1951DF">
            <w:pPr>
              <w:widowControl w:val="0"/>
              <w:spacing w:after="0" w:line="240" w:lineRule="auto"/>
              <w:ind w:firstLine="0"/>
              <w:rPr>
                <w:sz w:val="21"/>
                <w:szCs w:val="21"/>
              </w:rPr>
            </w:pPr>
            <w:r>
              <w:rPr>
                <w:sz w:val="21"/>
                <w:szCs w:val="21"/>
              </w:rPr>
              <w:t>行悦信息将资金以预付账款、资金往来等形式划拨给中萱贸易等公司，再由中萱贸易等按行悦信息指令划转给相关客户，相关客户将无真实业务背景的走账资金支付给行悦信息作为虚增营业收入的回款。部分客户还配合签署无实质交易合同或确认无实质业务收入。</w:t>
            </w:r>
          </w:p>
        </w:tc>
        <w:tc>
          <w:tcPr>
            <w:tcW w:w="1918" w:type="dxa"/>
            <w:vAlign w:val="center"/>
          </w:tcPr>
          <w:p w14:paraId="28669C7F">
            <w:pPr>
              <w:widowControl w:val="0"/>
              <w:spacing w:after="0" w:line="240" w:lineRule="auto"/>
              <w:ind w:firstLine="0"/>
              <w:rPr>
                <w:rFonts w:hint="eastAsia" w:eastAsia="宋体"/>
                <w:sz w:val="21"/>
                <w:szCs w:val="21"/>
                <w:lang w:eastAsia="zh-CN"/>
              </w:rPr>
            </w:pPr>
            <w:r>
              <w:rPr>
                <w:sz w:val="21"/>
                <w:szCs w:val="21"/>
              </w:rPr>
              <w:t>供应商、客户分别在30%—90%不等范围内承担</w:t>
            </w:r>
            <w:r>
              <w:rPr>
                <w:rFonts w:hint="eastAsia"/>
                <w:sz w:val="21"/>
                <w:szCs w:val="21"/>
              </w:rPr>
              <w:t>比例</w:t>
            </w:r>
            <w:r>
              <w:rPr>
                <w:sz w:val="21"/>
                <w:szCs w:val="21"/>
              </w:rPr>
              <w:t>连带赔偿责任</w:t>
            </w:r>
            <w:r>
              <w:rPr>
                <w:rFonts w:hint="eastAsia"/>
                <w:sz w:val="21"/>
                <w:szCs w:val="21"/>
                <w:lang w:eastAsia="zh-CN"/>
              </w:rPr>
              <w:t>。</w:t>
            </w:r>
          </w:p>
          <w:p w14:paraId="038E8EBB">
            <w:pPr>
              <w:widowControl w:val="0"/>
              <w:spacing w:after="0" w:line="240" w:lineRule="auto"/>
              <w:ind w:firstLine="0"/>
              <w:rPr>
                <w:rFonts w:hint="eastAsia" w:eastAsia="宋体"/>
                <w:sz w:val="21"/>
                <w:szCs w:val="21"/>
                <w:lang w:eastAsia="zh-CN"/>
              </w:rPr>
            </w:pPr>
            <w:r>
              <w:rPr>
                <w:rFonts w:hint="eastAsia"/>
                <w:sz w:val="21"/>
                <w:szCs w:val="21"/>
              </w:rPr>
              <w:t>发行人控股子公司不承担民事赔偿责任</w:t>
            </w:r>
            <w:r>
              <w:rPr>
                <w:rFonts w:hint="eastAsia"/>
                <w:sz w:val="21"/>
                <w:szCs w:val="21"/>
                <w:lang w:eastAsia="zh-CN"/>
              </w:rPr>
              <w:t>。</w:t>
            </w:r>
          </w:p>
        </w:tc>
      </w:tr>
      <w:tr w14:paraId="21CB8735">
        <w:trPr>
          <w:tblHeader/>
          <w:jc w:val="center"/>
        </w:trPr>
        <w:tc>
          <w:tcPr>
            <w:tcW w:w="934" w:type="dxa"/>
            <w:vAlign w:val="center"/>
          </w:tcPr>
          <w:p w14:paraId="7DD9BB11">
            <w:pPr>
              <w:widowControl w:val="0"/>
              <w:spacing w:after="0" w:line="240" w:lineRule="auto"/>
              <w:ind w:firstLine="0"/>
              <w:rPr>
                <w:sz w:val="21"/>
                <w:szCs w:val="21"/>
              </w:rPr>
            </w:pPr>
            <w:r>
              <w:rPr>
                <w:rFonts w:hint="eastAsia"/>
                <w:sz w:val="21"/>
                <w:szCs w:val="21"/>
              </w:rPr>
              <w:t>康得新</w:t>
            </w:r>
            <w:r>
              <w:rPr>
                <w:rStyle w:val="16"/>
                <w:rFonts w:hint="eastAsia"/>
                <w:sz w:val="21"/>
                <w:szCs w:val="21"/>
              </w:rPr>
              <w:footnoteReference w:id="19"/>
            </w:r>
          </w:p>
        </w:tc>
        <w:tc>
          <w:tcPr>
            <w:tcW w:w="1701" w:type="dxa"/>
            <w:vAlign w:val="center"/>
          </w:tcPr>
          <w:p w14:paraId="24EA7383">
            <w:pPr>
              <w:widowControl w:val="0"/>
              <w:spacing w:after="0" w:line="240" w:lineRule="auto"/>
              <w:ind w:firstLine="0"/>
              <w:rPr>
                <w:sz w:val="21"/>
                <w:szCs w:val="21"/>
              </w:rPr>
            </w:pPr>
            <w:r>
              <w:rPr>
                <w:sz w:val="21"/>
                <w:szCs w:val="21"/>
              </w:rPr>
              <w:t>为发行人提供服务的金融机构</w:t>
            </w:r>
            <w:r>
              <w:rPr>
                <w:rFonts w:hint="eastAsia"/>
                <w:sz w:val="21"/>
                <w:szCs w:val="21"/>
              </w:rPr>
              <w:t>（银行）</w:t>
            </w:r>
            <w:r>
              <w:rPr>
                <w:sz w:val="21"/>
                <w:szCs w:val="21"/>
              </w:rPr>
              <w:t>、供应商、工程采购受托方</w:t>
            </w:r>
          </w:p>
        </w:tc>
        <w:tc>
          <w:tcPr>
            <w:tcW w:w="3969" w:type="dxa"/>
            <w:vAlign w:val="center"/>
          </w:tcPr>
          <w:p w14:paraId="515E377D">
            <w:pPr>
              <w:widowControl w:val="0"/>
              <w:spacing w:after="0" w:line="240" w:lineRule="auto"/>
              <w:ind w:firstLine="0"/>
              <w:rPr>
                <w:sz w:val="21"/>
                <w:szCs w:val="21"/>
              </w:rPr>
            </w:pPr>
            <w:r>
              <w:rPr>
                <w:sz w:val="21"/>
                <w:szCs w:val="21"/>
              </w:rPr>
              <w:t>北京银行西单支行与康得集团签订现金管理业务合作协议，使康得新账户组资金被实时全额归集至康得集团账户，康得新账户组各年末实际余额为零，但年报披露巨额银行存款。化学赛鼎、宇龙汽车按照采购委托协议接收募集资金后，依康得新要求转付指定供应商，资金经多道流转后主要回流康得新，用于归还银行贷款和配合虚增利润。外销业务中，资金经过桥公司、对敲、内保外贷等环节转至境外，再由虚假境外客户或第三方代付公司以销售回款形式转回。</w:t>
            </w:r>
          </w:p>
        </w:tc>
        <w:tc>
          <w:tcPr>
            <w:tcW w:w="1918" w:type="dxa"/>
            <w:vAlign w:val="center"/>
          </w:tcPr>
          <w:p w14:paraId="26839A84">
            <w:pPr>
              <w:widowControl w:val="0"/>
              <w:spacing w:after="0" w:line="240" w:lineRule="auto"/>
              <w:ind w:firstLine="0"/>
              <w:rPr>
                <w:sz w:val="21"/>
                <w:szCs w:val="21"/>
              </w:rPr>
            </w:pPr>
            <w:r>
              <w:rPr>
                <w:rFonts w:hint="eastAsia"/>
                <w:sz w:val="21"/>
                <w:szCs w:val="21"/>
              </w:rPr>
              <w:t>帮助造假者于2025年12月先后公告收到《应诉通知书》，目前案件仍在审理中。</w:t>
            </w:r>
          </w:p>
        </w:tc>
      </w:tr>
      <w:tr w14:paraId="78613376">
        <w:trPr>
          <w:tblHeader/>
          <w:jc w:val="center"/>
        </w:trPr>
        <w:tc>
          <w:tcPr>
            <w:tcW w:w="934" w:type="dxa"/>
            <w:vAlign w:val="center"/>
          </w:tcPr>
          <w:p w14:paraId="27A24D1F">
            <w:pPr>
              <w:widowControl w:val="0"/>
              <w:spacing w:after="0" w:line="240" w:lineRule="auto"/>
              <w:ind w:firstLine="0"/>
              <w:rPr>
                <w:sz w:val="21"/>
                <w:szCs w:val="21"/>
              </w:rPr>
            </w:pPr>
            <w:r>
              <w:rPr>
                <w:rFonts w:hint="eastAsia"/>
                <w:sz w:val="21"/>
                <w:szCs w:val="21"/>
              </w:rPr>
              <w:t>泽达易盛</w:t>
            </w:r>
            <w:r>
              <w:rPr>
                <w:rStyle w:val="16"/>
                <w:rFonts w:hint="eastAsia"/>
                <w:sz w:val="21"/>
                <w:szCs w:val="21"/>
              </w:rPr>
              <w:footnoteReference w:id="20"/>
            </w:r>
          </w:p>
        </w:tc>
        <w:tc>
          <w:tcPr>
            <w:tcW w:w="1701" w:type="dxa"/>
            <w:vAlign w:val="center"/>
          </w:tcPr>
          <w:p w14:paraId="187576FB">
            <w:pPr>
              <w:widowControl w:val="0"/>
              <w:spacing w:after="0" w:line="240" w:lineRule="auto"/>
              <w:ind w:firstLine="0"/>
              <w:rPr>
                <w:sz w:val="21"/>
                <w:szCs w:val="21"/>
              </w:rPr>
            </w:pPr>
            <w:r>
              <w:rPr>
                <w:rFonts w:hint="eastAsia"/>
                <w:sz w:val="21"/>
                <w:szCs w:val="21"/>
              </w:rPr>
              <w:t>客户、供应商、关联方</w:t>
            </w:r>
          </w:p>
        </w:tc>
        <w:tc>
          <w:tcPr>
            <w:tcW w:w="3969" w:type="dxa"/>
            <w:vAlign w:val="center"/>
          </w:tcPr>
          <w:p w14:paraId="6D62310E">
            <w:pPr>
              <w:widowControl w:val="0"/>
              <w:spacing w:after="0" w:line="240" w:lineRule="auto"/>
              <w:ind w:firstLine="0"/>
              <w:rPr>
                <w:sz w:val="21"/>
                <w:szCs w:val="21"/>
              </w:rPr>
            </w:pPr>
            <w:r>
              <w:rPr>
                <w:sz w:val="21"/>
                <w:szCs w:val="21"/>
              </w:rPr>
              <w:t>泽达易盛及其子公司通过签订虚假合同、开展虚假业务虚增收入和利润。</w:t>
            </w:r>
          </w:p>
          <w:p w14:paraId="6B00D6ED">
            <w:pPr>
              <w:widowControl w:val="0"/>
              <w:spacing w:after="0" w:line="240" w:lineRule="auto"/>
              <w:ind w:firstLine="0"/>
              <w:rPr>
                <w:sz w:val="21"/>
                <w:szCs w:val="21"/>
              </w:rPr>
            </w:pPr>
            <w:r>
              <w:rPr>
                <w:sz w:val="21"/>
                <w:szCs w:val="21"/>
              </w:rPr>
              <w:t>泽达易盛通过理财产品和资管计划将资金实际转入关联方，并通过预付设备款虚增在建工程。</w:t>
            </w:r>
          </w:p>
        </w:tc>
        <w:tc>
          <w:tcPr>
            <w:tcW w:w="1918" w:type="dxa"/>
            <w:vAlign w:val="center"/>
          </w:tcPr>
          <w:p w14:paraId="1A423112">
            <w:pPr>
              <w:widowControl w:val="0"/>
              <w:spacing w:after="0" w:line="240" w:lineRule="auto"/>
              <w:ind w:firstLine="0"/>
              <w:rPr>
                <w:sz w:val="21"/>
                <w:szCs w:val="21"/>
              </w:rPr>
            </w:pPr>
            <w:r>
              <w:rPr>
                <w:rFonts w:hint="eastAsia"/>
                <w:sz w:val="21"/>
                <w:szCs w:val="21"/>
              </w:rPr>
              <w:t>帮助造假者于2025年8月先后公告收到《应诉通知书》，目前案件仍在审理中。</w:t>
            </w:r>
          </w:p>
        </w:tc>
      </w:tr>
      <w:tr w14:paraId="06AB9BD2">
        <w:trPr>
          <w:tblHeader/>
          <w:jc w:val="center"/>
        </w:trPr>
        <w:tc>
          <w:tcPr>
            <w:tcW w:w="934" w:type="dxa"/>
            <w:shd w:val="clear" w:color="auto" w:fill="auto"/>
            <w:vAlign w:val="center"/>
          </w:tcPr>
          <w:p w14:paraId="71E32CF8">
            <w:pPr>
              <w:widowControl w:val="0"/>
              <w:spacing w:after="0" w:line="240" w:lineRule="auto"/>
              <w:ind w:firstLine="0" w:firstLineChars="0"/>
              <w:rPr>
                <w:rFonts w:hint="eastAsia" w:ascii="Times New Roman" w:hAnsi="Times New Roman" w:eastAsia="宋体" w:cs="Times New Roman"/>
                <w:color w:val="000000"/>
                <w:sz w:val="21"/>
                <w:szCs w:val="21"/>
                <w:lang w:val="en-US" w:eastAsia="zh-CN" w:bidi="ar-SA"/>
              </w:rPr>
            </w:pPr>
            <w:r>
              <w:rPr>
                <w:rFonts w:hint="eastAsia"/>
                <w:sz w:val="21"/>
                <w:szCs w:val="21"/>
              </w:rPr>
              <w:t>柏堡龙</w:t>
            </w:r>
            <w:r>
              <w:rPr>
                <w:rStyle w:val="16"/>
                <w:rFonts w:hint="eastAsia"/>
                <w:sz w:val="21"/>
                <w:szCs w:val="21"/>
              </w:rPr>
              <w:footnoteReference w:id="21"/>
            </w:r>
          </w:p>
        </w:tc>
        <w:tc>
          <w:tcPr>
            <w:tcW w:w="1701" w:type="dxa"/>
            <w:shd w:val="clear" w:color="auto" w:fill="auto"/>
            <w:vAlign w:val="center"/>
          </w:tcPr>
          <w:p w14:paraId="5BB066C2">
            <w:pPr>
              <w:widowControl w:val="0"/>
              <w:spacing w:after="0" w:line="240" w:lineRule="auto"/>
              <w:ind w:firstLine="0" w:firstLineChars="0"/>
              <w:rPr>
                <w:rFonts w:hint="eastAsia" w:ascii="Times New Roman" w:hAnsi="Times New Roman" w:eastAsia="宋体" w:cs="Times New Roman"/>
                <w:color w:val="000000"/>
                <w:sz w:val="21"/>
                <w:szCs w:val="21"/>
                <w:lang w:val="en-US" w:eastAsia="zh-CN" w:bidi="ar-SA"/>
              </w:rPr>
            </w:pPr>
            <w:r>
              <w:rPr>
                <w:rFonts w:hint="eastAsia"/>
                <w:sz w:val="21"/>
                <w:szCs w:val="21"/>
              </w:rPr>
              <w:t>客户、供应商、关联方</w:t>
            </w:r>
          </w:p>
        </w:tc>
        <w:tc>
          <w:tcPr>
            <w:tcW w:w="3969" w:type="dxa"/>
            <w:shd w:val="clear" w:color="auto" w:fill="auto"/>
            <w:vAlign w:val="center"/>
          </w:tcPr>
          <w:p w14:paraId="134B451C">
            <w:pPr>
              <w:widowControl w:val="0"/>
              <w:spacing w:after="0" w:line="240" w:lineRule="auto"/>
              <w:ind w:firstLine="0" w:firstLineChars="0"/>
              <w:rPr>
                <w:rFonts w:ascii="Times New Roman" w:hAnsi="Times New Roman" w:eastAsia="宋体" w:cs="Times New Roman"/>
                <w:color w:val="000000"/>
                <w:sz w:val="21"/>
                <w:szCs w:val="21"/>
                <w:lang w:val="en-US" w:eastAsia="zh-CN" w:bidi="ar-SA"/>
              </w:rPr>
            </w:pPr>
            <w:r>
              <w:rPr>
                <w:sz w:val="21"/>
                <w:szCs w:val="21"/>
              </w:rPr>
              <w:t>柏堡</w:t>
            </w:r>
            <w:r>
              <w:rPr>
                <w:rFonts w:hint="eastAsia"/>
                <w:sz w:val="21"/>
                <w:szCs w:val="21"/>
              </w:rPr>
              <w:t>龙</w:t>
            </w:r>
            <w:r>
              <w:rPr>
                <w:sz w:val="21"/>
                <w:szCs w:val="21"/>
              </w:rPr>
              <w:t>通过虚构与某公司及其关联⽅,万杰隆集团及其关联⽅万杰隆电⼦商务之间的服装设计、组织⽣产业务,虚增营业收⼊和利润总额</w:t>
            </w:r>
          </w:p>
        </w:tc>
        <w:tc>
          <w:tcPr>
            <w:tcW w:w="1918" w:type="dxa"/>
            <w:shd w:val="clear" w:color="auto" w:fill="auto"/>
            <w:vAlign w:val="center"/>
          </w:tcPr>
          <w:p w14:paraId="0F5CF50A">
            <w:pPr>
              <w:widowControl w:val="0"/>
              <w:spacing w:after="0" w:line="240" w:lineRule="auto"/>
              <w:ind w:firstLine="0" w:firstLineChars="0"/>
              <w:rPr>
                <w:rFonts w:hint="eastAsia" w:ascii="Times New Roman" w:hAnsi="Times New Roman" w:eastAsia="宋体" w:cs="Times New Roman"/>
                <w:color w:val="000000"/>
                <w:sz w:val="21"/>
                <w:szCs w:val="21"/>
                <w:lang w:val="en-US" w:eastAsia="zh-CN" w:bidi="ar-SA"/>
              </w:rPr>
            </w:pPr>
            <w:r>
              <w:rPr>
                <w:rFonts w:hint="eastAsia"/>
                <w:sz w:val="21"/>
                <w:szCs w:val="21"/>
              </w:rPr>
              <w:t>不承担民事赔偿责任</w:t>
            </w:r>
          </w:p>
        </w:tc>
      </w:tr>
      <w:tr w14:paraId="7A57A481">
        <w:trPr>
          <w:tblHeader/>
          <w:jc w:val="center"/>
        </w:trPr>
        <w:tc>
          <w:tcPr>
            <w:tcW w:w="934" w:type="dxa"/>
            <w:vAlign w:val="center"/>
          </w:tcPr>
          <w:p w14:paraId="44003159">
            <w:pPr>
              <w:widowControl w:val="0"/>
              <w:spacing w:after="0" w:line="240" w:lineRule="auto"/>
              <w:ind w:firstLine="0"/>
              <w:rPr>
                <w:sz w:val="21"/>
                <w:szCs w:val="21"/>
              </w:rPr>
            </w:pPr>
            <w:r>
              <w:rPr>
                <w:rFonts w:hint="eastAsia"/>
                <w:sz w:val="21"/>
                <w:szCs w:val="21"/>
              </w:rPr>
              <w:t>越博动力</w:t>
            </w:r>
            <w:r>
              <w:rPr>
                <w:rStyle w:val="16"/>
                <w:rFonts w:hint="eastAsia"/>
                <w:sz w:val="21"/>
                <w:szCs w:val="21"/>
              </w:rPr>
              <w:footnoteReference w:id="22"/>
            </w:r>
          </w:p>
        </w:tc>
        <w:tc>
          <w:tcPr>
            <w:tcW w:w="1701" w:type="dxa"/>
            <w:vAlign w:val="center"/>
          </w:tcPr>
          <w:p w14:paraId="56720A5B">
            <w:pPr>
              <w:widowControl w:val="0"/>
              <w:spacing w:after="0" w:line="240" w:lineRule="auto"/>
              <w:ind w:firstLine="0"/>
              <w:rPr>
                <w:sz w:val="21"/>
                <w:szCs w:val="21"/>
              </w:rPr>
            </w:pPr>
            <w:r>
              <w:rPr>
                <w:rFonts w:hint="eastAsia"/>
                <w:sz w:val="21"/>
                <w:szCs w:val="21"/>
              </w:rPr>
              <w:t>客户的实控人</w:t>
            </w:r>
          </w:p>
        </w:tc>
        <w:tc>
          <w:tcPr>
            <w:tcW w:w="3969" w:type="dxa"/>
            <w:vAlign w:val="center"/>
          </w:tcPr>
          <w:p w14:paraId="70043BE4">
            <w:pPr>
              <w:widowControl w:val="0"/>
              <w:spacing w:after="0" w:line="240" w:lineRule="auto"/>
              <w:ind w:firstLine="0"/>
              <w:rPr>
                <w:sz w:val="21"/>
                <w:szCs w:val="21"/>
              </w:rPr>
            </w:pPr>
            <w:r>
              <w:rPr>
                <w:sz w:val="21"/>
                <w:szCs w:val="21"/>
              </w:rPr>
              <w:t>于懿知悉越博动力做大业务的意图后，提供其控制或联络的公司配合开展视觉识别板卡代加工等虚假业务。</w:t>
            </w:r>
          </w:p>
          <w:p w14:paraId="6D7A9D2D">
            <w:pPr>
              <w:widowControl w:val="0"/>
              <w:spacing w:after="0" w:line="240" w:lineRule="auto"/>
              <w:ind w:firstLine="0"/>
              <w:rPr>
                <w:sz w:val="21"/>
                <w:szCs w:val="21"/>
              </w:rPr>
            </w:pPr>
            <w:r>
              <w:rPr>
                <w:sz w:val="21"/>
                <w:szCs w:val="21"/>
              </w:rPr>
              <w:t>贺靖知悉越博动力冲业绩的意图后，提供其控制的公司配合开展新能源汽车动力总成虚假销售业务，并提供汇创蓝天配合承接越博动力虚假出售的河南畅行。</w:t>
            </w:r>
          </w:p>
        </w:tc>
        <w:tc>
          <w:tcPr>
            <w:tcW w:w="1918" w:type="dxa"/>
            <w:vAlign w:val="center"/>
          </w:tcPr>
          <w:p w14:paraId="13ECB139">
            <w:pPr>
              <w:widowControl w:val="0"/>
              <w:spacing w:after="0" w:line="240" w:lineRule="auto"/>
              <w:ind w:firstLine="0"/>
              <w:rPr>
                <w:sz w:val="21"/>
                <w:szCs w:val="21"/>
              </w:rPr>
            </w:pPr>
            <w:r>
              <w:rPr>
                <w:rFonts w:hint="eastAsia"/>
                <w:sz w:val="21"/>
                <w:szCs w:val="21"/>
              </w:rPr>
              <w:t>帮助造假者受到行政处罚，但公开渠道目前未检索到帮助造假者被起诉情况。</w:t>
            </w:r>
          </w:p>
        </w:tc>
      </w:tr>
      <w:tr w14:paraId="0A94A9E6">
        <w:trPr>
          <w:tblHeader/>
          <w:jc w:val="center"/>
        </w:trPr>
        <w:tc>
          <w:tcPr>
            <w:tcW w:w="934" w:type="dxa"/>
            <w:vAlign w:val="center"/>
          </w:tcPr>
          <w:p w14:paraId="0F4EF00A">
            <w:pPr>
              <w:widowControl w:val="0"/>
              <w:spacing w:after="0" w:line="240" w:lineRule="auto"/>
              <w:ind w:firstLine="0"/>
              <w:rPr>
                <w:sz w:val="21"/>
                <w:szCs w:val="21"/>
              </w:rPr>
            </w:pPr>
            <w:r>
              <w:rPr>
                <w:rFonts w:hint="eastAsia"/>
                <w:sz w:val="21"/>
                <w:szCs w:val="21"/>
              </w:rPr>
              <w:t>大唐高鸿</w:t>
            </w:r>
          </w:p>
        </w:tc>
        <w:tc>
          <w:tcPr>
            <w:tcW w:w="1701" w:type="dxa"/>
            <w:vAlign w:val="center"/>
          </w:tcPr>
          <w:p w14:paraId="625B56D2">
            <w:pPr>
              <w:widowControl w:val="0"/>
              <w:spacing w:after="0" w:line="240" w:lineRule="auto"/>
              <w:ind w:firstLine="0"/>
              <w:rPr>
                <w:sz w:val="21"/>
                <w:szCs w:val="21"/>
              </w:rPr>
            </w:pPr>
            <w:r>
              <w:rPr>
                <w:rFonts w:hint="eastAsia"/>
                <w:sz w:val="21"/>
                <w:szCs w:val="21"/>
              </w:rPr>
              <w:t>供应商、客户</w:t>
            </w:r>
          </w:p>
        </w:tc>
        <w:tc>
          <w:tcPr>
            <w:tcW w:w="3969" w:type="dxa"/>
            <w:vAlign w:val="center"/>
          </w:tcPr>
          <w:p w14:paraId="651E900D">
            <w:pPr>
              <w:widowControl w:val="0"/>
              <w:spacing w:after="0" w:line="240" w:lineRule="auto"/>
              <w:ind w:firstLine="0"/>
              <w:rPr>
                <w:sz w:val="21"/>
                <w:szCs w:val="21"/>
              </w:rPr>
            </w:pPr>
            <w:r>
              <w:rPr>
                <w:sz w:val="21"/>
                <w:szCs w:val="21"/>
              </w:rPr>
              <w:t>江庆组织开展笔记本电脑虚假贸易业务，将高鸿科技纳入交易链条。相关业务的供应商和客户由江庆联系撮合，资金、合同、物流单据形成闭环，无实际货物流转，相关交易不具有商业实质。</w:t>
            </w:r>
          </w:p>
        </w:tc>
        <w:tc>
          <w:tcPr>
            <w:tcW w:w="1918" w:type="dxa"/>
            <w:vAlign w:val="center"/>
          </w:tcPr>
          <w:p w14:paraId="608933CA">
            <w:pPr>
              <w:widowControl w:val="0"/>
              <w:spacing w:after="0" w:line="240" w:lineRule="auto"/>
              <w:ind w:firstLine="0"/>
              <w:rPr>
                <w:sz w:val="21"/>
                <w:szCs w:val="21"/>
              </w:rPr>
            </w:pPr>
            <w:r>
              <w:rPr>
                <w:rFonts w:hint="eastAsia"/>
                <w:sz w:val="21"/>
                <w:szCs w:val="21"/>
              </w:rPr>
              <w:t>公开渠道目前未检索到帮助造假者被起诉情况。</w:t>
            </w:r>
          </w:p>
        </w:tc>
      </w:tr>
    </w:tbl>
    <w:p w14:paraId="230E450F">
      <w:pPr>
        <w:pStyle w:val="3"/>
        <w:widowControl w:val="0"/>
        <w:spacing w:after="0"/>
        <w:rPr>
          <w:sz w:val="21"/>
          <w:szCs w:val="21"/>
        </w:rPr>
      </w:pPr>
      <w:r>
        <w:rPr>
          <w:rFonts w:hint="eastAsia"/>
          <w:sz w:val="21"/>
          <w:szCs w:val="21"/>
        </w:rPr>
        <w:t>上表呈现的我国实践具有双向精细化的需求结构。在责任形态配置一端，人民法院已普遍以比例连带责任替代纯粹连带责任，并以原因力大小作为基本调节工具。在责任成立一端，原告须就帮助造假者的过错承担充分举证责任，举证不足者如柏堡龙案则不予认定。两端各自的精细化需求实际指向两个独立的判断维度，即责任是否成立与责任以何种形态承担。然过错形态如何分层、原因力如何具体衡量、比例区间如何确定等下位问题，目前仍缺乏可在裁判中稳定运用的判断框架，由此为后文二阶模型的提出预设了需求基础。我国实践已显露双向精细化需求但下位标准仍未稳定，补充比较视野有助于辨识可操作的判断框架。</w:t>
      </w:r>
    </w:p>
    <w:p w14:paraId="3586A066">
      <w:pPr>
        <w:widowControl w:val="0"/>
        <w:spacing w:after="0"/>
        <w:ind w:firstLine="420" w:firstLineChars="200"/>
        <w:outlineLvl w:val="1"/>
        <w:rPr>
          <w:rFonts w:cs="宋体"/>
          <w:b/>
          <w:bCs/>
          <w:kern w:val="2"/>
          <w:sz w:val="21"/>
          <w:szCs w:val="21"/>
        </w:rPr>
      </w:pPr>
      <w:r>
        <w:rPr>
          <w:rFonts w:hint="eastAsia" w:cs="宋体"/>
          <w:b/>
          <w:bCs/>
          <w:kern w:val="2"/>
          <w:sz w:val="21"/>
          <w:szCs w:val="21"/>
        </w:rPr>
        <w:t>（二）美国法上的责任规则演进</w:t>
      </w:r>
    </w:p>
    <w:p w14:paraId="62B623D6">
      <w:pPr>
        <w:widowControl w:val="0"/>
        <w:spacing w:after="0"/>
        <w:ind w:firstLine="420" w:firstLineChars="200"/>
        <w:outlineLvl w:val="2"/>
        <w:rPr>
          <w:rFonts w:cs="宋体"/>
          <w:b/>
          <w:bCs/>
          <w:kern w:val="2"/>
          <w:sz w:val="21"/>
          <w:szCs w:val="21"/>
        </w:rPr>
      </w:pPr>
      <w:r>
        <w:rPr>
          <w:rFonts w:hint="eastAsia" w:cs="宋体"/>
          <w:b/>
          <w:bCs/>
          <w:kern w:val="2"/>
          <w:sz w:val="21"/>
          <w:szCs w:val="21"/>
        </w:rPr>
        <w:t>1、协助教唆责任的确立与制度废止</w:t>
      </w:r>
    </w:p>
    <w:p w14:paraId="57ECD219">
      <w:pPr>
        <w:pStyle w:val="17"/>
        <w:widowControl w:val="0"/>
        <w:spacing w:after="0"/>
        <w:rPr>
          <w:sz w:val="21"/>
          <w:szCs w:val="21"/>
        </w:rPr>
      </w:pPr>
      <w:r>
        <w:rPr>
          <w:rFonts w:hint="eastAsia"/>
          <w:sz w:val="21"/>
          <w:szCs w:val="21"/>
        </w:rPr>
        <w:t>美国法在1966至1994年间经历了协助教唆责任从判例确立到成文法严格解释下被私人诉讼工具废止的完整周期，该周期所揭示的政策结构在于司法能动与文本主义之间的张力。</w:t>
      </w:r>
    </w:p>
    <w:p w14:paraId="199DFDFC">
      <w:pPr>
        <w:pStyle w:val="3"/>
        <w:widowControl w:val="0"/>
        <w:spacing w:after="0"/>
        <w:rPr>
          <w:sz w:val="21"/>
          <w:szCs w:val="21"/>
        </w:rPr>
      </w:pPr>
      <w:r>
        <w:rPr>
          <w:rFonts w:hint="eastAsia"/>
          <w:sz w:val="21"/>
          <w:szCs w:val="21"/>
        </w:rPr>
        <w:t>协助教唆责任在美国法上的规则结构最早由Brennan案确立。1966年Brennan案的裁判要旨为，任何故意或因放任行为帮助、教唆他人从事违法、违规的行为，视为与他人一同违反了10b-5规则，应承担协助、教唆责任。该责任与发行人虚假陈述的主要责任相对，居于次要或第二位责任的地位，由此与发行人主要责任之间形成稳定的纵向对应关系。</w:t>
      </w:r>
      <w:r>
        <w:rPr>
          <w:rStyle w:val="16"/>
          <w:sz w:val="21"/>
          <w:szCs w:val="21"/>
        </w:rPr>
        <w:footnoteReference w:id="23"/>
      </w:r>
      <w:r>
        <w:rPr>
          <w:rFonts w:hint="eastAsia"/>
          <w:sz w:val="21"/>
          <w:szCs w:val="21"/>
        </w:rPr>
        <w:t>Brennan案所确立的三要件经联邦最高法院多数判决予以重述，包括存在10b-5项下的主要责任人、协助或教唆者对不法行为持明知或放任态度、协助或教唆者对主要行为提供了实质帮助。</w:t>
      </w:r>
      <w:r>
        <w:rPr>
          <w:rStyle w:val="16"/>
          <w:sz w:val="21"/>
          <w:szCs w:val="21"/>
        </w:rPr>
        <w:footnoteReference w:id="24"/>
      </w:r>
    </w:p>
    <w:p w14:paraId="35BFDD06">
      <w:pPr>
        <w:pStyle w:val="3"/>
        <w:widowControl w:val="0"/>
        <w:spacing w:after="0"/>
        <w:rPr>
          <w:sz w:val="21"/>
          <w:szCs w:val="21"/>
        </w:rPr>
      </w:pPr>
      <w:r>
        <w:rPr>
          <w:rFonts w:hint="eastAsia"/>
          <w:sz w:val="21"/>
          <w:szCs w:val="21"/>
        </w:rPr>
        <w:t>然而Brennan案确立的三要件在嗣后三十年间陷入标准混乱的困境。围绕明知要件，实际明知、鲁莽、应当知晓、一般意识、高度有意识的故意等多层级标准长期混用。实质性协助要件中亦交织着近因分析、行为的通常或异常性以及行为与主违法行为的时间关系等多维度考量，三要件在实际适用中相互渗透，难以作为独立判断坐标发挥作用。Bloor v. Carro与Metge v. Baehler等判决侧重被告的明知与实质性协助；联邦第九巡回法院在Wright v. Schock则要求被告不仅明知主违法行为，还须明知自身在促进该行为中所扮演的角色，由此引入更高的自觉参与意识；B.K. Medical Systems v. Clesh以明知且实质性参与将明知要件融入第三要件，提升对参与程度的要求；Royal Anchor v. Tetra Finance与Martin v. Pepsi-Cola Bottling Co.以鲁莽替代明知，下移主观要件门槛，呈现宽松版本</w:t>
      </w:r>
      <w:r>
        <w:rPr>
          <w:rStyle w:val="16"/>
          <w:sz w:val="21"/>
          <w:szCs w:val="21"/>
        </w:rPr>
        <w:footnoteReference w:id="25"/>
      </w:r>
      <w:r>
        <w:rPr>
          <w:rFonts w:hint="eastAsia"/>
          <w:sz w:val="21"/>
          <w:szCs w:val="21"/>
        </w:rPr>
        <w:t>。该混乱的方法论意义在于揭示出衍生责任本身在判例法路径下缺乏稳定的判断坐标。</w:t>
      </w:r>
    </w:p>
    <w:p w14:paraId="10BBB161">
      <w:pPr>
        <w:pStyle w:val="3"/>
        <w:widowControl w:val="0"/>
        <w:spacing w:after="0"/>
        <w:rPr>
          <w:sz w:val="21"/>
          <w:szCs w:val="21"/>
        </w:rPr>
      </w:pPr>
      <w:r>
        <w:rPr>
          <w:rFonts w:hint="eastAsia"/>
          <w:sz w:val="21"/>
          <w:szCs w:val="21"/>
        </w:rPr>
        <w:t>更深层的问题在于，Central Bank案以严格文本解释方法终结了协助教唆责任在10b-5私人诉讼中的近三十年实践。联邦最高法院认为，倘若国会有意对协助、教唆行为施加责任，便会在立法中明文规定，但《1934年证券交易法》第10b条款从未规定所谓的协助、教唆责任，法院不应超越成文法的文本规定去赋予原告诉权。判决同时承认，次级行为人仍可能依其自身行为承担主要责任，任何个人或组织如使用了操纵手段或作出了导致投资者信赖的对重大事实的误导或遗漏陈述，仍将构成对10b-5规则的违反，应承担主要责任。</w:t>
      </w:r>
      <w:r>
        <w:rPr>
          <w:rStyle w:val="16"/>
          <w:sz w:val="21"/>
          <w:szCs w:val="21"/>
        </w:rPr>
        <w:footnoteReference w:id="26"/>
      </w:r>
    </w:p>
    <w:p w14:paraId="1DFDF3F9">
      <w:pPr>
        <w:pStyle w:val="3"/>
        <w:widowControl w:val="0"/>
        <w:spacing w:after="0"/>
        <w:rPr>
          <w:sz w:val="21"/>
          <w:szCs w:val="21"/>
        </w:rPr>
      </w:pPr>
      <w:r>
        <w:rPr>
          <w:rFonts w:hint="eastAsia"/>
          <w:sz w:val="21"/>
          <w:szCs w:val="21"/>
        </w:rPr>
        <w:t>Central Bank案的判决并未消灭次级行为人的责任空间，而是将问题转化为主要责任范围如何划定的问题。下级法院在该问题上随即分裂为三种判断标准，由此进入新的标准之争阶段。</w:t>
      </w:r>
    </w:p>
    <w:p w14:paraId="7282726F">
      <w:pPr>
        <w:widowControl w:val="0"/>
        <w:spacing w:after="0"/>
        <w:ind w:firstLine="420" w:firstLineChars="200"/>
        <w:outlineLvl w:val="2"/>
        <w:rPr>
          <w:rFonts w:cs="宋体"/>
          <w:b/>
          <w:bCs/>
          <w:kern w:val="2"/>
          <w:sz w:val="21"/>
          <w:szCs w:val="21"/>
        </w:rPr>
      </w:pPr>
      <w:r>
        <w:rPr>
          <w:rFonts w:hint="eastAsia" w:cs="宋体"/>
          <w:b/>
          <w:bCs/>
          <w:kern w:val="2"/>
          <w:sz w:val="21"/>
          <w:szCs w:val="21"/>
        </w:rPr>
        <w:t>2、主要责任范围划定的三种标准之争</w:t>
      </w:r>
    </w:p>
    <w:p w14:paraId="6E4F9680">
      <w:pPr>
        <w:pStyle w:val="17"/>
        <w:widowControl w:val="0"/>
        <w:spacing w:after="0"/>
        <w:rPr>
          <w:sz w:val="21"/>
          <w:szCs w:val="21"/>
        </w:rPr>
      </w:pPr>
      <w:r>
        <w:rPr>
          <w:rFonts w:hint="eastAsia"/>
          <w:sz w:val="21"/>
          <w:szCs w:val="21"/>
        </w:rPr>
        <w:t>Central Bank案后，下级法院在主要责任范围的划定上分裂为明线标准、实质参与标准与创设者标准</w:t>
      </w:r>
      <w:r>
        <w:rPr>
          <w:rStyle w:val="16"/>
          <w:sz w:val="21"/>
          <w:szCs w:val="21"/>
        </w:rPr>
        <w:footnoteReference w:id="27"/>
      </w:r>
      <w:r>
        <w:rPr>
          <w:rFonts w:hint="eastAsia"/>
          <w:sz w:val="21"/>
          <w:szCs w:val="21"/>
        </w:rPr>
        <w:t>三种标准并行的局面，三者分别代表对主要责任范围的不同价值取舍，形式确定性与实质保护性在不同标准间难以兼得。</w:t>
      </w:r>
    </w:p>
    <w:p w14:paraId="46F00040">
      <w:pPr>
        <w:pStyle w:val="3"/>
        <w:widowControl w:val="0"/>
        <w:spacing w:after="0"/>
        <w:rPr>
          <w:sz w:val="21"/>
          <w:szCs w:val="21"/>
        </w:rPr>
      </w:pPr>
      <w:r>
        <w:rPr>
          <w:rFonts w:hint="eastAsia"/>
          <w:sz w:val="21"/>
          <w:szCs w:val="21"/>
        </w:rPr>
        <w:t>形式归属优先的方向以联邦第二、十、十一巡回法院所确立的明线标准（bright-line test）为代表。该标准要求次级行为人必须实际公开作出重大虚假陈述，且该陈述被归属于其名下，单纯参与陈述的准备并不构成作出陈述。Wright v. Ernst &amp; Young LLP、Anixter v. Home-Stake Production Co.、Ziemba v. Cascade International等案是该标准的典型适用</w:t>
      </w:r>
      <w:r>
        <w:rPr>
          <w:rStyle w:val="16"/>
          <w:sz w:val="21"/>
          <w:szCs w:val="21"/>
        </w:rPr>
        <w:footnoteReference w:id="28"/>
      </w:r>
      <w:r>
        <w:rPr>
          <w:rFonts w:hint="eastAsia"/>
          <w:sz w:val="21"/>
          <w:szCs w:val="21"/>
        </w:rPr>
        <w:t>。明线标准的方法论特征在于以形式归属为先，将责任入口集中于公开署名层面，由此换取裁判结论的确定性。</w:t>
      </w:r>
    </w:p>
    <w:p w14:paraId="3B4FFB63">
      <w:pPr>
        <w:pStyle w:val="3"/>
        <w:widowControl w:val="0"/>
        <w:spacing w:after="0"/>
        <w:rPr>
          <w:sz w:val="21"/>
          <w:szCs w:val="21"/>
        </w:rPr>
      </w:pPr>
      <w:r>
        <w:rPr>
          <w:rFonts w:hint="eastAsia"/>
          <w:sz w:val="21"/>
          <w:szCs w:val="21"/>
        </w:rPr>
        <w:t>实质行为优先的方向以联邦第九巡回法院所确立的实质参与标准（scheme liability）为代表。该标准不要求次级行为人签署文件、分发陈述或以其他方式被归属，惟须其在重大虚假陈述的准备中实质参与，即可承担基础责任。In re ZZZZ Best Securities Litigation中加州中区地区法院进一步表述称，只要次级行为人对虚假陈述的参与实质充分至陈述可以正当地归属于其，便可承担责任。</w:t>
      </w:r>
      <w:r>
        <w:rPr>
          <w:rStyle w:val="16"/>
          <w:sz w:val="21"/>
          <w:szCs w:val="21"/>
        </w:rPr>
        <w:footnoteReference w:id="29"/>
      </w:r>
      <w:r>
        <w:rPr>
          <w:rFonts w:hint="eastAsia"/>
          <w:sz w:val="21"/>
          <w:szCs w:val="21"/>
        </w:rPr>
        <w:t>该标准以实质行为为先，将责任入口下移至准备环节，由此换取对深度参与者的责任覆盖能力。</w:t>
      </w:r>
    </w:p>
    <w:p w14:paraId="37329871">
      <w:pPr>
        <w:pStyle w:val="3"/>
        <w:widowControl w:val="0"/>
        <w:spacing w:after="0"/>
        <w:rPr>
          <w:sz w:val="21"/>
          <w:szCs w:val="21"/>
        </w:rPr>
      </w:pPr>
      <w:r>
        <w:rPr>
          <w:rFonts w:hint="eastAsia"/>
          <w:sz w:val="21"/>
          <w:szCs w:val="21"/>
        </w:rPr>
        <w:t>居于两端之间的方向以联邦第三巡回法院在Klein v. Boyd等案所确立的创设者标准（creator test）为代表。其核心要件为次级行为人在单独或与他人共同行动时创设一项虚假陈述，纵该陈述并未被公开归属于其，亦可承担基础责任。</w:t>
      </w:r>
      <w:r>
        <w:rPr>
          <w:rStyle w:val="16"/>
          <w:sz w:val="21"/>
          <w:szCs w:val="21"/>
        </w:rPr>
        <w:footnoteReference w:id="30"/>
      </w:r>
      <w:r>
        <w:rPr>
          <w:rFonts w:hint="eastAsia"/>
          <w:sz w:val="21"/>
          <w:szCs w:val="21"/>
        </w:rPr>
        <w:t>创设者标准以创设行为为先，在明线标准的严格与实质参与标准的开放之间试图划定中间路径。然有学者指出，判断谁创造虚假陈述本身具有较大的不确定性，创设概念尚需通过判例进一步具体化方能稳定运作。</w:t>
      </w:r>
      <w:r>
        <w:rPr>
          <w:rStyle w:val="16"/>
          <w:sz w:val="21"/>
          <w:szCs w:val="21"/>
        </w:rPr>
        <w:footnoteReference w:id="31"/>
      </w:r>
    </w:p>
    <w:p w14:paraId="147CE668">
      <w:pPr>
        <w:pStyle w:val="3"/>
        <w:widowControl w:val="0"/>
        <w:spacing w:after="0"/>
        <w:rPr>
          <w:sz w:val="21"/>
          <w:szCs w:val="21"/>
        </w:rPr>
      </w:pPr>
      <w:r>
        <w:rPr>
          <w:rFonts w:hint="eastAsia"/>
          <w:sz w:val="21"/>
          <w:szCs w:val="21"/>
        </w:rPr>
        <w:t>三种标准的并立结构呈现出形式确定性与实质保护性之间的不可兼得困境。形式归属优先者在确定性维度具有优势但易于被署名规避，实质行为优先者在保护性维度具有优势但易于侵蚀责任边界，居中路径则受制于“创设”概念本身的不确定性，由此为后续学说改进留出空间。</w:t>
      </w:r>
    </w:p>
    <w:p w14:paraId="2968A83F">
      <w:pPr>
        <w:widowControl w:val="0"/>
        <w:spacing w:after="0"/>
        <w:ind w:firstLine="420" w:firstLineChars="200"/>
        <w:outlineLvl w:val="2"/>
        <w:rPr>
          <w:rFonts w:cs="宋体"/>
          <w:b/>
          <w:bCs/>
          <w:kern w:val="2"/>
          <w:sz w:val="21"/>
          <w:szCs w:val="21"/>
        </w:rPr>
      </w:pPr>
      <w:r>
        <w:rPr>
          <w:rFonts w:hint="eastAsia" w:cs="宋体"/>
          <w:b/>
          <w:bCs/>
          <w:kern w:val="2"/>
          <w:sz w:val="21"/>
          <w:szCs w:val="21"/>
        </w:rPr>
        <w:t>3、责任规则严格化与回调的精细演进</w:t>
      </w:r>
    </w:p>
    <w:p w14:paraId="4B414541">
      <w:pPr>
        <w:pStyle w:val="17"/>
        <w:widowControl w:val="0"/>
        <w:spacing w:after="0"/>
        <w:rPr>
          <w:sz w:val="21"/>
          <w:szCs w:val="21"/>
        </w:rPr>
      </w:pPr>
      <w:r>
        <w:rPr>
          <w:rFonts w:hint="eastAsia"/>
          <w:sz w:val="21"/>
          <w:szCs w:val="21"/>
        </w:rPr>
        <w:t>2008至2019年间联邦最高法院在Stoneridge、Janus、Lorenzo三案中沿因果严格化、终极权威收紧、传播者责任部分回调的轨迹形成主要责任范围的精细演进，该轨迹与下级法院三标准之争形成正反两条线索，共同显示美国法在主要责任与次级责任的边界上呈现钟摆式调整。</w:t>
      </w:r>
    </w:p>
    <w:p w14:paraId="34072451">
      <w:pPr>
        <w:pStyle w:val="3"/>
        <w:widowControl w:val="0"/>
        <w:spacing w:after="0"/>
        <w:rPr>
          <w:sz w:val="21"/>
          <w:szCs w:val="21"/>
        </w:rPr>
      </w:pPr>
      <w:r>
        <w:rPr>
          <w:rFonts w:hint="eastAsia"/>
          <w:sz w:val="21"/>
          <w:szCs w:val="21"/>
        </w:rPr>
        <w:t>因果严格化的方向以Stoneridge 案为代表。该案原告以发行人之外的供应商为被告，主张该等供应商通过非正常商业交易帮助发行人虚增收入。法院认为，在10b-5规则下，被告的欺诈行为必须与原告的损失之间存在因果联系，但本案被告的商业交易行为与公司的虚假陈述的因果关系太为遥远。</w:t>
      </w:r>
      <w:r>
        <w:rPr>
          <w:rStyle w:val="16"/>
          <w:sz w:val="21"/>
          <w:szCs w:val="21"/>
        </w:rPr>
        <w:footnoteReference w:id="32"/>
      </w:r>
      <w:r>
        <w:rPr>
          <w:rFonts w:hint="eastAsia"/>
          <w:sz w:val="21"/>
          <w:szCs w:val="21"/>
        </w:rPr>
        <w:t>学界就该判决提出多重批评意见。有学者认为该判决向市场发出错误信号，即只要精心设计使自己不直接向投资者发表声明，便可参与欺诈而免受民事责任，由此制造道德风险并系统性侵蚀证券市场的诚信</w:t>
      </w:r>
      <w:r>
        <w:rPr>
          <w:rStyle w:val="16"/>
          <w:sz w:val="21"/>
          <w:szCs w:val="21"/>
        </w:rPr>
        <w:footnoteReference w:id="33"/>
      </w:r>
      <w:r>
        <w:rPr>
          <w:rFonts w:hint="eastAsia"/>
          <w:sz w:val="21"/>
          <w:szCs w:val="21"/>
        </w:rPr>
        <w:t>，在教义层面构成对Central Bank案的误用甚至滥用</w:t>
      </w:r>
      <w:r>
        <w:rPr>
          <w:rStyle w:val="16"/>
          <w:sz w:val="21"/>
          <w:szCs w:val="21"/>
        </w:rPr>
        <w:footnoteReference w:id="34"/>
      </w:r>
      <w:r>
        <w:rPr>
          <w:rFonts w:hint="eastAsia"/>
          <w:sz w:val="21"/>
          <w:szCs w:val="21"/>
        </w:rPr>
        <w:t>。亦有学者认为，信赖要件在欺诈市场理论下并不要求投资者对特定欺诈行为本身有所认知，而只需对受污染的市场价格有所信赖即可</w:t>
      </w:r>
      <w:r>
        <w:rPr>
          <w:rStyle w:val="16"/>
          <w:sz w:val="21"/>
          <w:szCs w:val="21"/>
        </w:rPr>
        <w:footnoteReference w:id="35"/>
      </w:r>
      <w:r>
        <w:rPr>
          <w:rFonts w:hint="eastAsia"/>
          <w:sz w:val="21"/>
          <w:szCs w:val="21"/>
        </w:rPr>
        <w:t>。</w:t>
      </w:r>
    </w:p>
    <w:p w14:paraId="52BB5D0E">
      <w:pPr>
        <w:pStyle w:val="3"/>
        <w:widowControl w:val="0"/>
        <w:spacing w:after="0"/>
        <w:rPr>
          <w:sz w:val="21"/>
          <w:szCs w:val="21"/>
        </w:rPr>
      </w:pPr>
      <w:r>
        <w:rPr>
          <w:rFonts w:hint="eastAsia"/>
          <w:sz w:val="21"/>
          <w:szCs w:val="21"/>
        </w:rPr>
        <w:t>终极权威收紧的方向以Janus 案为代表。该案中，一家投资顾问机构为其关联基金起草具有误导性的招股说明书，原告主张该机构虽非形式上的陈述作出者但对招股说明书内容具有实质性影响，应视为做出该陈述的人。联邦最高法院以5比4的多数裁定，惟有对陈述内容拥有终局权力的人方为做出陈述之人，投资顾问机构因不享有终局权力而不承担责任。</w:t>
      </w:r>
      <w:r>
        <w:rPr>
          <w:rStyle w:val="16"/>
          <w:sz w:val="21"/>
          <w:szCs w:val="21"/>
        </w:rPr>
        <w:footnoteReference w:id="36"/>
      </w:r>
      <w:r>
        <w:rPr>
          <w:rFonts w:hint="eastAsia"/>
          <w:sz w:val="21"/>
          <w:szCs w:val="21"/>
        </w:rPr>
        <w:t>Janus案在10b-5(b)</w:t>
      </w:r>
      <w:r>
        <w:rPr>
          <w:rFonts w:hint="eastAsia"/>
          <w:sz w:val="21"/>
          <w:szCs w:val="21"/>
          <w:lang w:val="en-US" w:eastAsia="zh-CN"/>
        </w:rPr>
        <w:t>规则</w:t>
      </w:r>
      <w:r>
        <w:rPr>
          <w:rFonts w:hint="eastAsia"/>
          <w:sz w:val="21"/>
          <w:szCs w:val="21"/>
        </w:rPr>
        <w:t>项下进一步收紧作出陈述者的范围，使深度参与陈述创作但形式上不掌握终局权力的次级行为人难以通过该条款被追责</w:t>
      </w:r>
      <w:r>
        <w:rPr>
          <w:rStyle w:val="16"/>
          <w:sz w:val="21"/>
          <w:szCs w:val="21"/>
        </w:rPr>
        <w:footnoteReference w:id="37"/>
      </w:r>
      <w:r>
        <w:rPr>
          <w:rFonts w:hint="eastAsia"/>
          <w:sz w:val="21"/>
          <w:szCs w:val="21"/>
        </w:rPr>
        <w:t>，由此在主要责任入口上形成一个显著漏洞</w:t>
      </w:r>
      <w:r>
        <w:rPr>
          <w:rStyle w:val="16"/>
          <w:sz w:val="21"/>
          <w:szCs w:val="21"/>
        </w:rPr>
        <w:footnoteReference w:id="38"/>
      </w:r>
      <w:r>
        <w:rPr>
          <w:rFonts w:hint="eastAsia"/>
          <w:sz w:val="21"/>
          <w:szCs w:val="21"/>
        </w:rPr>
        <w:t>。</w:t>
      </w:r>
    </w:p>
    <w:p w14:paraId="1E6B4B96">
      <w:pPr>
        <w:pStyle w:val="3"/>
        <w:widowControl w:val="0"/>
        <w:spacing w:after="0"/>
        <w:rPr>
          <w:sz w:val="21"/>
          <w:szCs w:val="21"/>
        </w:rPr>
      </w:pPr>
      <w:r>
        <w:rPr>
          <w:rFonts w:hint="eastAsia"/>
          <w:sz w:val="21"/>
          <w:szCs w:val="21"/>
        </w:rPr>
        <w:t>传播者责任部分回调的方向以Lorenzo案为代表。该案对Janus案所确立的限制作出部分回弹。Lorenzo在其上司的指示下，向两位客户发送两封邮件，邮件内容由其上司起草，实质性地歪曲了公司的财务状况。联邦最高法院判决认为，虽然Lorenzo并非邮件内容的最终权威制作者，但以欺诈意图传播虚假或误导性陈述仍可落入 10b-5(a)、(c)款的范围</w:t>
      </w:r>
      <w:r>
        <w:rPr>
          <w:rStyle w:val="16"/>
          <w:sz w:val="21"/>
          <w:szCs w:val="21"/>
        </w:rPr>
        <w:footnoteReference w:id="39"/>
      </w:r>
      <w:r>
        <w:rPr>
          <w:rFonts w:hint="eastAsia"/>
          <w:sz w:val="21"/>
          <w:szCs w:val="21"/>
        </w:rPr>
        <w:t>。由此，传播者被确立为 10b-5(a)、(c)款下的新型首要责任者。Lorenzo案显示出联邦最高法院对深度参与欺诈而恰好回避制作这一形式要件之次级行为人的警惕，并将欺诈意图下的传播行为重新纳入主要责任范畴。</w:t>
      </w:r>
    </w:p>
    <w:p w14:paraId="47DDDAE8">
      <w:pPr>
        <w:pStyle w:val="3"/>
        <w:widowControl w:val="0"/>
        <w:spacing w:after="0"/>
        <w:rPr>
          <w:sz w:val="21"/>
          <w:szCs w:val="21"/>
        </w:rPr>
      </w:pPr>
      <w:r>
        <w:rPr>
          <w:rFonts w:hint="eastAsia"/>
          <w:sz w:val="21"/>
          <w:szCs w:val="21"/>
        </w:rPr>
        <w:t>三案构成的严格化、更严格化与部分回调的轨迹与下级法院的三标准之争形成两条线索。两条线索共同显示，美国法在主要责任与次级责任的边界上始终未能形成稳定坐标，而呈现钟摆式调整的特征。</w:t>
      </w:r>
    </w:p>
    <w:p w14:paraId="056F639C">
      <w:pPr>
        <w:widowControl w:val="0"/>
        <w:spacing w:after="0"/>
        <w:ind w:firstLine="420" w:firstLineChars="200"/>
        <w:outlineLvl w:val="1"/>
        <w:rPr>
          <w:rFonts w:cs="宋体"/>
          <w:b/>
          <w:bCs/>
          <w:kern w:val="2"/>
          <w:sz w:val="21"/>
          <w:szCs w:val="21"/>
        </w:rPr>
      </w:pPr>
      <w:r>
        <w:rPr>
          <w:rFonts w:hint="eastAsia" w:cs="宋体"/>
          <w:b/>
          <w:bCs/>
          <w:kern w:val="2"/>
          <w:sz w:val="21"/>
          <w:szCs w:val="21"/>
        </w:rPr>
        <w:t>（三）美国学说推进的三个改革方向</w:t>
      </w:r>
    </w:p>
    <w:p w14:paraId="6F8A932D">
      <w:pPr>
        <w:widowControl w:val="0"/>
        <w:spacing w:after="0"/>
        <w:ind w:firstLine="420" w:firstLineChars="200"/>
        <w:outlineLvl w:val="2"/>
        <w:rPr>
          <w:rFonts w:cs="宋体"/>
          <w:b/>
          <w:bCs/>
          <w:kern w:val="2"/>
          <w:sz w:val="21"/>
          <w:szCs w:val="21"/>
        </w:rPr>
      </w:pPr>
      <w:r>
        <w:rPr>
          <w:rFonts w:hint="eastAsia" w:cs="宋体"/>
          <w:b/>
          <w:bCs/>
          <w:kern w:val="2"/>
          <w:sz w:val="21"/>
          <w:szCs w:val="21"/>
        </w:rPr>
        <w:t>1、主要责任范围扩张的学理推进</w:t>
      </w:r>
    </w:p>
    <w:p w14:paraId="2ECBD2DA">
      <w:pPr>
        <w:pStyle w:val="17"/>
        <w:widowControl w:val="0"/>
        <w:spacing w:after="0"/>
        <w:rPr>
          <w:sz w:val="21"/>
          <w:szCs w:val="21"/>
        </w:rPr>
      </w:pPr>
      <w:r>
        <w:rPr>
          <w:rFonts w:hint="eastAsia"/>
          <w:sz w:val="21"/>
          <w:szCs w:val="21"/>
        </w:rPr>
        <w:t>合作原则与暗示性陈述理论在方法论上具有共同方向，二者均试图在主要责任的形式归属框架内为深度参与的次级行为人重建归责入口，共同方法论是从形式判断转向实质判断。</w:t>
      </w:r>
    </w:p>
    <w:p w14:paraId="7F9857F0">
      <w:pPr>
        <w:pStyle w:val="3"/>
        <w:widowControl w:val="0"/>
        <w:spacing w:after="0"/>
        <w:rPr>
          <w:sz w:val="21"/>
          <w:szCs w:val="21"/>
        </w:rPr>
      </w:pPr>
      <w:r>
        <w:rPr>
          <w:rFonts w:hint="eastAsia"/>
          <w:sz w:val="21"/>
          <w:szCs w:val="21"/>
        </w:rPr>
        <w:t>合作原则借鉴道德哲学中发展数百年的“与恶合作”（cooperation with evil）分析框架</w:t>
      </w:r>
      <w:r>
        <w:rPr>
          <w:rStyle w:val="16"/>
          <w:sz w:val="21"/>
          <w:szCs w:val="21"/>
        </w:rPr>
        <w:footnoteReference w:id="40"/>
      </w:r>
      <w:r>
        <w:rPr>
          <w:rFonts w:hint="eastAsia"/>
          <w:sz w:val="21"/>
          <w:szCs w:val="21"/>
        </w:rPr>
        <w:t>，区分形式合作与实质合作两种类型，前者指合作者与主要违法者具有相同的不法意图，后者指合作者不具相同不法意图但仍从事了促进不法活动的行为。形式合作对应共谋，认为具有促进证券欺诈特定意图的被告，哪怕本身无辜，只要结合任何有助于违法行为的举动，即可视为存在共谋协议的证据，从而在其他共谋者实施欺诈行为后作为10b-5</w:t>
      </w:r>
      <w:r>
        <w:rPr>
          <w:rFonts w:hint="eastAsia"/>
          <w:sz w:val="21"/>
          <w:szCs w:val="21"/>
          <w:lang w:val="en-US" w:eastAsia="zh-CN"/>
        </w:rPr>
        <w:t>规则</w:t>
      </w:r>
      <w:r>
        <w:rPr>
          <w:rFonts w:hint="eastAsia"/>
          <w:sz w:val="21"/>
          <w:szCs w:val="21"/>
        </w:rPr>
        <w:t>项下的主要违法者承担责任，与直接主要责任相对应。实质合作则对应创设者标准，认为单纯起草虚假陈述本身并不直接违反10b-5</w:t>
      </w:r>
      <w:r>
        <w:rPr>
          <w:rFonts w:hint="eastAsia"/>
          <w:sz w:val="21"/>
          <w:szCs w:val="21"/>
          <w:lang w:val="en-US" w:eastAsia="zh-CN"/>
        </w:rPr>
        <w:t>规则</w:t>
      </w:r>
      <w:r>
        <w:rPr>
          <w:rFonts w:hint="eastAsia"/>
          <w:sz w:val="21"/>
          <w:szCs w:val="21"/>
        </w:rPr>
        <w:t>，惟当起草行为与随后的发布相结合，再加上主观上的意图、明知或鲁莽，则起草者的行为已与主要违法者的不法活动直接且明知地交织在一起，构成道德哲学中的直接实质合作。</w:t>
      </w:r>
    </w:p>
    <w:p w14:paraId="7D2A894E">
      <w:pPr>
        <w:pStyle w:val="3"/>
        <w:widowControl w:val="0"/>
        <w:spacing w:after="0"/>
        <w:rPr>
          <w:sz w:val="21"/>
          <w:szCs w:val="21"/>
        </w:rPr>
      </w:pPr>
      <w:r>
        <w:rPr>
          <w:rFonts w:hint="eastAsia"/>
          <w:sz w:val="21"/>
          <w:szCs w:val="21"/>
        </w:rPr>
        <w:t>暗示性陈述理论（implied statement theory）则针对明线标准下存在的署名规避漏洞，主张借由该理论化解明确归属规则下的原告困境，使深度参与欺诈但未在书面陈述上公开署名的附带行为人无从依靠规避署名而逃脱私人责任。</w:t>
      </w:r>
      <w:r>
        <w:rPr>
          <w:rStyle w:val="16"/>
          <w:sz w:val="21"/>
          <w:szCs w:val="21"/>
        </w:rPr>
        <w:footnoteReference w:id="41"/>
      </w:r>
      <w:r>
        <w:rPr>
          <w:rFonts w:hint="eastAsia"/>
          <w:sz w:val="21"/>
          <w:szCs w:val="21"/>
        </w:rPr>
        <w:t>其核心主张为将暗示性陈述理论纳入明确归属规则之中，使附带行为人在其公开且广泛参与第三方陈述的创作或分发，且此种参与足以令投资者合理感知其在担保陈述内容真实性的情形下，被认定为独立作出了陈述，进而可能在私人10b-5(b)诉讼中承担首要责任</w:t>
      </w:r>
      <w:r>
        <w:rPr>
          <w:rStyle w:val="16"/>
          <w:sz w:val="21"/>
          <w:szCs w:val="21"/>
        </w:rPr>
        <w:footnoteReference w:id="42"/>
      </w:r>
      <w:r>
        <w:rPr>
          <w:rFonts w:hint="eastAsia"/>
          <w:sz w:val="21"/>
          <w:szCs w:val="21"/>
        </w:rPr>
        <w:t>。暗示性陈述理论并未抛弃明线标准的归属逻辑，而将归属的判断从形式署名扩展至公开参与的客观可感知性，由此调和了明线标准的形式确定性与实质性参与标准的实质保护性。</w:t>
      </w:r>
    </w:p>
    <w:p w14:paraId="6A3BE410">
      <w:pPr>
        <w:pStyle w:val="3"/>
        <w:widowControl w:val="0"/>
        <w:spacing w:after="0"/>
        <w:rPr>
          <w:sz w:val="21"/>
          <w:szCs w:val="21"/>
        </w:rPr>
      </w:pPr>
      <w:r>
        <w:rPr>
          <w:rFonts w:hint="eastAsia"/>
          <w:sz w:val="21"/>
          <w:szCs w:val="21"/>
        </w:rPr>
        <w:t>两种学说的共同方法论在于将归属判断从形式署名扩展至实质参与，二者共同为主要责任范围的扩张提供了学理通道。其方法论意义不止于具体规则的修补，更在于呈现美国学说就主要责任范围所共同发展出的实质判断进路。</w:t>
      </w:r>
    </w:p>
    <w:p w14:paraId="42D7F837">
      <w:pPr>
        <w:widowControl w:val="0"/>
        <w:spacing w:after="0"/>
        <w:ind w:firstLine="420" w:firstLineChars="200"/>
        <w:outlineLvl w:val="2"/>
        <w:rPr>
          <w:rFonts w:cs="宋体"/>
          <w:b/>
          <w:bCs/>
          <w:kern w:val="2"/>
          <w:sz w:val="21"/>
          <w:szCs w:val="21"/>
        </w:rPr>
      </w:pPr>
      <w:r>
        <w:rPr>
          <w:rFonts w:hint="eastAsia" w:cs="宋体"/>
          <w:b/>
          <w:bCs/>
          <w:kern w:val="2"/>
          <w:sz w:val="21"/>
          <w:szCs w:val="21"/>
        </w:rPr>
        <w:t>2、协助教唆责任独立化的复活主张</w:t>
      </w:r>
    </w:p>
    <w:p w14:paraId="577CBEF0">
      <w:pPr>
        <w:pStyle w:val="17"/>
        <w:widowControl w:val="0"/>
        <w:spacing w:after="0"/>
        <w:rPr>
          <w:sz w:val="21"/>
          <w:szCs w:val="21"/>
        </w:rPr>
      </w:pPr>
      <w:r>
        <w:rPr>
          <w:rFonts w:hint="eastAsia"/>
          <w:sz w:val="21"/>
          <w:szCs w:val="21"/>
        </w:rPr>
        <w:t>修复Central Bank案对协助、教唆责任的废止所造成的私人诉讼工具缺失，需要承认协助教唆责任具有独立于民事共谋的法理价值。</w:t>
      </w:r>
    </w:p>
    <w:p w14:paraId="0D93011E">
      <w:pPr>
        <w:pStyle w:val="3"/>
        <w:widowControl w:val="0"/>
        <w:spacing w:after="0"/>
        <w:rPr>
          <w:sz w:val="21"/>
          <w:szCs w:val="21"/>
        </w:rPr>
      </w:pPr>
      <w:r>
        <w:rPr>
          <w:rFonts w:hint="eastAsia"/>
          <w:sz w:val="21"/>
          <w:szCs w:val="21"/>
        </w:rPr>
        <w:t>有学者主张民事协助与教唆责任具有独立于民事共谋的法理价值</w:t>
      </w:r>
      <w:r>
        <w:rPr>
          <w:rStyle w:val="16"/>
          <w:sz w:val="21"/>
          <w:szCs w:val="21"/>
        </w:rPr>
        <w:footnoteReference w:id="43"/>
      </w:r>
      <w:r>
        <w:rPr>
          <w:rFonts w:hint="eastAsia"/>
          <w:sz w:val="21"/>
          <w:szCs w:val="21"/>
        </w:rPr>
        <w:t>。民事共谋以协议为基础，行为人因存在共同从事不法行为的约定而承担连带责任，共谋的既证可使次要被告对与协议关联但本人并未实质参与的行为承担责任。协助与教唆则以实质协助为基础，行为人无须与正犯有任何约定，惟须知悉侵权行为并提供实质协助即承担责任。</w:t>
      </w:r>
      <w:r>
        <w:rPr>
          <w:rStyle w:val="16"/>
          <w:sz w:val="21"/>
          <w:szCs w:val="21"/>
        </w:rPr>
        <w:footnoteReference w:id="44"/>
      </w:r>
      <w:r>
        <w:rPr>
          <w:rFonts w:hint="eastAsia"/>
          <w:sz w:val="21"/>
          <w:szCs w:val="21"/>
        </w:rPr>
        <w:t>民事协助与教唆的独特价值在于其责任基础并不建立于义务之上，而建立于对基础侵权行为之明知与对该行为之实质协助之上。Wells Fargo Bank v. Ariz. Laborers, Teamsters案的法院明确表述，协助与教唆责任不需要存在一项预先存在的注意义务，亦不创设这样一项义务。</w:t>
      </w:r>
      <w:r>
        <w:rPr>
          <w:rStyle w:val="16"/>
          <w:sz w:val="21"/>
          <w:szCs w:val="21"/>
        </w:rPr>
        <w:footnoteReference w:id="45"/>
      </w:r>
    </w:p>
    <w:p w14:paraId="08E45001">
      <w:pPr>
        <w:pStyle w:val="3"/>
        <w:widowControl w:val="0"/>
        <w:spacing w:after="0"/>
        <w:rPr>
          <w:sz w:val="21"/>
          <w:szCs w:val="21"/>
        </w:rPr>
      </w:pPr>
      <w:r>
        <w:rPr>
          <w:rFonts w:hint="eastAsia"/>
          <w:sz w:val="21"/>
          <w:szCs w:val="21"/>
        </w:rPr>
        <w:t>就此项主张所衍生的立法建议而言，学者认为国会应当通过立法授权私人原告就证券欺诈的帮助与教唆行为提起诉讼</w:t>
      </w:r>
      <w:r>
        <w:rPr>
          <w:rStyle w:val="16"/>
          <w:sz w:val="21"/>
          <w:szCs w:val="21"/>
        </w:rPr>
        <w:footnoteReference w:id="46"/>
      </w:r>
      <w:r>
        <w:rPr>
          <w:rFonts w:hint="eastAsia"/>
          <w:sz w:val="21"/>
          <w:szCs w:val="21"/>
        </w:rPr>
        <w:t>。该建议在制度层面意在重新打开因Central Bank案而关闭的私人诉讼通道，由此使协助教唆责任的独立规范价值获得法定承认。</w:t>
      </w:r>
    </w:p>
    <w:p w14:paraId="697DF332">
      <w:pPr>
        <w:widowControl w:val="0"/>
        <w:spacing w:after="0"/>
        <w:ind w:firstLine="420" w:firstLineChars="200"/>
        <w:outlineLvl w:val="2"/>
        <w:rPr>
          <w:rFonts w:cs="宋体"/>
          <w:b/>
          <w:bCs/>
          <w:kern w:val="2"/>
          <w:sz w:val="21"/>
          <w:szCs w:val="21"/>
        </w:rPr>
      </w:pPr>
      <w:r>
        <w:rPr>
          <w:rFonts w:hint="eastAsia" w:cs="宋体"/>
          <w:b/>
          <w:bCs/>
          <w:kern w:val="2"/>
          <w:sz w:val="21"/>
          <w:szCs w:val="21"/>
        </w:rPr>
        <w:t>3、明知与因果调节机制的精细化</w:t>
      </w:r>
    </w:p>
    <w:p w14:paraId="6EF327E5">
      <w:pPr>
        <w:pStyle w:val="17"/>
        <w:widowControl w:val="0"/>
        <w:spacing w:after="0"/>
        <w:rPr>
          <w:sz w:val="21"/>
          <w:szCs w:val="21"/>
        </w:rPr>
      </w:pPr>
      <w:r>
        <w:rPr>
          <w:rFonts w:hint="eastAsia"/>
          <w:sz w:val="21"/>
          <w:szCs w:val="21"/>
        </w:rPr>
        <w:t>滑动标尺法与两步因果效应测试法在方法论上具有共同方向，二者均试图通过明知要件或因果要件的精细化调节为不同案型保留差异化的归责通道。</w:t>
      </w:r>
    </w:p>
    <w:p w14:paraId="20499350">
      <w:pPr>
        <w:pStyle w:val="3"/>
        <w:widowControl w:val="0"/>
        <w:spacing w:after="0"/>
        <w:rPr>
          <w:sz w:val="21"/>
          <w:szCs w:val="21"/>
        </w:rPr>
      </w:pPr>
      <w:r>
        <w:rPr>
          <w:rFonts w:hint="eastAsia"/>
          <w:sz w:val="21"/>
          <w:szCs w:val="21"/>
        </w:rPr>
        <w:t>滑动标尺法由Woodward v. Metro Bank一案发展而来，主张依协助的数量与类型动态调整所需的知情程度</w:t>
      </w:r>
      <w:r>
        <w:rPr>
          <w:rStyle w:val="16"/>
          <w:sz w:val="21"/>
          <w:szCs w:val="21"/>
        </w:rPr>
        <w:footnoteReference w:id="47"/>
      </w:r>
      <w:r>
        <w:rPr>
          <w:rFonts w:hint="eastAsia"/>
          <w:sz w:val="21"/>
          <w:szCs w:val="21"/>
        </w:rPr>
        <w:t>。当协助关系较为疏远、交易并非表面呈现为证券交易或交易属例行事务时，需证明更强的知情程度；当协助关系紧密、交易明显涉及证券或交易显著偏离常规商业逻辑，则知情程度的证明标准相对宽松</w:t>
      </w:r>
      <w:r>
        <w:rPr>
          <w:rStyle w:val="16"/>
          <w:sz w:val="21"/>
          <w:szCs w:val="21"/>
        </w:rPr>
        <w:footnoteReference w:id="48"/>
      </w:r>
      <w:r>
        <w:rPr>
          <w:rFonts w:hint="eastAsia"/>
          <w:sz w:val="21"/>
          <w:szCs w:val="21"/>
        </w:rPr>
        <w:t>。滑动标尺法以协助行为的客观特征与主观要件之间的反比关系作为调节手段，为不同类型的次级行为人提供了差异化的归责通道，其方法论价值在于承认明知与协助行为本身在证据结构上具有可替代性，从而在维持严格主观要件的同时为不同案型保留了灵活性。</w:t>
      </w:r>
    </w:p>
    <w:p w14:paraId="2EE39CB0">
      <w:pPr>
        <w:pStyle w:val="3"/>
        <w:widowControl w:val="0"/>
        <w:spacing w:after="0"/>
        <w:rPr>
          <w:sz w:val="21"/>
          <w:szCs w:val="21"/>
        </w:rPr>
      </w:pPr>
      <w:r>
        <w:rPr>
          <w:rFonts w:hint="eastAsia"/>
          <w:sz w:val="21"/>
          <w:szCs w:val="21"/>
        </w:rPr>
        <w:t>两步因果效应测试法则在Stoneridge案后由部分学者提出，以重新激活对次级行为人的私人诉讼</w:t>
      </w:r>
      <w:r>
        <w:rPr>
          <w:rStyle w:val="16"/>
          <w:sz w:val="21"/>
          <w:szCs w:val="21"/>
        </w:rPr>
        <w:footnoteReference w:id="49"/>
      </w:r>
      <w:r>
        <w:rPr>
          <w:rFonts w:hint="eastAsia"/>
          <w:sz w:val="21"/>
          <w:szCs w:val="21"/>
        </w:rPr>
        <w:t>。该测试第一步考察次级行为人是否实施了超越单纯起草文件的故意行为，亦即是否实施了超越单纯起草、为使主要行为人作出材料性公开虚假陈述所必要或不可避免的故意行为，可能构成文件起草之外的积极步骤的行为类型，包括鼓励主要行为人发布虚假陈述、协助主要行为人将虚假陈述发布流程制度化、促成虚假陈述的其他方式以及对客户施加作出虚假陈述的压力。第二步考察次级行为人是否因其在欺诈中的积极参与而获得了实质性利益。该测试以行为面的超越起草与利益面的实质获益为双重锚点，在Stoneridge案严格因果关系框架内为深度参与的次级行为人重新打开主要责任的入口。</w:t>
      </w:r>
    </w:p>
    <w:p w14:paraId="288E67F0">
      <w:pPr>
        <w:pStyle w:val="3"/>
        <w:widowControl w:val="0"/>
        <w:spacing w:after="0"/>
        <w:rPr>
          <w:sz w:val="21"/>
          <w:szCs w:val="21"/>
        </w:rPr>
      </w:pPr>
      <w:r>
        <w:rPr>
          <w:rFonts w:hint="eastAsia"/>
          <w:sz w:val="21"/>
          <w:szCs w:val="21"/>
        </w:rPr>
        <w:t>两种方法论工具的共同方向是为不同案型保留差异化的归责通道，通过对单一要件的精细化调节实现对责任规则严格化趋势的局部回应。其与前述责任范围扩张方向构成两条互补的精细化进路，前者从责任范围层面扩展归责入口，后者从要件强度层面调节归责门槛。</w:t>
      </w:r>
    </w:p>
    <w:p w14:paraId="7082A084">
      <w:pPr>
        <w:widowControl w:val="0"/>
        <w:spacing w:after="0"/>
        <w:ind w:firstLine="420" w:firstLineChars="200"/>
        <w:outlineLvl w:val="1"/>
        <w:rPr>
          <w:rFonts w:cs="宋体"/>
          <w:b/>
          <w:bCs/>
          <w:kern w:val="2"/>
          <w:sz w:val="21"/>
          <w:szCs w:val="21"/>
        </w:rPr>
      </w:pPr>
      <w:r>
        <w:rPr>
          <w:rFonts w:hint="eastAsia" w:cs="宋体"/>
          <w:b/>
          <w:bCs/>
          <w:kern w:val="2"/>
          <w:sz w:val="21"/>
          <w:szCs w:val="21"/>
        </w:rPr>
        <w:t>（四）比较法经验的本土化转化</w:t>
      </w:r>
    </w:p>
    <w:p w14:paraId="09C290E7">
      <w:pPr>
        <w:pStyle w:val="17"/>
        <w:widowControl w:val="0"/>
        <w:spacing w:after="0"/>
        <w:rPr>
          <w:sz w:val="21"/>
          <w:szCs w:val="21"/>
        </w:rPr>
      </w:pPr>
      <w:r>
        <w:rPr>
          <w:rFonts w:hint="eastAsia"/>
          <w:sz w:val="21"/>
          <w:szCs w:val="21"/>
        </w:rPr>
        <w:t>美国判例与学说的演进虽出于美国法独有的制度背景，但其暴露的标准混乱与提示的精细化思路对我国二阶模型具有方法论支撑价值，该价值可归纳为三个本土化方向。</w:t>
      </w:r>
    </w:p>
    <w:p w14:paraId="1C288862">
      <w:pPr>
        <w:pStyle w:val="3"/>
        <w:widowControl w:val="0"/>
        <w:spacing w:after="0"/>
        <w:rPr>
          <w:sz w:val="21"/>
          <w:szCs w:val="21"/>
        </w:rPr>
      </w:pPr>
      <w:r>
        <w:rPr>
          <w:rFonts w:hint="eastAsia"/>
          <w:sz w:val="21"/>
          <w:szCs w:val="21"/>
        </w:rPr>
        <w:t>第一是帮助行为的类型化处理，区分共谋型、深度参与型、辅助传播型等不同形态，避免以单一标准统一涵摄。该启示直接来自前述</w:t>
      </w:r>
      <w:r>
        <w:rPr>
          <w:rFonts w:hint="eastAsia"/>
          <w:sz w:val="21"/>
          <w:szCs w:val="21"/>
          <w:lang w:val="en-US" w:eastAsia="zh-CN"/>
        </w:rPr>
        <w:t>美国</w:t>
      </w:r>
      <w:r>
        <w:rPr>
          <w:rFonts w:hint="eastAsia"/>
          <w:sz w:val="21"/>
          <w:szCs w:val="21"/>
        </w:rPr>
        <w:t>协助教唆责任三要件长期混用所暴露的标准混乱教训，亦来自</w:t>
      </w:r>
      <w:r>
        <w:rPr>
          <w:rFonts w:hint="eastAsia"/>
          <w:sz w:val="21"/>
          <w:szCs w:val="21"/>
          <w:lang w:val="en-US" w:eastAsia="zh-CN"/>
        </w:rPr>
        <w:t>美国</w:t>
      </w:r>
      <w:r>
        <w:rPr>
          <w:rFonts w:hint="eastAsia"/>
          <w:sz w:val="21"/>
          <w:szCs w:val="21"/>
        </w:rPr>
        <w:t>下级法院在明线、实质参与、创设者三种标准之间的取舍困境。这两组教训共同显示，若不在判断之初对帮助行为作出类型区分，单一标准便难以同时覆盖形式确定性与实质保护性两项目标，由此使后续判断陷入坐标错位的状态。</w:t>
      </w:r>
    </w:p>
    <w:p w14:paraId="4993FE3B">
      <w:pPr>
        <w:pStyle w:val="3"/>
        <w:widowControl w:val="0"/>
        <w:spacing w:after="0"/>
        <w:rPr>
          <w:sz w:val="21"/>
          <w:szCs w:val="21"/>
        </w:rPr>
      </w:pPr>
      <w:r>
        <w:rPr>
          <w:rFonts w:hint="eastAsia"/>
          <w:sz w:val="21"/>
          <w:szCs w:val="21"/>
        </w:rPr>
        <w:t>第二是明知强度与协助行为客观特征的联动判断，将主观要素的认定与外观证据的强度结合考量。该启示主要来自前述滑动标尺法的方法论价值。滑动标尺法揭示出，明知要件并非孤立于客观协助行为之外的独立要件，二者在证据结构上具有相互替代与相互补强的内在关系，由此为案件类型的差异化处理提供了主观与客观联动的判断工具。</w:t>
      </w:r>
    </w:p>
    <w:p w14:paraId="0B46733D">
      <w:pPr>
        <w:pStyle w:val="3"/>
        <w:widowControl w:val="0"/>
        <w:spacing w:after="0"/>
        <w:rPr>
          <w:sz w:val="21"/>
          <w:szCs w:val="21"/>
        </w:rPr>
      </w:pPr>
      <w:r>
        <w:rPr>
          <w:rFonts w:hint="eastAsia"/>
          <w:sz w:val="21"/>
          <w:szCs w:val="21"/>
        </w:rPr>
        <w:t>第三是因果原因力的可操作化运用，将原因力作为责任形态配置的核心调节器，使责任形态与责任范围的确定具备可操作的依据。该启示来自两组反向与正向的方法论资源。反向资源来自</w:t>
      </w:r>
      <w:r>
        <w:rPr>
          <w:rFonts w:hint="eastAsia"/>
          <w:sz w:val="21"/>
          <w:szCs w:val="21"/>
          <w:lang w:val="en-US" w:eastAsia="zh-CN"/>
        </w:rPr>
        <w:t>前述</w:t>
      </w:r>
      <w:r>
        <w:rPr>
          <w:rFonts w:hint="eastAsia"/>
          <w:sz w:val="21"/>
          <w:szCs w:val="21"/>
        </w:rPr>
        <w:t>Stoneridge案对因果关系的过度严格化所形成的责任真空，揭示出仅以“太遥远”作为单一切断坐标无法回应复杂案型的归责需求。正向资源来自两步因果效应测试法所提出的因果再校准方案，以“超越起草的故意行为”与“实质获益”为双重锚点重新打开主要责任入口。两组资源共同表明，因果原因力在归责构造中具有调节器功能，可以在严格化与放任化之间寻找中间通道。</w:t>
      </w:r>
    </w:p>
    <w:p w14:paraId="73D515A8">
      <w:pPr>
        <w:pStyle w:val="3"/>
        <w:widowControl w:val="0"/>
        <w:spacing w:after="0"/>
        <w:rPr>
          <w:sz w:val="21"/>
          <w:szCs w:val="21"/>
        </w:rPr>
      </w:pPr>
      <w:r>
        <w:rPr>
          <w:rFonts w:hint="eastAsia"/>
          <w:sz w:val="21"/>
          <w:szCs w:val="21"/>
        </w:rPr>
        <w:t>三个本土化方向恰构成下章二阶模型的方法论支撑。类型化处理对应责任成立阶段的四要素审查，主客观联动对应过错程度与原因力大小的组合判断，原因力调节则对应四档梯度结构的核心轴线。下章据此展开二阶模型的功能与结构，并依次给出责任成立四要素、责任形态配置四项变量与四档梯度。</w:t>
      </w:r>
    </w:p>
    <w:p w14:paraId="2ED61D1F">
      <w:pPr>
        <w:pStyle w:val="3"/>
        <w:widowControl w:val="0"/>
        <w:spacing w:after="0"/>
        <w:rPr>
          <w:rFonts w:hint="eastAsia"/>
          <w:sz w:val="21"/>
          <w:szCs w:val="21"/>
        </w:rPr>
      </w:pPr>
    </w:p>
    <w:p w14:paraId="7750DA24">
      <w:pPr>
        <w:widowControl w:val="0"/>
        <w:spacing w:after="0"/>
        <w:ind w:firstLine="0"/>
        <w:jc w:val="center"/>
        <w:outlineLvl w:val="0"/>
        <w:rPr>
          <w:rFonts w:ascii="黑体" w:hAnsi="黑体" w:eastAsia="黑体" w:cstheme="minorBidi"/>
          <w:b/>
          <w:bCs/>
          <w:kern w:val="2"/>
          <w:sz w:val="28"/>
          <w:szCs w:val="28"/>
        </w:rPr>
      </w:pPr>
      <w:r>
        <w:rPr>
          <w:rFonts w:hint="eastAsia" w:ascii="黑体" w:hAnsi="黑体" w:eastAsia="黑体" w:cstheme="minorBidi"/>
          <w:b/>
          <w:bCs/>
          <w:kern w:val="2"/>
          <w:sz w:val="28"/>
          <w:szCs w:val="28"/>
        </w:rPr>
        <w:t>四、责任成立与责任形态配置的二阶模型</w:t>
      </w:r>
    </w:p>
    <w:p w14:paraId="73CD8359">
      <w:pPr>
        <w:pStyle w:val="17"/>
        <w:widowControl w:val="0"/>
        <w:spacing w:after="0"/>
        <w:rPr>
          <w:sz w:val="21"/>
          <w:szCs w:val="21"/>
        </w:rPr>
      </w:pPr>
      <w:r>
        <w:rPr>
          <w:rFonts w:hint="eastAsia"/>
          <w:sz w:val="21"/>
          <w:szCs w:val="21"/>
        </w:rPr>
        <w:t>基于上述中外司法实践与学理探索的比较考察，可见我国当前的实践亟需对帮助造假者民事责任的认定作出更为精细的体系化建构。文章据此提出二阶归责模型，以责任成立的类型化审查为第一阶，以责任形态的精细化配置为第二阶，以期实现责任认定的精细化。</w:t>
      </w:r>
    </w:p>
    <w:p w14:paraId="2E34D94E">
      <w:pPr>
        <w:widowControl w:val="0"/>
        <w:spacing w:after="0"/>
        <w:ind w:firstLine="420" w:firstLineChars="200"/>
        <w:outlineLvl w:val="1"/>
        <w:rPr>
          <w:rFonts w:cs="宋体"/>
          <w:b/>
          <w:bCs/>
          <w:kern w:val="2"/>
          <w:sz w:val="21"/>
          <w:szCs w:val="21"/>
        </w:rPr>
      </w:pPr>
      <w:r>
        <w:rPr>
          <w:rFonts w:hint="eastAsia" w:cs="宋体"/>
          <w:b/>
          <w:bCs/>
          <w:kern w:val="2"/>
          <w:sz w:val="21"/>
          <w:szCs w:val="21"/>
        </w:rPr>
        <w:t>（一）二阶模型的功能与结构</w:t>
      </w:r>
    </w:p>
    <w:p w14:paraId="3C81556F">
      <w:pPr>
        <w:pStyle w:val="17"/>
        <w:widowControl w:val="0"/>
        <w:spacing w:after="0"/>
        <w:rPr>
          <w:sz w:val="21"/>
          <w:szCs w:val="21"/>
        </w:rPr>
      </w:pPr>
      <w:r>
        <w:rPr>
          <w:rFonts w:hint="eastAsia"/>
          <w:sz w:val="21"/>
          <w:szCs w:val="21"/>
        </w:rPr>
        <w:t>二阶模型的基本意图在于将帮助造假者责任的判断过程拆解为两个相互独立而又前后衔接的审查阶段。第一阶段为责任成立阶段，回答帮助造假者是否进入证券虚假陈述损害赔偿责任的规范射程。第二阶段为责任形态配置阶段，回答已经成立责任的帮助造假者应当承担何种结构的赔偿义务。</w:t>
      </w:r>
    </w:p>
    <w:p w14:paraId="0EFBE2D1">
      <w:pPr>
        <w:pStyle w:val="3"/>
        <w:widowControl w:val="0"/>
        <w:spacing w:after="0"/>
        <w:rPr>
          <w:sz w:val="21"/>
          <w:szCs w:val="21"/>
        </w:rPr>
      </w:pPr>
      <w:r>
        <w:rPr>
          <w:rFonts w:hint="eastAsia"/>
          <w:sz w:val="21"/>
          <w:szCs w:val="21"/>
        </w:rPr>
        <w:t>二阶分立的规范意义有三</w:t>
      </w:r>
      <w:r>
        <w:rPr>
          <w:rFonts w:hint="eastAsia"/>
          <w:sz w:val="21"/>
          <w:szCs w:val="21"/>
          <w:lang w:eastAsia="zh-CN"/>
        </w:rPr>
        <w:t>：</w:t>
      </w:r>
    </w:p>
    <w:p w14:paraId="4EF4BA3A">
      <w:pPr>
        <w:pStyle w:val="3"/>
        <w:widowControl w:val="0"/>
        <w:spacing w:after="0"/>
        <w:rPr>
          <w:sz w:val="21"/>
          <w:szCs w:val="21"/>
        </w:rPr>
      </w:pPr>
      <w:r>
        <w:rPr>
          <w:rFonts w:hint="eastAsia"/>
          <w:sz w:val="21"/>
          <w:szCs w:val="21"/>
        </w:rPr>
        <w:t>其一，二阶分立可以避免裁判者在多元主体造假结构中径直跳跃到结论。在帮助造假者类型多元、介入程度不一的情形下，若不先行完成责任是否成立的审查，裁判者易于在事实认定阶段直接以参与程度有限或原因力较弱为由否定责任，从而使本属责任形态阶段的程度差异越级取代责任成立阶段的要件审查。</w:t>
      </w:r>
    </w:p>
    <w:p w14:paraId="1E8F04C5">
      <w:pPr>
        <w:pStyle w:val="3"/>
        <w:widowControl w:val="0"/>
        <w:spacing w:after="0"/>
        <w:rPr>
          <w:sz w:val="21"/>
          <w:szCs w:val="21"/>
        </w:rPr>
      </w:pPr>
      <w:r>
        <w:rPr>
          <w:rFonts w:hint="eastAsia"/>
          <w:sz w:val="21"/>
          <w:szCs w:val="21"/>
        </w:rPr>
        <w:t>其二，二阶分立有助于维持各审查要素的功能纯粹性。原因力既是责任成立阶段相当因果关系的判断要素，又是责任形态配置阶段的核心变量。在缺乏二阶区分的情形下，原因力较小常被裁判者用作否定责任成立的理由，由此将本应在责任形态配置阶段处理的程度差异前置到责任成立阶段，造成要素功能的混淆，亦使梯度责任结构在源头被压缩为有责或无责的二元结论。</w:t>
      </w:r>
    </w:p>
    <w:p w14:paraId="69B0BF77">
      <w:pPr>
        <w:pStyle w:val="3"/>
        <w:widowControl w:val="0"/>
        <w:spacing w:after="0"/>
        <w:rPr>
          <w:sz w:val="21"/>
          <w:szCs w:val="21"/>
        </w:rPr>
      </w:pPr>
      <w:r>
        <w:rPr>
          <w:rFonts w:hint="eastAsia"/>
          <w:sz w:val="21"/>
          <w:szCs w:val="21"/>
        </w:rPr>
        <w:t>其三，二阶分立可以为四档责任形态的梯度配置提供制度通道。裁判者依次审查完成责任成立四要素与责任形态配置四项变量后，可以根据过错程度与原因力大小的组合，配以不当利益取得情况与中介机构介入情况的修正，得出从不承担责任到全额连带责任的不同结论，使梯度责任结构由理论概念转化为可操作的判断路径。</w:t>
      </w:r>
    </w:p>
    <w:p w14:paraId="3CAE23E7">
      <w:pPr>
        <w:widowControl w:val="0"/>
        <w:spacing w:after="0"/>
        <w:ind w:firstLine="420" w:firstLineChars="200"/>
        <w:outlineLvl w:val="1"/>
        <w:rPr>
          <w:rFonts w:cs="宋体"/>
          <w:b/>
          <w:bCs/>
          <w:kern w:val="2"/>
          <w:sz w:val="21"/>
          <w:szCs w:val="21"/>
        </w:rPr>
      </w:pPr>
      <w:r>
        <w:rPr>
          <w:rFonts w:hint="eastAsia" w:cs="宋体"/>
          <w:b/>
          <w:bCs/>
          <w:kern w:val="2"/>
          <w:sz w:val="21"/>
          <w:szCs w:val="21"/>
        </w:rPr>
        <w:t>（二）责任成立的四项审查要素</w:t>
      </w:r>
    </w:p>
    <w:p w14:paraId="7FA42F6E">
      <w:pPr>
        <w:pStyle w:val="17"/>
        <w:widowControl w:val="0"/>
        <w:spacing w:after="0"/>
        <w:rPr>
          <w:sz w:val="21"/>
          <w:szCs w:val="21"/>
        </w:rPr>
      </w:pPr>
      <w:r>
        <w:rPr>
          <w:rFonts w:hint="eastAsia"/>
          <w:sz w:val="21"/>
          <w:szCs w:val="21"/>
        </w:rPr>
        <w:t>因素一是基础虚假陈述。帮助造假者的帮助行为，应当指向具体的证券虚假陈述结果，而非抽象的商业交易瑕疵。外部主体出具的合同、发票、对账单、入库单等交易材料即便存在某种程度的瑕疵，若该瑕疵材料没有经过发行人的会计处理、财务汇总并最终反映到招股说明书、年度报告、半年度报告或者其他法定披露文件之中，则不属于基础虚假陈述。</w:t>
      </w:r>
    </w:p>
    <w:p w14:paraId="58BC78FC">
      <w:pPr>
        <w:pStyle w:val="3"/>
        <w:widowControl w:val="0"/>
        <w:spacing w:after="0"/>
        <w:rPr>
          <w:sz w:val="21"/>
          <w:szCs w:val="21"/>
        </w:rPr>
      </w:pPr>
      <w:r>
        <w:rPr>
          <w:rFonts w:hint="eastAsia"/>
          <w:sz w:val="21"/>
          <w:szCs w:val="21"/>
        </w:rPr>
        <w:t>因素二是帮助行为。典型的帮助行为包括为发行人提供虚假合同、虚假发票、虚假回款安排、虚假存款证明、资金通道安排、循环交易安排，以及故意隐瞒重要交易事实等。这些行为的共同特征在于其内容上的虚构性、形式上的辅助性以及目的上的配合性。</w:t>
      </w:r>
    </w:p>
    <w:p w14:paraId="517A3649">
      <w:pPr>
        <w:pStyle w:val="3"/>
        <w:widowControl w:val="0"/>
        <w:spacing w:after="0"/>
        <w:rPr>
          <w:sz w:val="21"/>
          <w:szCs w:val="21"/>
        </w:rPr>
      </w:pPr>
      <w:r>
        <w:rPr>
          <w:rFonts w:hint="eastAsia"/>
          <w:sz w:val="21"/>
          <w:szCs w:val="21"/>
        </w:rPr>
        <w:t>因素三是主观过错。主观过错的判断通常需要借助客观事实推定，包括帮助造假者与发行人之间的业务往来频次、交易异常性、内部审批程序、行业惯例偏离程度等。客观事实推定的功能不在于替代主观要件的证明，而在于为明知这一内在心理状态的认定提供可观察的外部证据。</w:t>
      </w:r>
    </w:p>
    <w:p w14:paraId="58816715">
      <w:pPr>
        <w:pStyle w:val="3"/>
        <w:widowControl w:val="0"/>
        <w:spacing w:after="0"/>
        <w:rPr>
          <w:sz w:val="21"/>
          <w:szCs w:val="21"/>
        </w:rPr>
      </w:pPr>
      <w:r>
        <w:rPr>
          <w:rFonts w:hint="eastAsia"/>
          <w:sz w:val="21"/>
          <w:szCs w:val="21"/>
        </w:rPr>
        <w:t>因素四是相当因果关系。帮助造假者责任的因果关系审查应当遵循三重链条结构。第一重链条考察帮助行为如何进入虚假披露形成过程；第二重链条考察虚假披露如何影响投资者交易判断；第三重链条考察投资者损失为何属于该帮助行为所增加风险的实现，即损害是否在该帮助行为的规范保护范围之内。</w:t>
      </w:r>
    </w:p>
    <w:p w14:paraId="3519E5C0">
      <w:pPr>
        <w:pStyle w:val="3"/>
        <w:widowControl w:val="0"/>
        <w:spacing w:after="0"/>
        <w:rPr>
          <w:sz w:val="21"/>
          <w:szCs w:val="21"/>
        </w:rPr>
      </w:pPr>
      <w:r>
        <w:rPr>
          <w:rFonts w:hint="eastAsia"/>
          <w:sz w:val="21"/>
          <w:szCs w:val="21"/>
        </w:rPr>
        <w:t>经上述四项要素审查确认责任成立后，随之须解决的是责任形态的选择问题，即帮助造假者应承担何种结构的赔偿义务，这构成二阶模型的第二阶审查。</w:t>
      </w:r>
    </w:p>
    <w:p w14:paraId="337260F8">
      <w:pPr>
        <w:widowControl w:val="0"/>
        <w:spacing w:after="0"/>
        <w:ind w:firstLine="420" w:firstLineChars="200"/>
        <w:outlineLvl w:val="1"/>
        <w:rPr>
          <w:rFonts w:cs="宋体"/>
          <w:b/>
          <w:bCs/>
          <w:kern w:val="2"/>
          <w:sz w:val="21"/>
          <w:szCs w:val="21"/>
        </w:rPr>
      </w:pPr>
      <w:r>
        <w:rPr>
          <w:rFonts w:hint="eastAsia" w:cs="宋体"/>
          <w:b/>
          <w:bCs/>
          <w:kern w:val="2"/>
          <w:sz w:val="21"/>
          <w:szCs w:val="21"/>
        </w:rPr>
        <w:t>（三）责任形态配置阶段的评价要素</w:t>
      </w:r>
    </w:p>
    <w:p w14:paraId="45FED1F3">
      <w:pPr>
        <w:widowControl w:val="0"/>
        <w:spacing w:after="0"/>
        <w:ind w:firstLine="420" w:firstLineChars="200"/>
        <w:outlineLvl w:val="2"/>
        <w:rPr>
          <w:rFonts w:cs="宋体"/>
          <w:b/>
          <w:bCs/>
          <w:kern w:val="2"/>
          <w:sz w:val="21"/>
          <w:szCs w:val="21"/>
        </w:rPr>
      </w:pPr>
      <w:r>
        <w:rPr>
          <w:rFonts w:hint="eastAsia" w:cs="宋体"/>
          <w:b/>
          <w:bCs/>
          <w:kern w:val="2"/>
          <w:sz w:val="21"/>
          <w:szCs w:val="21"/>
        </w:rPr>
        <w:t>1、过错程度的层级区分</w:t>
      </w:r>
    </w:p>
    <w:p w14:paraId="5BC93888">
      <w:pPr>
        <w:pStyle w:val="17"/>
        <w:widowControl w:val="0"/>
        <w:spacing w:after="0"/>
        <w:rPr>
          <w:sz w:val="21"/>
          <w:szCs w:val="21"/>
        </w:rPr>
      </w:pPr>
      <w:r>
        <w:rPr>
          <w:rFonts w:hint="eastAsia"/>
          <w:sz w:val="21"/>
          <w:szCs w:val="21"/>
        </w:rPr>
        <w:t>过错程度是责任形态配置阶段的首要考量因素。如果只要被法院认定商业交易情况没有如实反映在发行人的披露材料上，均可能构成虚假陈述帮助造假责任，则任何与上市公司或拟发行上市公司进行诚实商业交易的公司也要时刻担心和检查自己的交易是否被发行人不当利用。因此，对于帮助造假者因为轻过失而没有预见到发行人会利用其帮助行为进行虚假陈述的，原则上不应承担虚假陈述的民事赔偿责任，这可以尽量避免责任范围向普通商业风险无限扩张。</w:t>
      </w:r>
    </w:p>
    <w:p w14:paraId="518AB0C4">
      <w:pPr>
        <w:pStyle w:val="3"/>
        <w:widowControl w:val="0"/>
        <w:spacing w:after="0"/>
        <w:rPr>
          <w:sz w:val="21"/>
          <w:szCs w:val="21"/>
        </w:rPr>
      </w:pPr>
      <w:r>
        <w:rPr>
          <w:rFonts w:hint="eastAsia"/>
          <w:sz w:val="21"/>
          <w:szCs w:val="21"/>
        </w:rPr>
        <w:t>过错程度审查应当对达到明知门槛的主观状态作梯度区分</w:t>
      </w:r>
      <w:r>
        <w:rPr>
          <w:rStyle w:val="16"/>
          <w:sz w:val="21"/>
          <w:szCs w:val="21"/>
        </w:rPr>
        <w:footnoteReference w:id="50"/>
      </w:r>
      <w:r>
        <w:rPr>
          <w:rFonts w:hint="eastAsia"/>
          <w:sz w:val="21"/>
          <w:szCs w:val="21"/>
        </w:rPr>
        <w:t>。实际知悉并主动参与造假安排的行为人处于较高可责难性层级，对应直接故意，因而可以承担较重的责任形态。明知造假风险仍持续配合，或者对发行人造假结果持放任态度的行为人处于中间偏高层级，对应间接故意，其责任形态应当低于直接故意而高于重大过失。具有合理理由知悉相关材料可能被用于披露造假的行为人，可以作为重大过失或者准明知情形进行讨论，其责任形态以按份责任为宜。</w:t>
      </w:r>
      <w:r>
        <w:rPr>
          <w:rStyle w:val="16"/>
          <w:sz w:val="21"/>
          <w:szCs w:val="21"/>
        </w:rPr>
        <w:footnoteReference w:id="51"/>
      </w:r>
    </w:p>
    <w:p w14:paraId="50AC369A">
      <w:pPr>
        <w:widowControl w:val="0"/>
        <w:spacing w:after="0"/>
        <w:ind w:firstLine="420" w:firstLineChars="200"/>
        <w:outlineLvl w:val="2"/>
        <w:rPr>
          <w:rFonts w:cs="宋体"/>
          <w:b/>
          <w:bCs/>
          <w:kern w:val="2"/>
          <w:sz w:val="21"/>
          <w:szCs w:val="21"/>
        </w:rPr>
      </w:pPr>
      <w:r>
        <w:rPr>
          <w:rFonts w:hint="eastAsia" w:cs="宋体"/>
          <w:b/>
          <w:bCs/>
          <w:kern w:val="2"/>
          <w:sz w:val="21"/>
          <w:szCs w:val="21"/>
        </w:rPr>
        <w:t>2、原因力的多维判断与限缩功能</w:t>
      </w:r>
    </w:p>
    <w:p w14:paraId="79B7A542">
      <w:pPr>
        <w:pStyle w:val="17"/>
        <w:widowControl w:val="0"/>
        <w:spacing w:after="0"/>
        <w:rPr>
          <w:sz w:val="21"/>
          <w:szCs w:val="21"/>
        </w:rPr>
      </w:pPr>
      <w:r>
        <w:rPr>
          <w:rFonts w:hint="eastAsia"/>
          <w:sz w:val="21"/>
          <w:szCs w:val="21"/>
        </w:rPr>
        <w:t>原因力是据侵权行为对损害结果的发生所起的作用大小。在过错程度相同的情况下，责任的大小取决于原因力的强弱；在原因力相同的情况下，责任的大小取决于过错的大小。</w:t>
      </w:r>
      <w:r>
        <w:rPr>
          <w:rStyle w:val="16"/>
          <w:sz w:val="21"/>
          <w:szCs w:val="21"/>
        </w:rPr>
        <w:footnoteReference w:id="52"/>
      </w:r>
      <w:r>
        <w:rPr>
          <w:rFonts w:hint="eastAsia"/>
          <w:sz w:val="21"/>
          <w:szCs w:val="21"/>
        </w:rPr>
        <w:t>原因力大小又可根据原因事实与损害结果的距离、原因事实的强度决定等。</w:t>
      </w:r>
      <w:r>
        <w:rPr>
          <w:rStyle w:val="16"/>
          <w:sz w:val="21"/>
          <w:szCs w:val="21"/>
        </w:rPr>
        <w:footnoteReference w:id="53"/>
      </w:r>
    </w:p>
    <w:p w14:paraId="154BC3B9">
      <w:pPr>
        <w:pStyle w:val="3"/>
        <w:widowControl w:val="0"/>
        <w:spacing w:after="0"/>
        <w:rPr>
          <w:sz w:val="21"/>
          <w:szCs w:val="21"/>
        </w:rPr>
      </w:pPr>
      <w:r>
        <w:rPr>
          <w:rFonts w:hint="eastAsia"/>
          <w:sz w:val="21"/>
          <w:szCs w:val="21"/>
        </w:rPr>
        <w:t>在证券虚假陈述帮助造假语境下，原因力大小可以从五个维度衡量，分别对应内容、组织、反事实、介入与设计五重判断。一是内容维度，即帮助材料是否构成核心披露项目的形成依据，直接支撑营业收入、应收账款、货币资金等核心财务项目者原因力较强，仅作为外围辅助信息出现者原因力较弱。二是组织维度，即帮助行为是否具有持续性与组织性，一次性、偶发性的帮助行为通常对应较弱原因力，持续、有计划、有组织的帮助行为则对应较强原因力。三是反事实维度，即欠缺该帮助行为时虚假披露是否仍可形成，无该帮助行为则虚假披露无法形成者原因力较强，仅增加隐蔽性者原因力较弱。四是介入维度，即是否存在其他介入因素，介入因素是否构成重大异常将直接影响在先帮助行为的原因力强度。五是设计维度，即帮助人是否创造性参与欺诈计划的设计，实际设计或主导欺诈装置使其更易成功并规避监测者</w:t>
      </w:r>
      <w:r>
        <w:rPr>
          <w:rStyle w:val="16"/>
          <w:sz w:val="21"/>
          <w:szCs w:val="21"/>
        </w:rPr>
        <w:footnoteReference w:id="54"/>
      </w:r>
      <w:r>
        <w:rPr>
          <w:rFonts w:hint="eastAsia"/>
          <w:sz w:val="21"/>
          <w:szCs w:val="21"/>
        </w:rPr>
        <w:t>，应在前四维度基础上叠加原因力评价。五个维度在结构上具有内容核心性、过程组织性与因果可替代性三重维度的内在统一。</w:t>
      </w:r>
    </w:p>
    <w:p w14:paraId="7AE3D9A5">
      <w:pPr>
        <w:pStyle w:val="3"/>
        <w:widowControl w:val="0"/>
        <w:spacing w:after="0"/>
        <w:rPr>
          <w:sz w:val="21"/>
          <w:szCs w:val="21"/>
        </w:rPr>
      </w:pPr>
      <w:r>
        <w:rPr>
          <w:rFonts w:hint="eastAsia"/>
          <w:sz w:val="21"/>
          <w:szCs w:val="21"/>
        </w:rPr>
        <w:t>原因力的限缩功能源于侵权法的基本原理，即不能将后果发生前的所有行为或事件作为原因，亦不能要求行为人对其行为相关的全部后果负责，过于遥远的损害应当从责任体系中排除</w:t>
      </w:r>
      <w:r>
        <w:rPr>
          <w:rStyle w:val="16"/>
          <w:sz w:val="21"/>
          <w:szCs w:val="21"/>
        </w:rPr>
        <w:footnoteReference w:id="55"/>
      </w:r>
      <w:r>
        <w:rPr>
          <w:rFonts w:hint="eastAsia"/>
          <w:sz w:val="21"/>
          <w:szCs w:val="21"/>
        </w:rPr>
        <w:t>。否则便会出现因果链条无限延伸、行为人对各类远端结果一律负责的不当结论</w:t>
      </w:r>
      <w:r>
        <w:rPr>
          <w:rStyle w:val="16"/>
          <w:sz w:val="21"/>
          <w:szCs w:val="21"/>
        </w:rPr>
        <w:footnoteReference w:id="56"/>
      </w:r>
      <w:r>
        <w:rPr>
          <w:rFonts w:hint="eastAsia"/>
          <w:sz w:val="21"/>
          <w:szCs w:val="21"/>
        </w:rPr>
        <w:t>，证券侵权的责任边界与一般侵权法所确立的近因要求亦将名存实亡。</w:t>
      </w:r>
    </w:p>
    <w:p w14:paraId="1FFD8378">
      <w:pPr>
        <w:pStyle w:val="3"/>
        <w:widowControl w:val="0"/>
        <w:spacing w:after="0"/>
        <w:rPr>
          <w:sz w:val="21"/>
          <w:szCs w:val="21"/>
        </w:rPr>
      </w:pPr>
      <w:r>
        <w:rPr>
          <w:rFonts w:hint="eastAsia"/>
          <w:sz w:val="21"/>
          <w:szCs w:val="21"/>
        </w:rPr>
        <w:t>被告行为离欺诈越远，原因力越弱，对其课以巨额赔偿越偏离过责相当；被告行为离欺诈越近，被告因其地位或角色而对公众负有的潜在披露义务越多，原因力越强，赔偿义务也越具规范基础。链条若过度延展，不仅在技术层面易于引发因果关系的认定瑕疵，亦可能在投资者认知层面形成不当激励，使其对市场信号的判断偏离风险匹配的合理预期，反向加重市场失灵。</w:t>
      </w:r>
      <w:r>
        <w:rPr>
          <w:rStyle w:val="16"/>
          <w:sz w:val="21"/>
          <w:szCs w:val="21"/>
        </w:rPr>
        <w:footnoteReference w:id="57"/>
      </w:r>
    </w:p>
    <w:p w14:paraId="5BA95641">
      <w:pPr>
        <w:widowControl w:val="0"/>
        <w:spacing w:after="0"/>
        <w:ind w:firstLine="420" w:firstLineChars="200"/>
        <w:outlineLvl w:val="2"/>
        <w:rPr>
          <w:rFonts w:cs="宋体"/>
          <w:b/>
          <w:bCs/>
          <w:kern w:val="2"/>
          <w:sz w:val="21"/>
          <w:szCs w:val="21"/>
        </w:rPr>
      </w:pPr>
      <w:r>
        <w:rPr>
          <w:rFonts w:hint="eastAsia" w:cs="宋体"/>
          <w:b/>
          <w:bCs/>
          <w:kern w:val="2"/>
          <w:sz w:val="21"/>
          <w:szCs w:val="21"/>
        </w:rPr>
        <w:t>3、不当利益取得的衡平修正</w:t>
      </w:r>
    </w:p>
    <w:p w14:paraId="0A5ED648">
      <w:pPr>
        <w:pStyle w:val="17"/>
        <w:widowControl w:val="0"/>
        <w:spacing w:after="0"/>
        <w:rPr>
          <w:sz w:val="21"/>
          <w:szCs w:val="21"/>
        </w:rPr>
      </w:pPr>
      <w:r>
        <w:rPr>
          <w:rFonts w:hint="eastAsia"/>
          <w:sz w:val="21"/>
          <w:szCs w:val="21"/>
        </w:rPr>
        <w:t>不当利益取得情况是责任形态配置阶段的辅助考量因素，其功能在于从衡平角度调节责任分配。如果帮助人未从主违法中获益，可推断其对违法更不敏感、更不可能具有合作动机。从衡平角度看，让未获益者不承担责任比让未获益者承担责任更具道德正当性。</w:t>
      </w:r>
      <w:r>
        <w:rPr>
          <w:rStyle w:val="16"/>
          <w:sz w:val="21"/>
          <w:szCs w:val="21"/>
        </w:rPr>
        <w:footnoteReference w:id="58"/>
      </w:r>
      <w:r>
        <w:rPr>
          <w:rFonts w:hint="eastAsia"/>
          <w:sz w:val="21"/>
          <w:szCs w:val="21"/>
        </w:rPr>
        <w:t>这一立场具有两方面的规范基础。在主观推定层面，未取得不当利益往往意味着行为人缺乏配合违法的内在动机，进而其主观可责难性较低。在分配正义层面，未取得不当利益的行为人若被要求承担与获益者相同的责任，将造成获益与责任之间的失衡。</w:t>
      </w:r>
    </w:p>
    <w:p w14:paraId="734F3363">
      <w:pPr>
        <w:pStyle w:val="3"/>
        <w:widowControl w:val="0"/>
        <w:spacing w:after="0"/>
        <w:rPr>
          <w:sz w:val="21"/>
          <w:szCs w:val="21"/>
        </w:rPr>
      </w:pPr>
      <w:r>
        <w:rPr>
          <w:rFonts w:hint="eastAsia"/>
          <w:sz w:val="21"/>
          <w:szCs w:val="21"/>
        </w:rPr>
        <w:t>不当利益取得情况仅为辅助考量因素，仍需与帮助行为、过错和相当因果关系结合评价。一方面，未取得不当利益并不当然意味着不构成帮助造假，仍需综合判断帮助行为是否超出普通商业交易范围、主观上是否达到明知门槛、客观上是否对披露文件形成具有实质支撑等要素。另一方面，取得不当利益亦不当然意味着应承担较重责任形态，仍需结合过错程度与原因力大小作出综合判断。</w:t>
      </w:r>
    </w:p>
    <w:p w14:paraId="407355C0">
      <w:pPr>
        <w:widowControl w:val="0"/>
        <w:spacing w:after="0"/>
        <w:ind w:firstLine="420" w:firstLineChars="200"/>
        <w:outlineLvl w:val="2"/>
        <w:rPr>
          <w:rFonts w:cs="宋体"/>
          <w:b/>
          <w:bCs/>
          <w:kern w:val="2"/>
          <w:sz w:val="21"/>
          <w:szCs w:val="21"/>
        </w:rPr>
      </w:pPr>
      <w:r>
        <w:rPr>
          <w:rFonts w:hint="eastAsia" w:cs="宋体"/>
          <w:b/>
          <w:bCs/>
          <w:kern w:val="2"/>
          <w:sz w:val="21"/>
          <w:szCs w:val="21"/>
        </w:rPr>
        <w:t>4、中介机构介入的原因力修正</w:t>
      </w:r>
    </w:p>
    <w:p w14:paraId="23AD7919">
      <w:pPr>
        <w:pStyle w:val="17"/>
        <w:widowControl w:val="0"/>
        <w:spacing w:after="0"/>
        <w:rPr>
          <w:sz w:val="21"/>
          <w:szCs w:val="21"/>
        </w:rPr>
      </w:pPr>
      <w:r>
        <w:rPr>
          <w:rFonts w:hint="eastAsia"/>
          <w:sz w:val="21"/>
          <w:szCs w:val="21"/>
        </w:rPr>
        <w:t>实践中，往往是帮助造假者帮助造假后，又出现中介机构尽职调查严重失职，最终共同促使虚假陈述行为未能在向公众披露前及时被发现。帮助造假行为位于因果链条的前端，中介机构尽职调查严重失职行为位于因果链条的后端，由此产生一个理论上的疑问，即中介机构尽职调查严重失职行为是否足以构成重大且异常的介入因素，进而切断帮助造假行为与虚假陈述结果之间的因果关系。</w:t>
      </w:r>
    </w:p>
    <w:p w14:paraId="510B7F76">
      <w:pPr>
        <w:pStyle w:val="3"/>
        <w:widowControl w:val="0"/>
        <w:spacing w:after="0"/>
        <w:rPr>
          <w:sz w:val="21"/>
          <w:szCs w:val="21"/>
        </w:rPr>
      </w:pPr>
      <w:r>
        <w:rPr>
          <w:rFonts w:hint="eastAsia"/>
          <w:sz w:val="21"/>
          <w:szCs w:val="21"/>
        </w:rPr>
        <w:t>中介机构尽职调查严重失职行为的典型表现，包括对发行人客户和供应商高度集中、客户自身规模与其交易规模不匹配、与自然人独资企业等发生异常大额交易、与新成立的公司发生大额销售交易、与疑似关联方发生大额采购交易等明显异常情形未予识别等</w:t>
      </w:r>
      <w:r>
        <w:rPr>
          <w:rStyle w:val="16"/>
          <w:sz w:val="21"/>
          <w:szCs w:val="21"/>
        </w:rPr>
        <w:footnoteReference w:id="59"/>
      </w:r>
      <w:r>
        <w:rPr>
          <w:rFonts w:hint="eastAsia"/>
          <w:sz w:val="21"/>
          <w:szCs w:val="21"/>
        </w:rPr>
        <w:t>。</w:t>
      </w:r>
    </w:p>
    <w:p w14:paraId="4125A15E">
      <w:pPr>
        <w:pStyle w:val="3"/>
        <w:widowControl w:val="0"/>
        <w:spacing w:after="0"/>
        <w:rPr>
          <w:sz w:val="21"/>
          <w:szCs w:val="21"/>
        </w:rPr>
      </w:pPr>
      <w:r>
        <w:rPr>
          <w:rFonts w:hint="eastAsia"/>
          <w:sz w:val="21"/>
          <w:szCs w:val="21"/>
        </w:rPr>
        <w:t>即使后续出现中介机构尽职调查严重失职行为，也不足以完全切断帮助造假行为与虚假陈述结果之间的因果关系。帮助造假者的在先不法行为已经直接制造了危险，中介机构尽职调查严重失职行为的介入是使得该危险被现实化，从而给投资者造成损害。中介机构尽职调查严重失职行为的介入只是使得帮助造假行为的原因力降低到比较低的程度，但不足以切断帮助造假行为与虚假陈述结果之间的因果关系。</w:t>
      </w:r>
      <w:r>
        <w:rPr>
          <w:rStyle w:val="16"/>
          <w:sz w:val="21"/>
          <w:szCs w:val="21"/>
        </w:rPr>
        <w:footnoteReference w:id="60"/>
      </w:r>
    </w:p>
    <w:p w14:paraId="5BAC6245">
      <w:pPr>
        <w:pStyle w:val="3"/>
        <w:widowControl w:val="0"/>
        <w:spacing w:after="0"/>
        <w:rPr>
          <w:sz w:val="21"/>
          <w:szCs w:val="21"/>
        </w:rPr>
      </w:pPr>
      <w:r>
        <w:rPr>
          <w:rFonts w:hint="eastAsia"/>
          <w:sz w:val="21"/>
          <w:szCs w:val="21"/>
        </w:rPr>
        <w:t>中介机构严重失职这一介入因素不足以直接切断帮助造假者在先制造虚假交易材料的原因力，但其失职使得虚假披露得以持续，因而可以在原因力分配和责任形态配置中发挥调节作用，作为帮助造假者原因力适度降低的修正依据。</w:t>
      </w:r>
    </w:p>
    <w:p w14:paraId="0D57739F">
      <w:pPr>
        <w:pStyle w:val="3"/>
        <w:widowControl w:val="0"/>
        <w:spacing w:after="0"/>
        <w:rPr>
          <w:sz w:val="21"/>
          <w:szCs w:val="21"/>
        </w:rPr>
      </w:pPr>
      <w:r>
        <w:rPr>
          <w:rFonts w:hint="eastAsia"/>
          <w:sz w:val="21"/>
          <w:szCs w:val="21"/>
        </w:rPr>
        <w:t>以上四维评价要素为责任形态的梯度配置提供了操作化工具。其中过错程度与原因力大小为主轴变量，二者的不同组合直接决定责任形态的基本档位；不当利益取得情况与中介机构介入情况为修正变量，主要发挥衡平调节与原因力强弱微调的作用。下文将依据过错程度与原因力的不同组合，以两项修正变量为补充，展开四类责任形态的具体适用方案。</w:t>
      </w:r>
    </w:p>
    <w:p w14:paraId="451AC227">
      <w:pPr>
        <w:widowControl w:val="0"/>
        <w:spacing w:after="0"/>
        <w:ind w:firstLine="420" w:firstLineChars="200"/>
        <w:outlineLvl w:val="1"/>
        <w:rPr>
          <w:rFonts w:cs="宋体"/>
          <w:b/>
          <w:bCs/>
          <w:kern w:val="2"/>
          <w:sz w:val="21"/>
          <w:szCs w:val="21"/>
        </w:rPr>
      </w:pPr>
      <w:r>
        <w:rPr>
          <w:rFonts w:hint="eastAsia" w:cs="宋体"/>
          <w:b/>
          <w:bCs/>
          <w:kern w:val="2"/>
          <w:sz w:val="21"/>
          <w:szCs w:val="21"/>
        </w:rPr>
        <w:t>（四）四档责任形态的梯度适用</w:t>
      </w:r>
    </w:p>
    <w:p w14:paraId="2E97378C">
      <w:pPr>
        <w:pStyle w:val="17"/>
        <w:widowControl w:val="0"/>
        <w:spacing w:after="0"/>
        <w:rPr>
          <w:sz w:val="21"/>
          <w:szCs w:val="21"/>
        </w:rPr>
      </w:pPr>
      <w:r>
        <w:rPr>
          <w:rFonts w:hint="eastAsia"/>
          <w:sz w:val="21"/>
          <w:szCs w:val="21"/>
        </w:rPr>
        <w:t>有学者主张将帮助、教唆者责任限定为按比例责任，仅在主要违法者破产且赔偿损失未获充分保险覆盖的场合保留连带责任。</w:t>
      </w:r>
      <w:r>
        <w:rPr>
          <w:rStyle w:val="16"/>
          <w:sz w:val="21"/>
          <w:szCs w:val="21"/>
        </w:rPr>
        <w:footnoteReference w:id="61"/>
      </w:r>
      <w:r>
        <w:rPr>
          <w:rFonts w:hint="eastAsia"/>
          <w:sz w:val="21"/>
          <w:szCs w:val="21"/>
        </w:rPr>
        <w:t>该种二档设计虽较单一连带责任前进一步，但仍欠精细化。各责任形态在过错程度与原因力大小的不同组合下具有不同的规范功能，宜以更精细的组合配置回应实践中多元主体、多元手法、多元动因的差异，以求达到过责相当与精细化认定。</w:t>
      </w:r>
    </w:p>
    <w:p w14:paraId="7A3AC67B">
      <w:pPr>
        <w:pStyle w:val="3"/>
        <w:widowControl w:val="0"/>
        <w:spacing w:after="0"/>
        <w:rPr>
          <w:sz w:val="21"/>
          <w:szCs w:val="21"/>
        </w:rPr>
      </w:pPr>
      <w:r>
        <w:rPr>
          <w:rFonts w:hint="eastAsia"/>
          <w:sz w:val="21"/>
          <w:szCs w:val="21"/>
        </w:rPr>
        <w:t>基于前述责任形态配置阶段的考量因素，本文提出四类责任形态的梯度适用方案，即从不承担责任、按份责任、比例连带责任到全额连带责任的四档结构。其核心在于将过错程度与原因力大小的不同组合与不同责任形态相对应，并以不当利益与中介机构介入情况作为修正变量。</w:t>
      </w:r>
    </w:p>
    <w:p w14:paraId="3BDD479B">
      <w:pPr>
        <w:widowControl w:val="0"/>
        <w:spacing w:after="0"/>
        <w:ind w:firstLine="420" w:firstLineChars="200"/>
        <w:outlineLvl w:val="2"/>
        <w:rPr>
          <w:rFonts w:cs="宋体"/>
          <w:b/>
          <w:bCs/>
          <w:kern w:val="2"/>
          <w:sz w:val="21"/>
          <w:szCs w:val="21"/>
        </w:rPr>
      </w:pPr>
      <w:r>
        <w:rPr>
          <w:rFonts w:hint="eastAsia" w:cs="宋体"/>
          <w:b/>
          <w:bCs/>
          <w:kern w:val="2"/>
          <w:sz w:val="21"/>
          <w:szCs w:val="21"/>
        </w:rPr>
        <w:t>1、轻过失低原因力且未获益情形下的不承担责任</w:t>
      </w:r>
    </w:p>
    <w:p w14:paraId="3310E6F1">
      <w:pPr>
        <w:pStyle w:val="17"/>
        <w:widowControl w:val="0"/>
        <w:spacing w:after="0"/>
        <w:rPr>
          <w:sz w:val="21"/>
          <w:szCs w:val="21"/>
        </w:rPr>
      </w:pPr>
      <w:r>
        <w:rPr>
          <w:rFonts w:hint="eastAsia"/>
          <w:sz w:val="21"/>
          <w:szCs w:val="21"/>
        </w:rPr>
        <w:t>第一档为不承担责任。如果帮助造假者只因为轻过失而未能预见到自身帮助造假所产生的信息和文件将成为发行人虚假陈述的基础素材，其帮助行为所产生的信息和文件也并非核心交易文件，且帮助造假者未从违法中获益，那么帮助造假者无需承担虚假陈述相关的民事责任。</w:t>
      </w:r>
    </w:p>
    <w:p w14:paraId="2A787907">
      <w:pPr>
        <w:pStyle w:val="3"/>
        <w:widowControl w:val="0"/>
        <w:spacing w:after="0"/>
        <w:rPr>
          <w:sz w:val="21"/>
          <w:szCs w:val="21"/>
        </w:rPr>
      </w:pPr>
      <w:r>
        <w:rPr>
          <w:rFonts w:hint="eastAsia"/>
          <w:sz w:val="21"/>
          <w:szCs w:val="21"/>
        </w:rPr>
        <w:t>以供应商为例，如果供应商帮助发行人虚构销售合同的目的只是出于自身融资性贸易的需求，伪造的合同金额占发行人收入的比例并不重大、对发行人核心财务指标的影响并不重大，且供应商由于自身的客户过多无法一一实时关注交易对手方的是否处于IPO阶段或已经成功上市，进而确实是出于轻过失才未注意到自身帮助造假行为可能存在帮助虚假陈述风险的，此类供应商无需承担虚假陈述相关的民事责任。</w:t>
      </w:r>
    </w:p>
    <w:p w14:paraId="6AC7D456">
      <w:pPr>
        <w:pStyle w:val="3"/>
        <w:widowControl w:val="0"/>
        <w:spacing w:after="0"/>
        <w:rPr>
          <w:sz w:val="21"/>
          <w:szCs w:val="21"/>
        </w:rPr>
      </w:pPr>
      <w:r>
        <w:rPr>
          <w:rFonts w:hint="eastAsia"/>
          <w:sz w:val="21"/>
          <w:szCs w:val="21"/>
        </w:rPr>
        <w:t>依此标准，大唐高鸿案中相关供应商与客户的情况符合不承担责任档的适用条件。该案中，案外人江庆组织撮合相关供应商与客户配合大唐高鸿开展笔记本电脑虚假贸易业务，相关业务的资金、合同与物流单据流转形成闭环，并无实际货物流转。就主观过错而言，缺乏明确证据表明相关供应商与客户知悉其参与的贸易将被大唐高鸿用作虚增收入基础素材，其仅因未尽周延的注意义务而未察觉相关风险，主观状态可认定为轻过失。该案存在多笔虚假贸易，每一单笔贸易对大唐高鸿整体财务指标的影响相对有限，相关帮助行为对虚假陈述结果的原因力较低。相关供应商与客户仅获取符合一般商事惯例的贸易毛利，未取得与虚假陈述结果相关联的异常利益。轻过失、低原因力与未取得不当利益三项要素叠加，构成不承担责任档区别于按份责任档的入口条件，亦体现自己责任原则在最低责任谱位的运行结果。</w:t>
      </w:r>
    </w:p>
    <w:p w14:paraId="0F29DC6F">
      <w:pPr>
        <w:widowControl w:val="0"/>
        <w:spacing w:after="0"/>
        <w:ind w:firstLine="420" w:firstLineChars="200"/>
        <w:outlineLvl w:val="2"/>
        <w:rPr>
          <w:rFonts w:cs="宋体"/>
          <w:b/>
          <w:bCs/>
          <w:kern w:val="2"/>
          <w:sz w:val="21"/>
          <w:szCs w:val="21"/>
        </w:rPr>
      </w:pPr>
      <w:r>
        <w:rPr>
          <w:rFonts w:hint="eastAsia" w:cs="宋体"/>
          <w:b/>
          <w:bCs/>
          <w:kern w:val="2"/>
          <w:sz w:val="21"/>
          <w:szCs w:val="21"/>
        </w:rPr>
        <w:t>2、重大过失低原因力情形下的按份责任</w:t>
      </w:r>
    </w:p>
    <w:p w14:paraId="53FA4519">
      <w:pPr>
        <w:pStyle w:val="17"/>
        <w:widowControl w:val="0"/>
        <w:spacing w:after="0"/>
        <w:rPr>
          <w:sz w:val="21"/>
          <w:szCs w:val="21"/>
        </w:rPr>
      </w:pPr>
      <w:r>
        <w:rPr>
          <w:rFonts w:hint="eastAsia"/>
          <w:sz w:val="21"/>
          <w:szCs w:val="21"/>
        </w:rPr>
        <w:t>第二档为按份责任。外部主体应当预见到自己帮助造假产生的相关材料可能被用于披露造假，仍提供帮助，属于对注意义务的极端偏离</w:t>
      </w:r>
      <w:r>
        <w:rPr>
          <w:rStyle w:val="16"/>
          <w:sz w:val="21"/>
          <w:szCs w:val="21"/>
        </w:rPr>
        <w:footnoteReference w:id="62"/>
      </w:r>
      <w:r>
        <w:rPr>
          <w:rFonts w:hint="eastAsia"/>
          <w:sz w:val="21"/>
          <w:szCs w:val="21"/>
        </w:rPr>
        <w:t>，构成重大过失。当该材料只对虚假披露形成有限支撑，且中介机构失职对损害结果具有较大影响时，可以适用按份责任。</w:t>
      </w:r>
    </w:p>
    <w:p w14:paraId="4339A174">
      <w:pPr>
        <w:pStyle w:val="3"/>
        <w:widowControl w:val="0"/>
        <w:spacing w:after="0"/>
        <w:rPr>
          <w:sz w:val="21"/>
          <w:szCs w:val="21"/>
        </w:rPr>
      </w:pPr>
      <w:r>
        <w:rPr>
          <w:rFonts w:hint="eastAsia"/>
          <w:sz w:val="21"/>
          <w:szCs w:val="21"/>
        </w:rPr>
        <w:t>按份责任可以令较高的赔偿责任基数和特定共同侵权责任较小的过错与原因力之间形成更合理的匹配。</w:t>
      </w:r>
      <w:r>
        <w:rPr>
          <w:rStyle w:val="16"/>
          <w:sz w:val="21"/>
          <w:szCs w:val="21"/>
        </w:rPr>
        <w:footnoteReference w:id="63"/>
      </w:r>
      <w:r>
        <w:rPr>
          <w:rFonts w:hint="eastAsia"/>
          <w:sz w:val="21"/>
          <w:szCs w:val="21"/>
        </w:rPr>
        <w:t>这一责任形态在过错程度与原因力均不甚高的情形下具有适用空间，其规范功能在于既肯定外部主体的可归责性，避免将其完全排除于责任范围之外，又避免使其承担与其过错与原因力明显不相称的连带清偿义务。</w:t>
      </w:r>
    </w:p>
    <w:p w14:paraId="14F3C306">
      <w:pPr>
        <w:pStyle w:val="3"/>
        <w:widowControl w:val="0"/>
        <w:spacing w:after="0"/>
        <w:rPr>
          <w:sz w:val="21"/>
          <w:szCs w:val="21"/>
        </w:rPr>
      </w:pPr>
      <w:r>
        <w:rPr>
          <w:rFonts w:hint="eastAsia"/>
          <w:sz w:val="21"/>
          <w:szCs w:val="21"/>
        </w:rPr>
        <w:t>以银行为例，如果银行在收到自己的客户的中介机构在IPO阶段发来的询证函时，对有关询证内容进行错误回复，则可能构成重大过失。银行作为受到严格监管的金融机构，其对法律法规的了解程度更高，更有能力预见到自身的错误回复可能导致发行人以此询证回函为虚假陈述的底层材料支持，进而也应相应负有更高的注意义务。与一般的供应商不同，一般的供应商系市场中普通的商事交易主体，其往往受制于调查手段、调查成本等方面的限制，而银行在合规监管的要求下对于自己客户的了解往往是较为深入且实时更新的，往往是出于重大过失才可能对客户处于IPO阶段或已经成功上市而应知未知。要求其负有更高的注意义务，并在其错误回函的情况下更宽松地认定构成重大过失进而对虚假陈述承担按份责任，具有现实合理性。</w:t>
      </w:r>
    </w:p>
    <w:p w14:paraId="5BE2864C">
      <w:pPr>
        <w:pStyle w:val="3"/>
        <w:widowControl w:val="0"/>
        <w:spacing w:after="0"/>
        <w:ind w:firstLine="0"/>
        <w:rPr>
          <w:sz w:val="21"/>
          <w:szCs w:val="21"/>
        </w:rPr>
      </w:pPr>
      <w:r>
        <w:rPr>
          <w:rFonts w:hint="eastAsia"/>
          <w:sz w:val="21"/>
          <w:szCs w:val="21"/>
        </w:rPr>
        <w:t>康得新案中北京银行的情况可作按份责任档的典型适用对象。该案中，北京银行下辖支行与康得集团签订现金管理业务合作协议，将康得新等主体银行账户中的资金实时归集至康得集团账户，但归集事实未在康得新对外披露的财务信息中予以反映，致使康得新长期虚增货币资金。同时，北京银行下辖支行存在违规出具与事实不符的询证函回函、违规出具与事实不符的存款证明以及内部控制存在缺陷等情形，并因此被监管机关给予行政处罚。就主观过错而言，在缺乏明确证据表明北京银行系明知虚假陈述风险仍予以放任的情形下，主观状态难以进一步认定为间接故意。北京银行作为受到严格金融监管的金融机构，对其客户开立的现金管理协议负有较高的审慎义务，且应当预见到错误的询证函与存款证明可能成为发行人虚假陈述的底层支撑，但其在协议执行过程中未采取相应的防范措施，亦未要求康得新单独核实归集事实，行为属于对应当履行的合规审慎义务的极端偏离，主观状态可认定为重大过失。北京银行的违规行为虽为康得新虚增货币资金提供形式支撑，但虚假陈述的整体方案设计、内容确定与对外披露均由康得新与康得集团自行完成，北京银行并未参与财务报表的编制与披露，行为对虚假陈述结果的原因力较为有限。重大过失叠加低原因力的要素组合在按份责任档具有清晰的对应关系，与不承担责任档的入口条件之间存在过错位阶上的明确差异，由此构成按份责任档相对于不承担责任档的最小可识别变化。</w:t>
      </w:r>
    </w:p>
    <w:p w14:paraId="1C46EBAD">
      <w:pPr>
        <w:widowControl w:val="0"/>
        <w:spacing w:after="0"/>
        <w:ind w:firstLine="420" w:firstLineChars="200"/>
        <w:outlineLvl w:val="2"/>
        <w:rPr>
          <w:rFonts w:cs="宋体"/>
          <w:b/>
          <w:bCs/>
          <w:kern w:val="2"/>
          <w:sz w:val="21"/>
          <w:szCs w:val="21"/>
        </w:rPr>
      </w:pPr>
      <w:r>
        <w:rPr>
          <w:rFonts w:hint="eastAsia" w:cs="宋体"/>
          <w:b/>
          <w:bCs/>
          <w:kern w:val="2"/>
          <w:sz w:val="21"/>
          <w:szCs w:val="21"/>
        </w:rPr>
        <w:t>3、间接故意中等原因力情形下的比例连带责任</w:t>
      </w:r>
    </w:p>
    <w:p w14:paraId="67CC0C0F">
      <w:pPr>
        <w:pStyle w:val="17"/>
        <w:widowControl w:val="0"/>
        <w:spacing w:after="0"/>
        <w:rPr>
          <w:sz w:val="21"/>
          <w:szCs w:val="21"/>
        </w:rPr>
      </w:pPr>
      <w:r>
        <w:rPr>
          <w:rFonts w:hint="eastAsia"/>
          <w:sz w:val="21"/>
          <w:szCs w:val="21"/>
        </w:rPr>
        <w:t>第三档为比例连带责任。比例连带责任系基于过错或原因力，在各个侵权人之间按比例公平分配既定损害的连带责任</w:t>
      </w:r>
      <w:r>
        <w:rPr>
          <w:rStyle w:val="16"/>
          <w:sz w:val="21"/>
          <w:szCs w:val="21"/>
        </w:rPr>
        <w:footnoteReference w:id="64"/>
      </w:r>
      <w:r>
        <w:rPr>
          <w:rFonts w:hint="eastAsia"/>
          <w:sz w:val="21"/>
          <w:szCs w:val="21"/>
        </w:rPr>
        <w:t>，仅要求行为人对原因力重合的部分损害负连带责任，而对于原因力不存在重合的其他部分损害则以按份责任处理。</w:t>
      </w:r>
      <w:r>
        <w:rPr>
          <w:rStyle w:val="16"/>
          <w:sz w:val="21"/>
          <w:szCs w:val="21"/>
        </w:rPr>
        <w:footnoteReference w:id="65"/>
      </w:r>
      <w:r>
        <w:rPr>
          <w:rFonts w:hint="eastAsia"/>
          <w:sz w:val="21"/>
          <w:szCs w:val="21"/>
        </w:rPr>
        <w:t>当帮助造假者明知存在虚假陈述风险仍予以放任，且帮助造假行为对虚假陈述的发生存在中等作用的原因力时，可以适用比例连带责任。</w:t>
      </w:r>
    </w:p>
    <w:p w14:paraId="19F78ED7">
      <w:pPr>
        <w:pStyle w:val="3"/>
        <w:widowControl w:val="0"/>
        <w:spacing w:after="0"/>
        <w:rPr>
          <w:sz w:val="21"/>
          <w:szCs w:val="21"/>
        </w:rPr>
      </w:pPr>
      <w:r>
        <w:rPr>
          <w:rFonts w:hint="eastAsia"/>
          <w:sz w:val="21"/>
          <w:szCs w:val="21"/>
        </w:rPr>
        <w:t>比例连带责任的设计兼顾了投资者保护与外部主体责任公平两方面的考量。一方面，在原因力重合范围内适用连带责任，可以确保投资者在该范围内的赔偿请求权得到充分实现，避免因多元主体之间的责任分配争议而损害投资者利益。另一方面，在原因力不存在重合的范围内适用按份责任，可以避免外部主体承担与其原因力不相称的过重义务，维护责任配置的过责相当。</w:t>
      </w:r>
    </w:p>
    <w:p w14:paraId="492F9D74">
      <w:pPr>
        <w:pStyle w:val="3"/>
        <w:widowControl w:val="0"/>
        <w:spacing w:after="0"/>
        <w:rPr>
          <w:sz w:val="21"/>
          <w:szCs w:val="21"/>
        </w:rPr>
      </w:pPr>
      <w:r>
        <w:rPr>
          <w:rFonts w:hint="eastAsia"/>
          <w:sz w:val="21"/>
          <w:szCs w:val="21"/>
        </w:rPr>
        <w:t>行悦信息案中，中某贸易公司的角色可作比例连带责任档的典型适用对象。该案中，中某贸易公司是行悦信息财务造假的资金通道，长期、频繁、大额配合资金空转。就主观过错而言，行悦信息向中某贸易公司支付大额预付款、多次大额借款并指令其支付给下游客户的安排，已明显违背一般商业逻辑。中某贸易公司应当能够察觉相关贸易缺乏真实商业目的，但对其配合行为可能成为行悦信息虚假陈述基础素材的事实仍予以放任，主观状态可认定为间接故意。中某贸易公司的帮助行为促使行悦信息虚增收入的程度并非全部虚假披露内容的来源，相关帮助行为对虚假陈述结果具有中等程度的原因力。间接故意与中等原因力的组合既未达全额连带责任所要求的一体性强度，亦明显高于按份责任所应对的情形，比例连带责任在该中间档具有可独立识别的适用空间，体现连带性与按份性相互调和的中间安排。</w:t>
      </w:r>
    </w:p>
    <w:p w14:paraId="42B852B1">
      <w:pPr>
        <w:widowControl w:val="0"/>
        <w:spacing w:after="0"/>
        <w:ind w:firstLine="420" w:firstLineChars="200"/>
        <w:outlineLvl w:val="2"/>
        <w:rPr>
          <w:rFonts w:cs="宋体"/>
          <w:b/>
          <w:bCs/>
          <w:kern w:val="2"/>
          <w:sz w:val="21"/>
          <w:szCs w:val="21"/>
        </w:rPr>
      </w:pPr>
      <w:r>
        <w:rPr>
          <w:rFonts w:hint="eastAsia" w:cs="宋体"/>
          <w:b/>
          <w:bCs/>
          <w:kern w:val="2"/>
          <w:sz w:val="21"/>
          <w:szCs w:val="21"/>
        </w:rPr>
        <w:t>4、直接故意高原因力情形下的全额连带责任</w:t>
      </w:r>
    </w:p>
    <w:p w14:paraId="34492B31">
      <w:pPr>
        <w:pStyle w:val="17"/>
        <w:widowControl w:val="0"/>
        <w:spacing w:after="0"/>
        <w:rPr>
          <w:sz w:val="21"/>
          <w:szCs w:val="21"/>
        </w:rPr>
      </w:pPr>
      <w:r>
        <w:rPr>
          <w:rFonts w:hint="eastAsia"/>
          <w:sz w:val="21"/>
          <w:szCs w:val="21"/>
        </w:rPr>
        <w:t>第四档为全额连带责任。连带责任制度实质上是令每一个有偿债能力的侵权人共同承担风险，意味着他们对本来与自己无关或远远超过自己清偿范围的损害也要负责。如此，所有侵权人皆被视为一个共同体，正是有了一体性支持，才有了共同负担连带责任的基础</w:t>
      </w:r>
      <w:r>
        <w:rPr>
          <w:rStyle w:val="16"/>
          <w:sz w:val="21"/>
          <w:szCs w:val="21"/>
        </w:rPr>
        <w:footnoteReference w:id="66"/>
      </w:r>
      <w:r>
        <w:rPr>
          <w:rFonts w:hint="eastAsia"/>
          <w:sz w:val="21"/>
          <w:szCs w:val="21"/>
        </w:rPr>
        <w:t>。由于连带责任在更大程度上限制了个人自由，因此仅适用于可责难性较高的责任人</w:t>
      </w:r>
      <w:r>
        <w:rPr>
          <w:rStyle w:val="16"/>
          <w:sz w:val="21"/>
          <w:szCs w:val="21"/>
        </w:rPr>
        <w:footnoteReference w:id="67"/>
      </w:r>
      <w:r>
        <w:rPr>
          <w:rFonts w:hint="eastAsia"/>
          <w:sz w:val="21"/>
          <w:szCs w:val="21"/>
        </w:rPr>
        <w:t>。在直接故意与高原因力的情况下，所有侵权人可以被视为一个共同体。</w:t>
      </w:r>
    </w:p>
    <w:p w14:paraId="3C9E3F58">
      <w:pPr>
        <w:pStyle w:val="3"/>
        <w:widowControl w:val="0"/>
        <w:spacing w:after="0"/>
        <w:rPr>
          <w:sz w:val="21"/>
          <w:szCs w:val="21"/>
        </w:rPr>
      </w:pPr>
      <w:r>
        <w:rPr>
          <w:rFonts w:hint="eastAsia"/>
          <w:sz w:val="21"/>
          <w:szCs w:val="21"/>
        </w:rPr>
        <w:t>帮助造假者实际知悉并主动参与造假方案设计，持续提供虚假交易材料，相关材料构成核心披露内容形成的重要依据，并从中取得异常利益时，其行为可与发行人虚假披露行为形成较强的一体性。在该种情形下，全额连带责任具有较充分的正当性。</w:t>
      </w:r>
    </w:p>
    <w:p w14:paraId="1419019D">
      <w:pPr>
        <w:pStyle w:val="3"/>
        <w:widowControl w:val="0"/>
        <w:spacing w:after="0"/>
        <w:rPr>
          <w:sz w:val="21"/>
          <w:szCs w:val="21"/>
        </w:rPr>
      </w:pPr>
      <w:r>
        <w:rPr>
          <w:rFonts w:hint="eastAsia"/>
          <w:sz w:val="21"/>
          <w:szCs w:val="21"/>
        </w:rPr>
        <w:t>一体性的判断以主观与客观两个维度为核心。主观维度上，行为人具有直接故意，与发行人之间形成共同的虚假披露意愿。客观维度上，行为人与发行人之间存在持续的、有组织的合作关系，帮助行为构成披露文件核心内容形成的重要支撑。不当利益取得情况作为伴随因素可强化一体性判断，但其本身不构成一体性的独立维度，仅在伴随出现时进一步强化行为人与发行人之间的合作纽带。</w:t>
      </w:r>
    </w:p>
    <w:p w14:paraId="1E5F9138">
      <w:pPr>
        <w:pStyle w:val="3"/>
        <w:widowControl w:val="0"/>
        <w:spacing w:after="0"/>
        <w:rPr>
          <w:sz w:val="21"/>
          <w:szCs w:val="21"/>
        </w:rPr>
      </w:pPr>
      <w:r>
        <w:rPr>
          <w:rFonts w:hint="eastAsia"/>
          <w:sz w:val="21"/>
          <w:szCs w:val="21"/>
        </w:rPr>
        <w:t>越博动力案中，于懿、贺靖的行为可作全额连带责任档的典型适用对象。该案中，于懿、贺靖在知悉越博动力意图通过虚假业务调节业绩的情形下，应越博动力实际控制人李占江的要求与安排，提供其控制的公司配合越博动力开展虚假交易。就主观过错而言，二人在明知越博动力做大业务、冲业绩意图的情形下，主动提供其控制的公司参与虚假交易的设计与实施，与越博动力之间形成共同的虚假披露意愿，主观状态可认定为直接故意。二人合计为越博动力虚增收入提供的虚假业务支撑构成越博动力虚假披露内容形成的重要依据。二人与越博动力实际控制人之间存在持续、有组织的合作关系，相关帮助行为对虚假陈述结果具有较高的原因力。直接故意与高原因力叠加异常利益的组合使其与发行人之间形成一体性，已超出比例连带责任所应对的中等可责难性场合的适用边界，全额连带责任在规范层面与衡平层面均具适用根据。</w:t>
      </w:r>
    </w:p>
    <w:p w14:paraId="1E728A8A">
      <w:pPr>
        <w:pStyle w:val="3"/>
        <w:widowControl w:val="0"/>
        <w:spacing w:after="0"/>
        <w:rPr>
          <w:sz w:val="21"/>
          <w:szCs w:val="21"/>
        </w:rPr>
      </w:pPr>
      <w:r>
        <w:rPr>
          <w:rFonts w:hint="eastAsia"/>
          <w:sz w:val="21"/>
          <w:szCs w:val="21"/>
        </w:rPr>
        <w:t>四档责任形态共同构成帮助造假者责任精细化认定的梯度结构。从不承担责任到全额连带责任的四档配置，对应于过错程度与原因力大小的不同组合，并以不当利益取得情况与中介机构介入情况作为修正变量，从而实现责任配置的精细化认定。至此二阶模型在功能与结构两个层面均已展开。下章结语在回顾全文主线的基础上进一步指明二阶模型对自己责任原则与投资者保护机制之间张力的回应方向，并提示若干尚待进一步研究的议题。</w:t>
      </w:r>
    </w:p>
    <w:p w14:paraId="219BA2A3">
      <w:pPr>
        <w:pStyle w:val="3"/>
        <w:widowControl w:val="0"/>
        <w:spacing w:after="0"/>
        <w:rPr>
          <w:rFonts w:hint="eastAsia"/>
          <w:sz w:val="21"/>
          <w:szCs w:val="21"/>
        </w:rPr>
      </w:pPr>
    </w:p>
    <w:p w14:paraId="2C607AEA">
      <w:pPr>
        <w:widowControl w:val="0"/>
        <w:spacing w:after="0"/>
        <w:ind w:firstLine="0"/>
        <w:jc w:val="center"/>
        <w:outlineLvl w:val="0"/>
        <w:rPr>
          <w:rFonts w:ascii="黑体" w:hAnsi="黑体" w:eastAsia="黑体" w:cstheme="minorBidi"/>
          <w:b/>
          <w:bCs/>
          <w:kern w:val="2"/>
          <w:sz w:val="28"/>
          <w:szCs w:val="28"/>
        </w:rPr>
      </w:pPr>
      <w:r>
        <w:rPr>
          <w:rFonts w:hint="eastAsia" w:ascii="黑体" w:hAnsi="黑体" w:eastAsia="黑体" w:cstheme="minorBidi"/>
          <w:b/>
          <w:bCs/>
          <w:kern w:val="2"/>
          <w:sz w:val="28"/>
          <w:szCs w:val="28"/>
        </w:rPr>
        <w:t>五、结语</w:t>
      </w:r>
    </w:p>
    <w:p w14:paraId="77B2E52F">
      <w:pPr>
        <w:pStyle w:val="17"/>
        <w:widowControl w:val="0"/>
        <w:spacing w:after="0"/>
        <w:rPr>
          <w:sz w:val="21"/>
          <w:szCs w:val="21"/>
        </w:rPr>
      </w:pPr>
      <w:r>
        <w:rPr>
          <w:rFonts w:hint="eastAsia"/>
          <w:sz w:val="21"/>
          <w:szCs w:val="21"/>
        </w:rPr>
        <w:t>证券虚假陈述帮助造假者的民事责任处于一般侵权法归责框架与证券特别法功能定位相互交织的领域。文章先就该种交叉关系作法理定位，再以中外司法实践为镜，提出责任成立与责任形态配置的二阶归责模型，意在为多元主体、多元手法、多元动因的帮助造假行为提供可操作的认定框架。</w:t>
      </w:r>
    </w:p>
    <w:p w14:paraId="77122259">
      <w:pPr>
        <w:pStyle w:val="3"/>
        <w:widowControl w:val="0"/>
        <w:spacing w:after="0"/>
        <w:rPr>
          <w:sz w:val="21"/>
          <w:szCs w:val="21"/>
        </w:rPr>
      </w:pPr>
      <w:r>
        <w:rPr>
          <w:rFonts w:hint="eastAsia"/>
          <w:sz w:val="21"/>
          <w:szCs w:val="21"/>
        </w:rPr>
        <w:t>二阶模型的理论价值在于对自己责任原则与投资者保护机制之间张力的结构化回应。该二阶分立的方法论意义在于为多元主体、多元手法、多元动因的帮助造假行为提供了过错与原因力组合判断的稳定坐标。责任成立阶段以基础虚假陈述、帮助行为、主观过错、相当因果关系为审查要素，回答帮助造假者是否进入司法解释第22条的责任射程；责任形态配置阶段以过错程度、原因力大小为主轴，以不当利益取得情况、中介机构介入情况为修正变量，回答已进入责任射程者应当承担何种形态的赔偿义务。两阶分立既避免裁判跳跃，又为四档责任形态的梯度配置提供制度通道。</w:t>
      </w:r>
    </w:p>
    <w:p w14:paraId="2B9B7924">
      <w:pPr>
        <w:pStyle w:val="3"/>
        <w:widowControl w:val="0"/>
        <w:spacing w:after="0"/>
        <w:rPr>
          <w:sz w:val="21"/>
          <w:szCs w:val="21"/>
        </w:rPr>
      </w:pPr>
      <w:r>
        <w:rPr>
          <w:rFonts w:hint="eastAsia"/>
          <w:sz w:val="21"/>
          <w:szCs w:val="21"/>
        </w:rPr>
        <w:t>仍有若干议题留待进一步研究。其一，过错与原因力的中间组合如直接故意叠加低原因力等是否可被四档框架涵摄，关涉梯度结构的边界完整性。其二，二阶模型与行政责任、刑事责任在过错与原因力判断上的衔接关系，关涉责任体系的纵向协调。其三，比例连带责任内部比例区间的科学化确定，关涉中等档位的可操作精度。这些议题均有待裁判经验与学术研究的协同回应。</w:t>
      </w:r>
    </w:p>
    <w:sectPr>
      <w:headerReference r:id="rId5" w:type="default"/>
      <w:footerReference r:id="rId6" w:type="default"/>
      <w:footnotePr>
        <w:numRestart w:val="eachSect"/>
      </w:footnote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ptos">
    <w:altName w:val="Helvetica Neue"/>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E00AF">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19735" cy="2730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419735" cy="273050"/>
                      </a:xfrm>
                      <a:prstGeom prst="rect">
                        <a:avLst/>
                      </a:prstGeom>
                      <a:noFill/>
                      <a:ln>
                        <a:noFill/>
                      </a:ln>
                    </wps:spPr>
                    <wps:txbx>
                      <w:txbxContent>
                        <w:p w14:paraId="3A23B146">
                          <w:pPr>
                            <w:pStyle w:val="9"/>
                          </w:pP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21.5pt;width:33.05pt;mso-position-horizontal:center;mso-position-horizontal-relative:margin;mso-wrap-style:none;z-index:251659264;mso-width-relative:page;mso-height-relative:page;" filled="f" stroked="f" coordsize="21600,21600" o:gfxdata="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H8mhoNEAAAADAQAADwAAAAAAAAABACAAAAAiAAAAZHJzL2Rv&#10;d25yZXYueG1sUEsBAhQAFAAAAAgAh07iQIITmqjPAQAAlwMAAA4AAAAAAAAAAQAgAAAAIAEAAGRy&#10;cy9lMm9Eb2MueG1sUEsFBgAAAAAGAAYAWQEAAGEFAAAAAA==&#10;">
              <v:fill on="f" focussize="0,0"/>
              <v:stroke on="f"/>
              <v:imagedata o:title=""/>
              <o:lock v:ext="edit" aspectratio="f"/>
              <v:textbox inset="0mm,0mm,0mm,0mm" style="mso-fit-shape-to-text:t;">
                <w:txbxContent>
                  <w:p w14:paraId="3A23B146">
                    <w:pPr>
                      <w:pStyle w:val="9"/>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36">
    <w:p>
      <w:pPr>
        <w:spacing w:before="0" w:after="0" w:line="360" w:lineRule="auto"/>
      </w:pPr>
      <w:r>
        <w:separator/>
      </w:r>
    </w:p>
  </w:footnote>
  <w:footnote w:type="continuationSeparator" w:id="137">
    <w:p>
      <w:pPr>
        <w:spacing w:before="0" w:after="0" w:line="360" w:lineRule="auto"/>
      </w:pPr>
      <w:r>
        <w:continuationSeparator/>
      </w:r>
    </w:p>
  </w:footnote>
  <w:footnote w:id="0">
    <w:p w14:paraId="3BC28D72">
      <w:pPr>
        <w:pStyle w:val="11"/>
        <w:snapToGrid w:val="0"/>
      </w:pPr>
      <w:r>
        <w:rPr>
          <w:rStyle w:val="16"/>
        </w:rPr>
        <w:t>*</w:t>
      </w:r>
      <w:r>
        <w:t xml:space="preserve"> </w:t>
      </w:r>
      <w:r>
        <w:rPr>
          <w:rFonts w:hint="eastAsia" w:ascii="Times New Roman" w:hAnsi="Times New Roman" w:eastAsia="宋体" w:cs="宋体"/>
          <w:szCs w:val="21"/>
        </w:rPr>
        <w:t>北京大学法学院硕士研究生，yangchenyi@stu.pku.edu.cn，18311295880</w:t>
      </w:r>
      <w:r>
        <w:rPr>
          <w:rFonts w:hint="eastAsia" w:ascii="Times New Roman" w:hAnsi="Times New Roman" w:eastAsia="宋体" w:cs="宋体"/>
          <w:szCs w:val="21"/>
          <w:lang w:eastAsia="zh-CN"/>
        </w:rPr>
        <w:t>。</w:t>
      </w:r>
    </w:p>
  </w:footnote>
  <w:footnote w:id="1">
    <w:p w14:paraId="048A0934">
      <w:pPr>
        <w:pStyle w:val="11"/>
        <w:widowControl w:val="0"/>
        <w:ind w:firstLine="0"/>
      </w:pPr>
      <w:r>
        <w:rPr>
          <w:rStyle w:val="16"/>
        </w:rPr>
        <w:footnoteRef/>
      </w:r>
      <w:r>
        <w:t xml:space="preserve"> </w:t>
      </w:r>
      <w:r>
        <w:rPr>
          <w:rFonts w:hint="eastAsia"/>
        </w:rPr>
        <w:t>参见黄世忠：《第三方配合财务造假群体特征与审计责任认定分析》，载《财会月刊》2024年第11期，第4页。</w:t>
      </w:r>
    </w:p>
  </w:footnote>
  <w:footnote w:id="2">
    <w:p w14:paraId="3E8FB32F">
      <w:pPr>
        <w:pStyle w:val="11"/>
        <w:widowControl w:val="0"/>
        <w:ind w:firstLine="0"/>
      </w:pPr>
      <w:r>
        <w:rPr>
          <w:rStyle w:val="16"/>
        </w:rPr>
        <w:footnoteRef/>
      </w:r>
      <w:r>
        <w:t xml:space="preserve"> </w:t>
      </w:r>
      <w:r>
        <w:rPr>
          <w:rFonts w:hint="eastAsia"/>
        </w:rPr>
        <w:t>参见樊健：《经贸法律评论》，载《财会月刊》2025年第3期，第83页。</w:t>
      </w:r>
    </w:p>
  </w:footnote>
  <w:footnote w:id="3">
    <w:p w14:paraId="29D9DAC2">
      <w:pPr>
        <w:pStyle w:val="11"/>
        <w:widowControl w:val="0"/>
        <w:snapToGrid w:val="0"/>
        <w:ind w:firstLine="0"/>
      </w:pPr>
      <w:r>
        <w:rPr>
          <w:rStyle w:val="16"/>
        </w:rPr>
        <w:footnoteRef/>
      </w:r>
      <w:r>
        <w:t xml:space="preserve"> </w:t>
      </w:r>
      <w:r>
        <w:rPr>
          <w:rFonts w:hint="eastAsia"/>
        </w:rPr>
        <w:t>《最高人民法院关于审理证券市场虚假陈述侵权民事赔偿案件的若干规定》第二十二条：有证据证明发行人的供应商、客户，以及为发行人提供服务的金融机构等明知发行人实施财务造假活动，仍然为其提供相关交易合同、发票、存款证明等予以配合，或者故意隐瞒重要事实致使发行人的信息披露文件存在虚假陈述，原告起诉请求判令其与发行人等责任主体赔偿由此导致的损失的，人民法院应当予以支持。</w:t>
      </w:r>
    </w:p>
  </w:footnote>
  <w:footnote w:id="4">
    <w:p w14:paraId="25A9FF4C">
      <w:pPr>
        <w:pStyle w:val="11"/>
        <w:widowControl w:val="0"/>
        <w:snapToGrid w:val="0"/>
        <w:ind w:firstLine="0"/>
        <w:rPr>
          <w:highlight w:val="yellow"/>
        </w:rPr>
      </w:pPr>
      <w:r>
        <w:rPr>
          <w:rStyle w:val="16"/>
        </w:rPr>
        <w:footnoteRef/>
      </w:r>
      <w:r>
        <w:t xml:space="preserve"> </w:t>
      </w:r>
      <w:r>
        <w:rPr>
          <w:rFonts w:hint="eastAsia"/>
        </w:rPr>
        <w:t xml:space="preserve">See David S.Ruder, </w:t>
      </w:r>
      <w:r>
        <w:t>“</w:t>
      </w:r>
      <w:r>
        <w:rPr>
          <w:rFonts w:hint="eastAsia"/>
        </w:rPr>
        <w:t>Multiple Defendants in Securities Law Fraud Cases- Aiding and Abetting Conspiracy in Pari Delicto Indemnification and Contribution</w:t>
      </w:r>
      <w:r>
        <w:t>”</w:t>
      </w:r>
      <w:r>
        <w:rPr>
          <w:rFonts w:hint="eastAsia"/>
        </w:rPr>
        <w:t>, University of Pennsylvania Law Review 612, 597-665(1972).</w:t>
      </w:r>
    </w:p>
  </w:footnote>
  <w:footnote w:id="5">
    <w:p w14:paraId="05B3D0A4">
      <w:pPr>
        <w:pStyle w:val="11"/>
        <w:widowControl w:val="0"/>
        <w:ind w:firstLine="0"/>
      </w:pPr>
      <w:r>
        <w:rPr>
          <w:rStyle w:val="16"/>
        </w:rPr>
        <w:footnoteRef/>
      </w:r>
      <w:r>
        <w:t xml:space="preserve"> </w:t>
      </w:r>
      <w:r>
        <w:rPr>
          <w:rFonts w:hint="eastAsia"/>
        </w:rPr>
        <w:t>参见廖升：《虚假陈述侵权责任之侵权行为认定》，载《法学家》2017年第1期，第134页。</w:t>
      </w:r>
    </w:p>
  </w:footnote>
  <w:footnote w:id="6">
    <w:p w14:paraId="5E57E8BC">
      <w:pPr>
        <w:pStyle w:val="11"/>
        <w:widowControl w:val="0"/>
        <w:ind w:firstLine="0"/>
      </w:pPr>
      <w:r>
        <w:rPr>
          <w:rStyle w:val="16"/>
        </w:rPr>
        <w:footnoteRef/>
      </w:r>
      <w:r>
        <w:t xml:space="preserve"> </w:t>
      </w:r>
      <w:r>
        <w:rPr>
          <w:rFonts w:hint="eastAsia"/>
        </w:rPr>
        <w:t>参见李建伟：《证券市场导报》，载《法学家》2023年第8期，第55页。</w:t>
      </w:r>
    </w:p>
  </w:footnote>
  <w:footnote w:id="7">
    <w:p w14:paraId="6D88673C">
      <w:pPr>
        <w:pStyle w:val="11"/>
        <w:widowControl w:val="0"/>
        <w:ind w:firstLine="0"/>
      </w:pPr>
      <w:r>
        <w:rPr>
          <w:rStyle w:val="16"/>
        </w:rPr>
        <w:footnoteRef/>
      </w:r>
      <w:r>
        <w:t xml:space="preserve"> </w:t>
      </w:r>
      <w:r>
        <w:rPr>
          <w:rFonts w:hint="eastAsia"/>
        </w:rPr>
        <w:t>参见邵和平：《多数人侵权行为及责任的立法演进与司法适用》，载《河北法学》2015年第3期，第118页。</w:t>
      </w:r>
    </w:p>
  </w:footnote>
  <w:footnote w:id="8">
    <w:p w14:paraId="24ED5B11">
      <w:pPr>
        <w:pStyle w:val="11"/>
        <w:widowControl w:val="0"/>
        <w:ind w:firstLine="0"/>
      </w:pPr>
      <w:r>
        <w:rPr>
          <w:rStyle w:val="16"/>
        </w:rPr>
        <w:footnoteRef/>
      </w:r>
      <w:r>
        <w:t xml:space="preserve"> Vgl. Stefan Kreutziger, Die Haftung von Mittätern, Anstiftern und Gehilfen im Zivilrecht—zugleich ein Beitrag zur deliktischen Haftung von Teilnehmern an unfriedlichen Demonstrationen, Frankfurt am Main: Peter Lang, 1985, S. 247.</w:t>
      </w:r>
    </w:p>
  </w:footnote>
  <w:footnote w:id="9">
    <w:p w14:paraId="40CB4ECD">
      <w:pPr>
        <w:pStyle w:val="11"/>
        <w:widowControl w:val="0"/>
        <w:ind w:firstLine="0"/>
      </w:pPr>
      <w:r>
        <w:rPr>
          <w:rStyle w:val="16"/>
        </w:rPr>
        <w:footnoteRef/>
      </w:r>
      <w:r>
        <w:t xml:space="preserve"> </w:t>
      </w:r>
      <w:r>
        <w:rPr>
          <w:rFonts w:hint="eastAsia"/>
        </w:rPr>
        <w:t>参见陈敏光：《证券虚假陈述比例连带责任的反思与超越》，载《河北法学》2025年第1期，第121页。</w:t>
      </w:r>
    </w:p>
  </w:footnote>
  <w:footnote w:id="10">
    <w:p w14:paraId="529AEE15">
      <w:pPr>
        <w:pStyle w:val="11"/>
        <w:widowControl w:val="0"/>
        <w:ind w:firstLine="0"/>
      </w:pPr>
      <w:r>
        <w:rPr>
          <w:rStyle w:val="16"/>
        </w:rPr>
        <w:footnoteRef/>
      </w:r>
      <w:r>
        <w:t xml:space="preserve"> </w:t>
      </w:r>
      <w:r>
        <w:rPr>
          <w:rFonts w:hint="eastAsia"/>
        </w:rPr>
        <w:t>参见汪倪杰：《论帮助侵权的类型化及其归责要件》，载《法学家》2024年第3期，第145页。</w:t>
      </w:r>
    </w:p>
  </w:footnote>
  <w:footnote w:id="11">
    <w:p w14:paraId="1CAC6CC7">
      <w:pPr>
        <w:pStyle w:val="11"/>
        <w:widowControl w:val="0"/>
        <w:ind w:firstLine="0"/>
      </w:pPr>
      <w:r>
        <w:rPr>
          <w:rStyle w:val="16"/>
        </w:rPr>
        <w:footnoteRef/>
      </w:r>
      <w:r>
        <w:t xml:space="preserve"> </w:t>
      </w:r>
      <w:r>
        <w:rPr>
          <w:rFonts w:hint="eastAsia"/>
        </w:rPr>
        <w:t>参见姬新江：《论教唆、帮助行为——以〈侵权责任法〉为视角》，载《河北法学》2013年第6期，第88页。</w:t>
      </w:r>
    </w:p>
  </w:footnote>
  <w:footnote w:id="12">
    <w:p w14:paraId="1DD5DD45">
      <w:pPr>
        <w:pStyle w:val="11"/>
        <w:widowControl w:val="0"/>
        <w:ind w:firstLine="0"/>
      </w:pPr>
      <w:r>
        <w:rPr>
          <w:rStyle w:val="16"/>
        </w:rPr>
        <w:footnoteRef/>
      </w:r>
      <w:r>
        <w:t xml:space="preserve"> </w:t>
      </w:r>
      <w:r>
        <w:rPr>
          <w:rFonts w:hint="eastAsia"/>
        </w:rPr>
        <w:t>参见李中原：《论侵权法上因果关系与过错的竞合及其解决路径》，载《法律科学（西北政法大学学报）》2013年第6期，第96页。</w:t>
      </w:r>
    </w:p>
  </w:footnote>
  <w:footnote w:id="13">
    <w:p w14:paraId="309664C7">
      <w:pPr>
        <w:pStyle w:val="11"/>
        <w:widowControl w:val="0"/>
        <w:ind w:firstLine="0"/>
      </w:pPr>
      <w:r>
        <w:rPr>
          <w:rStyle w:val="16"/>
        </w:rPr>
        <w:footnoteRef/>
      </w:r>
      <w:r>
        <w:t xml:space="preserve"> </w:t>
      </w:r>
      <w:r>
        <w:rPr>
          <w:rFonts w:hint="eastAsia"/>
        </w:rPr>
        <w:t>参见葛云松：《纯粹经济损失的赔偿与一般侵权行为条款》，载《中外法学》2009年第5期，第692页。</w:t>
      </w:r>
    </w:p>
  </w:footnote>
  <w:footnote w:id="14">
    <w:p w14:paraId="14A4EF6D">
      <w:pPr>
        <w:pStyle w:val="11"/>
        <w:widowControl w:val="0"/>
        <w:ind w:firstLine="0"/>
      </w:pPr>
      <w:r>
        <w:rPr>
          <w:rStyle w:val="16"/>
        </w:rPr>
        <w:footnoteRef/>
      </w:r>
      <w:r>
        <w:t xml:space="preserve"> </w:t>
      </w:r>
      <w:r>
        <w:rPr>
          <w:rFonts w:hint="eastAsia"/>
        </w:rPr>
        <w:t>参见耿利航：《美国证券虚假陈述的“协助、教唆”民事责任及其借鉴——以美国联邦最高法院的判例为分析对象》，载《法商研究》2011年第5期，第131页。</w:t>
      </w:r>
    </w:p>
  </w:footnote>
  <w:footnote w:id="15">
    <w:p w14:paraId="1681E6DE">
      <w:pPr>
        <w:pStyle w:val="11"/>
        <w:widowControl w:val="0"/>
        <w:ind w:firstLine="0"/>
      </w:pPr>
      <w:r>
        <w:rPr>
          <w:rStyle w:val="16"/>
        </w:rPr>
        <w:footnoteRef/>
      </w:r>
      <w:r>
        <w:t xml:space="preserve"> </w:t>
      </w:r>
      <w:r>
        <w:rPr>
          <w:rFonts w:hint="eastAsia"/>
        </w:rPr>
        <w:t>参见陈敏光：《证券虚假陈述比例连带责任的反思与超越》，载《河北法学》2025年第1期，第128页。</w:t>
      </w:r>
    </w:p>
  </w:footnote>
  <w:footnote w:id="16">
    <w:p w14:paraId="108283F4">
      <w:pPr>
        <w:pStyle w:val="11"/>
        <w:widowControl w:val="0"/>
        <w:snapToGrid w:val="0"/>
        <w:ind w:firstLine="0"/>
        <w:rPr>
          <w:rFonts w:eastAsiaTheme="minorEastAsia"/>
        </w:rPr>
      </w:pPr>
      <w:r>
        <w:rPr>
          <w:rStyle w:val="16"/>
        </w:rPr>
        <w:footnoteRef/>
      </w:r>
      <w:r>
        <w:t xml:space="preserve"> </w:t>
      </w:r>
      <w:r>
        <w:rPr>
          <w:rFonts w:hint="eastAsia"/>
        </w:rPr>
        <w:t>具体帮助造假方式参见中国证券监督管理委员会深圳监管局⾏政处罚决定书〔2023〕7号。帮助造假者承担民事责任情况参见https://mp.weixin.qq.com/s/vxpSghj61Mu-Dk1iWuausA。</w:t>
      </w:r>
    </w:p>
  </w:footnote>
  <w:footnote w:id="17">
    <w:p w14:paraId="7A0CEF0B">
      <w:pPr>
        <w:pStyle w:val="11"/>
        <w:widowControl w:val="0"/>
        <w:snapToGrid w:val="0"/>
        <w:ind w:firstLine="0"/>
      </w:pPr>
      <w:r>
        <w:rPr>
          <w:rStyle w:val="16"/>
        </w:rPr>
        <w:footnoteRef/>
      </w:r>
      <w:r>
        <w:t xml:space="preserve"> </w:t>
      </w:r>
      <w:r>
        <w:rPr>
          <w:rFonts w:hint="eastAsia"/>
        </w:rPr>
        <w:t>具体帮助造假方式参见中国证券监督管理委员会上海监管局行政处罚决定书 沪〔2022〕50号。帮助造假者承担民事责任情况参见https://mp.weixin.qq.com/s/lv_qPDicjpSGYrOn8fzQ4w。</w:t>
      </w:r>
    </w:p>
  </w:footnote>
  <w:footnote w:id="18">
    <w:p w14:paraId="5D3B7D2B">
      <w:pPr>
        <w:pStyle w:val="11"/>
        <w:widowControl w:val="0"/>
        <w:snapToGrid w:val="0"/>
        <w:ind w:firstLine="0"/>
      </w:pPr>
      <w:r>
        <w:rPr>
          <w:rStyle w:val="16"/>
        </w:rPr>
        <w:footnoteRef/>
      </w:r>
      <w:r>
        <w:t xml:space="preserve"> </w:t>
      </w:r>
      <w:r>
        <w:rPr>
          <w:rFonts w:hint="eastAsia"/>
        </w:rPr>
        <w:t>具体帮助造假方式参见中国证券监督管理委员会上海监管局⾏政处罚决定书 沪[2020]14号。帮助造假者承担民事责任情况参见https://mp.weixin.qq.com/s/trQ-2b9jqp0RQVSkQeb3-A?scene=1。</w:t>
      </w:r>
    </w:p>
  </w:footnote>
  <w:footnote w:id="19">
    <w:p w14:paraId="4E3DC458">
      <w:pPr>
        <w:pStyle w:val="11"/>
        <w:widowControl w:val="0"/>
        <w:snapToGrid w:val="0"/>
        <w:ind w:firstLine="0"/>
      </w:pPr>
      <w:r>
        <w:rPr>
          <w:rStyle w:val="16"/>
        </w:rPr>
        <w:footnoteRef/>
      </w:r>
      <w:r>
        <w:t xml:space="preserve"> </w:t>
      </w:r>
      <w:r>
        <w:rPr>
          <w:rFonts w:hint="eastAsia"/>
        </w:rPr>
        <w:t>具体帮助造假方式参见中国证监会⾏政处罚决定书〔2020〕71号。帮助造假者承担民事责任情况参见《北京银行股份有限公司关于收到应诉通知书的公告》《中国化学工程股份有限公司关于孙公司收到应诉通知书的公告》等。</w:t>
      </w:r>
    </w:p>
  </w:footnote>
  <w:footnote w:id="20">
    <w:p w14:paraId="16DC0C58">
      <w:pPr>
        <w:pStyle w:val="11"/>
        <w:widowControl w:val="0"/>
        <w:snapToGrid w:val="0"/>
        <w:ind w:firstLine="0"/>
      </w:pPr>
      <w:r>
        <w:rPr>
          <w:rStyle w:val="16"/>
        </w:rPr>
        <w:footnoteRef/>
      </w:r>
      <w:r>
        <w:t xml:space="preserve"> </w:t>
      </w:r>
      <w:r>
        <w:rPr>
          <w:rFonts w:hint="eastAsia"/>
        </w:rPr>
        <w:t>具体帮助造假方式参见中国证监会⾏政处罚决定书〔2023〕29号。帮助造假者承担民事责任情况参见《格尔软件股份有限公司关于公司涉及诉讼的公告》等。</w:t>
      </w:r>
    </w:p>
  </w:footnote>
  <w:footnote w:id="21">
    <w:p w14:paraId="7F9EC1FA">
      <w:pPr>
        <w:pStyle w:val="11"/>
        <w:widowControl w:val="0"/>
        <w:snapToGrid w:val="0"/>
        <w:ind w:firstLine="0"/>
      </w:pPr>
      <w:r>
        <w:rPr>
          <w:rStyle w:val="16"/>
        </w:rPr>
        <w:footnoteRef/>
      </w:r>
      <w:r>
        <w:t xml:space="preserve"> </w:t>
      </w:r>
      <w:r>
        <w:rPr>
          <w:rFonts w:hint="eastAsia"/>
        </w:rPr>
        <w:t>具体帮助造假方式参见中国证监会⾏政处罚决定书〔2022〕18号。帮助造假者承担民事责任情况参见广东省广州市中级人民法院民事判决书，（2022）粤 01 民初 2345 − 2354 号。</w:t>
      </w:r>
    </w:p>
  </w:footnote>
  <w:footnote w:id="22">
    <w:p w14:paraId="12D25CE5">
      <w:pPr>
        <w:pStyle w:val="11"/>
        <w:widowControl w:val="0"/>
        <w:snapToGrid w:val="0"/>
        <w:ind w:firstLine="0"/>
      </w:pPr>
      <w:r>
        <w:rPr>
          <w:rStyle w:val="16"/>
        </w:rPr>
        <w:footnoteRef/>
      </w:r>
      <w:r>
        <w:t xml:space="preserve"> </w:t>
      </w:r>
      <w:r>
        <w:rPr>
          <w:rFonts w:hint="eastAsia"/>
        </w:rPr>
        <w:t>具体帮助造假方式、帮助造假者受行政处罚情况参见中国证券监督管理委员会⾏政处罚决定书〔2025〕127号。</w:t>
      </w:r>
    </w:p>
  </w:footnote>
  <w:footnote w:id="23">
    <w:p w14:paraId="42B10147">
      <w:pPr>
        <w:pStyle w:val="11"/>
        <w:widowControl w:val="0"/>
        <w:ind w:firstLine="0"/>
      </w:pPr>
      <w:r>
        <w:rPr>
          <w:rStyle w:val="16"/>
        </w:rPr>
        <w:footnoteRef/>
      </w:r>
      <w:r>
        <w:t xml:space="preserve"> </w:t>
      </w:r>
      <w:r>
        <w:rPr>
          <w:rFonts w:hint="eastAsia"/>
        </w:rPr>
        <w:t>参见耿利航：《美国证券虚假陈述的“协助、教唆”民事责任及其借鉴——以美国联邦最高法院的判例为分析对象》，载《法商研究》2011年第5期，第126页。</w:t>
      </w:r>
    </w:p>
  </w:footnote>
  <w:footnote w:id="24">
    <w:p w14:paraId="60C7317C">
      <w:pPr>
        <w:pStyle w:val="11"/>
        <w:widowControl w:val="0"/>
        <w:ind w:firstLine="0"/>
      </w:pPr>
      <w:r>
        <w:rPr>
          <w:rStyle w:val="16"/>
        </w:rPr>
        <w:footnoteRef/>
      </w:r>
      <w:r>
        <w:t xml:space="preserve"> See David S. Ruder, “The Future of Aiding and Abetting and Rule 10b-5 After Central Bank of Denver”, </w:t>
      </w:r>
      <w:r>
        <w:rPr>
          <w:rFonts w:hint="eastAsia"/>
        </w:rPr>
        <w:t>Business Lawyer</w:t>
      </w:r>
      <w:r>
        <w:t xml:space="preserve"> 14</w:t>
      </w:r>
      <w:r>
        <w:rPr>
          <w:rFonts w:hint="eastAsia"/>
        </w:rPr>
        <w:t xml:space="preserve">80, </w:t>
      </w:r>
      <w:r>
        <w:t>14</w:t>
      </w:r>
      <w:r>
        <w:rPr>
          <w:rFonts w:hint="eastAsia"/>
        </w:rPr>
        <w:t>79-1488</w:t>
      </w:r>
      <w:r>
        <w:t xml:space="preserve"> (1994).</w:t>
      </w:r>
    </w:p>
  </w:footnote>
  <w:footnote w:id="25">
    <w:p w14:paraId="0C95C9BF">
      <w:pPr>
        <w:pStyle w:val="11"/>
        <w:widowControl w:val="0"/>
        <w:ind w:firstLine="0"/>
      </w:pPr>
      <w:r>
        <w:rPr>
          <w:rStyle w:val="16"/>
        </w:rPr>
        <w:footnoteRef/>
      </w:r>
      <w:r>
        <w:t xml:space="preserve"> See </w:t>
      </w:r>
      <w:r>
        <w:rPr>
          <w:rFonts w:hint="eastAsia"/>
        </w:rPr>
        <w:t xml:space="preserve">Alan R.Bromberg, </w:t>
      </w:r>
      <w:r>
        <w:t>“Aiding and Abetting Securities Fraud: A Critical Examination”</w:t>
      </w:r>
      <w:r>
        <w:rPr>
          <w:rFonts w:hint="eastAsia"/>
        </w:rPr>
        <w:t>, Albany Law Review 663, 637-774(1988).</w:t>
      </w:r>
    </w:p>
  </w:footnote>
  <w:footnote w:id="26">
    <w:p w14:paraId="77402B8E">
      <w:pPr>
        <w:pStyle w:val="11"/>
        <w:widowControl w:val="0"/>
        <w:ind w:firstLine="0"/>
      </w:pPr>
      <w:r>
        <w:rPr>
          <w:rStyle w:val="16"/>
        </w:rPr>
        <w:footnoteRef/>
      </w:r>
      <w:r>
        <w:t xml:space="preserve"> See Central Bank of Denver, N.A. v. First Interstate Bank of Denver, N.A., 511 U.S. 164 (1994).</w:t>
      </w:r>
    </w:p>
  </w:footnote>
  <w:footnote w:id="27">
    <w:p w14:paraId="1B53FE4E">
      <w:pPr>
        <w:pStyle w:val="11"/>
        <w:widowControl w:val="0"/>
        <w:snapToGrid w:val="0"/>
        <w:ind w:firstLine="0"/>
      </w:pPr>
      <w:r>
        <w:rPr>
          <w:rStyle w:val="16"/>
        </w:rPr>
        <w:footnoteRef/>
      </w:r>
      <w:r>
        <w:t xml:space="preserve"> </w:t>
      </w:r>
      <w:r>
        <w:rPr>
          <w:rFonts w:hint="eastAsia"/>
        </w:rPr>
        <w:t xml:space="preserve">See Todd G.Cosenza, </w:t>
      </w:r>
      <w:r>
        <w:t>“</w:t>
      </w:r>
      <w:r>
        <w:rPr>
          <w:rFonts w:hint="eastAsia"/>
        </w:rPr>
        <w:t>Applying Stoneridge to Restrict Secondary Actor Liability under Rule 10b-5</w:t>
      </w:r>
      <w:r>
        <w:t>”</w:t>
      </w:r>
      <w:r>
        <w:rPr>
          <w:rFonts w:hint="eastAsia"/>
        </w:rPr>
        <w:t>,  Business Lawyer 59, 59-78(2008).</w:t>
      </w:r>
    </w:p>
  </w:footnote>
  <w:footnote w:id="28">
    <w:p w14:paraId="56CFA10E">
      <w:pPr>
        <w:pStyle w:val="11"/>
        <w:widowControl w:val="0"/>
        <w:snapToGrid w:val="0"/>
        <w:ind w:firstLine="0"/>
      </w:pPr>
      <w:r>
        <w:rPr>
          <w:rStyle w:val="16"/>
        </w:rPr>
        <w:footnoteRef/>
      </w:r>
      <w:r>
        <w:t xml:space="preserve"> </w:t>
      </w:r>
      <w:r>
        <w:rPr>
          <w:rFonts w:hint="eastAsia"/>
        </w:rPr>
        <w:t>See Wright v. Ernst &amp; Young LLP, 152 F.3d 169 (2d Cir. 1998); Anixter v. Home-Stake Production Co., 77 F.3d 1215 (10th Cir. 1996); Ziemba v. Cascade International, Inc., 256 F.3d 1194 (11th Cir. 2001).</w:t>
      </w:r>
    </w:p>
  </w:footnote>
  <w:footnote w:id="29">
    <w:p w14:paraId="4E409139">
      <w:pPr>
        <w:pStyle w:val="11"/>
        <w:widowControl w:val="0"/>
        <w:ind w:firstLine="0"/>
      </w:pPr>
      <w:r>
        <w:rPr>
          <w:rStyle w:val="16"/>
        </w:rPr>
        <w:footnoteRef/>
      </w:r>
      <w:r>
        <w:t xml:space="preserve"> See </w:t>
      </w:r>
      <w:r>
        <w:rPr>
          <w:rFonts w:hint="eastAsia"/>
        </w:rPr>
        <w:t>In re ZZZZ Best Securities Litigation, 864 F. Supp. 960 (C.D. Cal. 1994)</w:t>
      </w:r>
      <w:r>
        <w:t>.</w:t>
      </w:r>
    </w:p>
  </w:footnote>
  <w:footnote w:id="30">
    <w:p w14:paraId="5407794E">
      <w:pPr>
        <w:pStyle w:val="11"/>
        <w:widowControl w:val="0"/>
        <w:ind w:firstLine="0"/>
      </w:pPr>
      <w:r>
        <w:rPr>
          <w:rStyle w:val="16"/>
        </w:rPr>
        <w:footnoteRef/>
      </w:r>
      <w:r>
        <w:t xml:space="preserve"> See </w:t>
      </w:r>
      <w:r>
        <w:rPr>
          <w:rFonts w:hint="eastAsia"/>
        </w:rPr>
        <w:t>Klein v. Boyd, No. 97-1143, 97-1261, 1998 WL 55245 (3d Cir. Feb. 12, 1998); In re Enron Corp. Securities, Derivative &amp; ERISA Litigation, 235 F. Supp. 2d 549 (S.D. Tex. 2002).</w:t>
      </w:r>
    </w:p>
  </w:footnote>
  <w:footnote w:id="31">
    <w:p w14:paraId="5CFEA467">
      <w:pPr>
        <w:pStyle w:val="11"/>
        <w:widowControl w:val="0"/>
        <w:ind w:firstLine="0"/>
      </w:pPr>
      <w:r>
        <w:rPr>
          <w:rStyle w:val="16"/>
        </w:rPr>
        <w:footnoteRef/>
      </w:r>
      <w:r>
        <w:t xml:space="preserve"> See </w:t>
      </w:r>
      <w:r>
        <w:rPr>
          <w:rFonts w:hint="eastAsia"/>
        </w:rPr>
        <w:t xml:space="preserve">Elizabeth Cosenza, </w:t>
      </w:r>
      <w:r>
        <w:t>“Is the Third Time the Charm: Janus and the Proper Balance between Primary and Secondary Actor Liability under Section 10(B)”</w:t>
      </w:r>
      <w:r>
        <w:rPr>
          <w:rFonts w:hint="eastAsia"/>
        </w:rPr>
        <w:t>, Cardozo Law Review 1049, 1019-1084(2012).</w:t>
      </w:r>
    </w:p>
  </w:footnote>
  <w:footnote w:id="32">
    <w:p w14:paraId="2A6BE310">
      <w:pPr>
        <w:pStyle w:val="11"/>
        <w:widowControl w:val="0"/>
        <w:ind w:firstLine="0"/>
      </w:pPr>
      <w:r>
        <w:rPr>
          <w:rStyle w:val="16"/>
        </w:rPr>
        <w:footnoteRef/>
      </w:r>
      <w:r>
        <w:t xml:space="preserve"> See Stoneridge Investment Partners, LLC v. Scientific-Atlanta, Inc., 552 U.S. 148 (2008).</w:t>
      </w:r>
    </w:p>
  </w:footnote>
  <w:footnote w:id="33">
    <w:p w14:paraId="1B12D0C3">
      <w:pPr>
        <w:pStyle w:val="11"/>
        <w:widowControl w:val="0"/>
        <w:ind w:firstLine="0"/>
      </w:pPr>
      <w:r>
        <w:rPr>
          <w:rStyle w:val="16"/>
        </w:rPr>
        <w:footnoteRef/>
      </w:r>
      <w:r>
        <w:t xml:space="preserve"> See </w:t>
      </w:r>
      <w:r>
        <w:rPr>
          <w:rFonts w:hint="eastAsia"/>
        </w:rPr>
        <w:t xml:space="preserve">Mark Klock, </w:t>
      </w:r>
      <w:r>
        <w:t>“What Will It Take to Label Participation in a Deceptive Scheme to Defraud Buyers of Securities a Violation of Section 10(b): The Disastrous Result and Reasoning of Stoneridge</w:t>
      </w:r>
      <w:r>
        <w:br w:type="textWrapping"/>
      </w:r>
      <w:r>
        <w:t>”</w:t>
      </w:r>
      <w:r>
        <w:rPr>
          <w:rFonts w:hint="eastAsia"/>
        </w:rPr>
        <w:t>, University of Kansas Law Review 336, 309-354(2010).</w:t>
      </w:r>
    </w:p>
  </w:footnote>
  <w:footnote w:id="34">
    <w:p w14:paraId="76FC0A7B">
      <w:pPr>
        <w:pStyle w:val="11"/>
        <w:widowControl w:val="0"/>
        <w:snapToGrid w:val="0"/>
        <w:ind w:firstLine="0"/>
      </w:pPr>
      <w:r>
        <w:rPr>
          <w:rStyle w:val="16"/>
        </w:rPr>
        <w:footnoteRef/>
      </w:r>
      <w:r>
        <w:t xml:space="preserve"> </w:t>
      </w:r>
      <w:r>
        <w:rPr>
          <w:rFonts w:hint="eastAsia"/>
        </w:rPr>
        <w:t xml:space="preserve">See Franklin A. Gevurtz, </w:t>
      </w:r>
      <w:r>
        <w:t>“</w:t>
      </w:r>
      <w:r>
        <w:rPr>
          <w:rFonts w:hint="eastAsia"/>
        </w:rPr>
        <w:t>Law Upside down- A Critical Essay on Stonebridge Investments Partners, LLC v. ScientificAtlanta, Inc.</w:t>
      </w:r>
      <w:r>
        <w:t>”</w:t>
      </w:r>
      <w:r>
        <w:rPr>
          <w:rFonts w:hint="eastAsia"/>
        </w:rPr>
        <w:t>, Northwestern University Law Review Colloquy 451, 448-455(2008).</w:t>
      </w:r>
    </w:p>
  </w:footnote>
  <w:footnote w:id="35">
    <w:p w14:paraId="08777A4C">
      <w:pPr>
        <w:pStyle w:val="11"/>
        <w:widowControl w:val="0"/>
        <w:snapToGrid w:val="0"/>
        <w:ind w:firstLine="0"/>
      </w:pPr>
      <w:r>
        <w:rPr>
          <w:rStyle w:val="16"/>
        </w:rPr>
        <w:footnoteRef/>
      </w:r>
      <w:r>
        <w:t xml:space="preserve"> </w:t>
      </w:r>
      <w:r>
        <w:rPr>
          <w:rFonts w:hint="eastAsia"/>
        </w:rPr>
        <w:t xml:space="preserve">See Stuart Sinai, </w:t>
      </w:r>
      <w:r>
        <w:t>“</w:t>
      </w:r>
      <w:r>
        <w:rPr>
          <w:rFonts w:hint="eastAsia"/>
        </w:rPr>
        <w:t>Stoneridge - Escape from Securities Liability Notwithstanding Active, Intentional, Deceptive Conduct</w:t>
      </w:r>
      <w:r>
        <w:t>”</w:t>
      </w:r>
      <w:r>
        <w:rPr>
          <w:rFonts w:hint="eastAsia"/>
        </w:rPr>
        <w:t>,  Journal of Business and Securities Law 174, 170-187(2007).</w:t>
      </w:r>
    </w:p>
  </w:footnote>
  <w:footnote w:id="36">
    <w:p w14:paraId="4FED8157">
      <w:pPr>
        <w:pStyle w:val="11"/>
        <w:widowControl w:val="0"/>
        <w:ind w:firstLine="0"/>
      </w:pPr>
      <w:r>
        <w:rPr>
          <w:rStyle w:val="16"/>
        </w:rPr>
        <w:footnoteRef/>
      </w:r>
      <w:r>
        <w:t xml:space="preserve"> See Janus Capital Grp. v. First Derivative Traders, 564 U.S. 135, 142–143 (2011).</w:t>
      </w:r>
    </w:p>
  </w:footnote>
  <w:footnote w:id="37">
    <w:p w14:paraId="093335CC">
      <w:pPr>
        <w:pStyle w:val="11"/>
        <w:widowControl w:val="0"/>
        <w:snapToGrid w:val="0"/>
        <w:ind w:firstLine="0"/>
      </w:pPr>
      <w:r>
        <w:rPr>
          <w:rStyle w:val="16"/>
        </w:rPr>
        <w:footnoteRef/>
      </w:r>
      <w:r>
        <w:t xml:space="preserve"> See </w:t>
      </w:r>
      <w:r>
        <w:rPr>
          <w:rFonts w:hint="eastAsia"/>
        </w:rPr>
        <w:t xml:space="preserve">Kyle A.Mason, </w:t>
      </w:r>
      <w:r>
        <w:t>“</w:t>
      </w:r>
      <w:r>
        <w:rPr>
          <w:rFonts w:hint="eastAsia"/>
        </w:rPr>
        <w:t>Life after Lorenzo—The Strained Re-Emergence of Scheme Liability</w:t>
      </w:r>
      <w:r>
        <w:t>”</w:t>
      </w:r>
      <w:r>
        <w:rPr>
          <w:rFonts w:hint="eastAsia"/>
        </w:rPr>
        <w:t>, Securities Regulation Law Journal 53, 45-72(2020).</w:t>
      </w:r>
    </w:p>
  </w:footnote>
  <w:footnote w:id="38">
    <w:p w14:paraId="49CC4FF6">
      <w:pPr>
        <w:pStyle w:val="11"/>
        <w:widowControl w:val="0"/>
        <w:snapToGrid w:val="0"/>
        <w:ind w:firstLine="0"/>
      </w:pPr>
      <w:r>
        <w:rPr>
          <w:rStyle w:val="16"/>
        </w:rPr>
        <w:footnoteRef/>
      </w:r>
      <w:r>
        <w:t xml:space="preserve"> See </w:t>
      </w:r>
      <w:r>
        <w:rPr>
          <w:rFonts w:hint="eastAsia"/>
        </w:rPr>
        <w:t xml:space="preserve">Andrew Gillman, </w:t>
      </w:r>
      <w:r>
        <w:t>“</w:t>
      </w:r>
      <w:r>
        <w:rPr>
          <w:rFonts w:hint="eastAsia"/>
        </w:rPr>
        <w:t>Scope of Primary Liability Under Section 10(b) of the Exchange Act and SEC Rule 10b-5 Following Janus Capital Group</w:t>
      </w:r>
      <w:r>
        <w:t>”</w:t>
      </w:r>
      <w:r>
        <w:rPr>
          <w:rFonts w:hint="eastAsia"/>
        </w:rPr>
        <w:t>, Securities Regulation Law Journal 269, 269-302(2012).</w:t>
      </w:r>
    </w:p>
  </w:footnote>
  <w:footnote w:id="39">
    <w:p w14:paraId="219DC35C">
      <w:pPr>
        <w:pStyle w:val="11"/>
        <w:widowControl w:val="0"/>
        <w:snapToGrid w:val="0"/>
        <w:ind w:firstLine="0"/>
      </w:pPr>
      <w:r>
        <w:rPr>
          <w:rStyle w:val="16"/>
        </w:rPr>
        <w:footnoteRef/>
      </w:r>
      <w:r>
        <w:t xml:space="preserve"> </w:t>
      </w:r>
      <w:r>
        <w:rPr>
          <w:rFonts w:hint="eastAsia"/>
        </w:rPr>
        <w:t xml:space="preserve">See Lorenzo v. Securities and Exchange Commission, 587 U.S. 71 (2019). </w:t>
      </w:r>
    </w:p>
  </w:footnote>
  <w:footnote w:id="40">
    <w:p w14:paraId="781AD0C8">
      <w:pPr>
        <w:pStyle w:val="11"/>
        <w:widowControl w:val="0"/>
        <w:ind w:firstLine="0"/>
      </w:pPr>
      <w:r>
        <w:rPr>
          <w:rStyle w:val="16"/>
        </w:rPr>
        <w:footnoteRef/>
      </w:r>
      <w:r>
        <w:t xml:space="preserve"> See </w:t>
      </w:r>
      <w:r>
        <w:rPr>
          <w:rFonts w:hint="eastAsia"/>
        </w:rPr>
        <w:t xml:space="preserve">Ronald J. Colombo, </w:t>
      </w:r>
      <w:r>
        <w:t>“Cooperation with Securities Fraud”</w:t>
      </w:r>
      <w:r>
        <w:rPr>
          <w:rFonts w:hint="eastAsia"/>
        </w:rPr>
        <w:t>, Alabama Law Review 89, 61-120(2009).</w:t>
      </w:r>
    </w:p>
  </w:footnote>
  <w:footnote w:id="41">
    <w:p w14:paraId="58E8C940">
      <w:pPr>
        <w:pStyle w:val="11"/>
        <w:widowControl w:val="0"/>
        <w:ind w:firstLine="0"/>
      </w:pPr>
      <w:r>
        <w:rPr>
          <w:rStyle w:val="16"/>
        </w:rPr>
        <w:footnoteRef/>
      </w:r>
      <w:r>
        <w:t xml:space="preserve"> See </w:t>
      </w:r>
      <w:r>
        <w:rPr>
          <w:rFonts w:hint="eastAsia"/>
        </w:rPr>
        <w:t xml:space="preserve">David R. Allen, </w:t>
      </w:r>
      <w:r>
        <w:t>“A New Breath of Life for Private Rule 10B-5(B) Litigation after Stoneridge: SEC v. Tambone and Implied Statements by Collateral Actors”</w:t>
      </w:r>
      <w:r>
        <w:rPr>
          <w:rFonts w:hint="eastAsia"/>
        </w:rPr>
        <w:t>, Cardozo Law Review 2094, 2093-2128(2011).</w:t>
      </w:r>
    </w:p>
  </w:footnote>
  <w:footnote w:id="42">
    <w:p w14:paraId="74B40D01">
      <w:pPr>
        <w:pStyle w:val="11"/>
        <w:widowControl w:val="0"/>
        <w:snapToGrid w:val="0"/>
        <w:ind w:firstLine="0"/>
      </w:pPr>
      <w:r>
        <w:rPr>
          <w:rStyle w:val="16"/>
        </w:rPr>
        <w:footnoteRef/>
      </w:r>
      <w:r>
        <w:t xml:space="preserve"> See </w:t>
      </w:r>
      <w:r>
        <w:rPr>
          <w:rFonts w:hint="eastAsia"/>
        </w:rPr>
        <w:t xml:space="preserve">Robert A.Prentice, </w:t>
      </w:r>
      <w:r>
        <w:t>“</w:t>
      </w:r>
      <w:r>
        <w:rPr>
          <w:rFonts w:hint="eastAsia"/>
        </w:rPr>
        <w:t>Locating That Indistinct and Virtually Nonexistent Line between Primary and Secondary Liability under Section 10(b)</w:t>
      </w:r>
      <w:r>
        <w:t>”</w:t>
      </w:r>
      <w:r>
        <w:rPr>
          <w:rFonts w:hint="eastAsia"/>
        </w:rPr>
        <w:t>,  North Carolina Law Review 733, 691-780(1996).</w:t>
      </w:r>
    </w:p>
  </w:footnote>
  <w:footnote w:id="43">
    <w:p w14:paraId="701FC7BA">
      <w:pPr>
        <w:pStyle w:val="11"/>
        <w:widowControl w:val="0"/>
        <w:ind w:firstLine="0"/>
      </w:pPr>
      <w:r>
        <w:rPr>
          <w:rStyle w:val="16"/>
        </w:rPr>
        <w:footnoteRef/>
      </w:r>
      <w:r>
        <w:t xml:space="preserve"> See </w:t>
      </w:r>
      <w:r>
        <w:rPr>
          <w:rFonts w:hint="eastAsia"/>
        </w:rPr>
        <w:t xml:space="preserve">Sarah L.Swan, </w:t>
      </w:r>
      <w:r>
        <w:t>“Aiding and Abetting Matters”</w:t>
      </w:r>
      <w:r>
        <w:rPr>
          <w:rFonts w:hint="eastAsia"/>
        </w:rPr>
        <w:t>, Journal of Tort Law 255, 255-282(2019).</w:t>
      </w:r>
    </w:p>
  </w:footnote>
  <w:footnote w:id="44">
    <w:p w14:paraId="33ECFB7B">
      <w:pPr>
        <w:pStyle w:val="11"/>
        <w:widowControl w:val="0"/>
        <w:ind w:firstLine="0"/>
      </w:pPr>
      <w:r>
        <w:rPr>
          <w:rStyle w:val="16"/>
        </w:rPr>
        <w:footnoteRef/>
      </w:r>
      <w:r>
        <w:t xml:space="preserve"> See </w:t>
      </w:r>
      <w:r>
        <w:rPr>
          <w:rFonts w:hint="eastAsia"/>
        </w:rPr>
        <w:t xml:space="preserve">William H. Kuehnle, </w:t>
      </w:r>
      <w:r>
        <w:t>“Secondary Liability Under The Federal Securities Laws</w:t>
      </w:r>
      <w:r>
        <w:rPr>
          <w:rFonts w:hint="eastAsia"/>
        </w:rPr>
        <w:t>-</w:t>
      </w:r>
      <w:r>
        <w:t>Aiding and Abetting, Conspiracy, Controlling Person, and Agency: Common-Law Principles and The Statutory Scheme”</w:t>
      </w:r>
      <w:r>
        <w:rPr>
          <w:rFonts w:hint="eastAsia"/>
        </w:rPr>
        <w:t>, Journal of Corporation Law 321, 313-376(1988).</w:t>
      </w:r>
    </w:p>
  </w:footnote>
  <w:footnote w:id="45">
    <w:p w14:paraId="48C565FB">
      <w:pPr>
        <w:pStyle w:val="11"/>
        <w:widowControl w:val="0"/>
        <w:ind w:firstLine="0"/>
      </w:pPr>
      <w:r>
        <w:rPr>
          <w:rStyle w:val="16"/>
        </w:rPr>
        <w:footnoteRef/>
      </w:r>
      <w:r>
        <w:t xml:space="preserve"> See </w:t>
      </w:r>
      <w:r>
        <w:rPr>
          <w:rFonts w:hint="eastAsia"/>
        </w:rPr>
        <w:t>Wells Fargo Bank v. Arizona Laborers, Teamsters &amp; Cement Masons Local No. 395 Pension Trust Fund, 201 Ariz. 474, 38 P.3d 12 (2002).</w:t>
      </w:r>
    </w:p>
  </w:footnote>
  <w:footnote w:id="46">
    <w:p w14:paraId="374DF08B">
      <w:pPr>
        <w:pStyle w:val="11"/>
        <w:widowControl w:val="0"/>
        <w:snapToGrid w:val="0"/>
        <w:ind w:firstLine="0"/>
      </w:pPr>
      <w:r>
        <w:rPr>
          <w:rStyle w:val="16"/>
        </w:rPr>
        <w:footnoteRef/>
      </w:r>
      <w:r>
        <w:t xml:space="preserve"> </w:t>
      </w:r>
      <w:r>
        <w:rPr>
          <w:rFonts w:hint="eastAsia"/>
        </w:rPr>
        <w:t xml:space="preserve">See Shuenn Ho, </w:t>
      </w:r>
      <w:r>
        <w:t>“</w:t>
      </w:r>
      <w:r>
        <w:rPr>
          <w:rFonts w:hint="eastAsia"/>
        </w:rPr>
        <w:t>A Missed Opportunity for Wall Street ReformSecondary Liability for Securities Fraud after the Dodd-Frank Act</w:t>
      </w:r>
      <w:r>
        <w:t>”</w:t>
      </w:r>
      <w:r>
        <w:rPr>
          <w:rFonts w:hint="eastAsia"/>
        </w:rPr>
        <w:t>, Harvard Journal on Legislation 190, 175-192(2012).</w:t>
      </w:r>
    </w:p>
  </w:footnote>
  <w:footnote w:id="47">
    <w:p w14:paraId="5ECA91A2">
      <w:pPr>
        <w:pStyle w:val="11"/>
        <w:widowControl w:val="0"/>
        <w:snapToGrid w:val="0"/>
        <w:ind w:firstLine="0"/>
      </w:pPr>
      <w:r>
        <w:rPr>
          <w:rStyle w:val="16"/>
        </w:rPr>
        <w:footnoteRef/>
      </w:r>
      <w:r>
        <w:t xml:space="preserve"> </w:t>
      </w:r>
      <w:r>
        <w:rPr>
          <w:rFonts w:hint="eastAsia"/>
        </w:rPr>
        <w:t xml:space="preserve">See John T.Vangel, </w:t>
      </w:r>
      <w:r>
        <w:t>“</w:t>
      </w:r>
      <w:r>
        <w:rPr>
          <w:rFonts w:hint="eastAsia"/>
        </w:rPr>
        <w:t>Complicity-Doctrine Approach to Section 10(b) Aiding and Abetting Civil Damages Actions</w:t>
      </w:r>
      <w:r>
        <w:t>”</w:t>
      </w:r>
      <w:r>
        <w:rPr>
          <w:rFonts w:hint="eastAsia"/>
        </w:rPr>
        <w:t>,  Columbia Law Review 184, 180-198(1989).</w:t>
      </w:r>
    </w:p>
  </w:footnote>
  <w:footnote w:id="48">
    <w:p w14:paraId="04F8D4E4">
      <w:pPr>
        <w:pStyle w:val="11"/>
        <w:widowControl w:val="0"/>
        <w:snapToGrid w:val="0"/>
        <w:ind w:firstLine="0"/>
      </w:pPr>
      <w:r>
        <w:rPr>
          <w:rStyle w:val="16"/>
        </w:rPr>
        <w:footnoteRef/>
      </w:r>
      <w:r>
        <w:t xml:space="preserve"> </w:t>
      </w:r>
      <w:r>
        <w:rPr>
          <w:rFonts w:hint="eastAsia"/>
        </w:rPr>
        <w:t xml:space="preserve">See Douglas M.Branson, </w:t>
      </w:r>
      <w:r>
        <w:t>“</w:t>
      </w:r>
      <w:r>
        <w:rPr>
          <w:rFonts w:hint="eastAsia"/>
        </w:rPr>
        <w:t>Collateral Participant Liability under the Securities Laws Charting the Proper Course</w:t>
      </w:r>
      <w:r>
        <w:t>”</w:t>
      </w:r>
      <w:r>
        <w:rPr>
          <w:rFonts w:hint="eastAsia"/>
        </w:rPr>
        <w:t>,  Oregon Law Review 351, 327-362(1986).</w:t>
      </w:r>
    </w:p>
  </w:footnote>
  <w:footnote w:id="49">
    <w:p w14:paraId="2BD09CFA">
      <w:pPr>
        <w:pStyle w:val="11"/>
        <w:widowControl w:val="0"/>
        <w:ind w:firstLine="0"/>
      </w:pPr>
      <w:r>
        <w:rPr>
          <w:rStyle w:val="16"/>
        </w:rPr>
        <w:footnoteRef/>
      </w:r>
      <w:r>
        <w:t xml:space="preserve"> See </w:t>
      </w:r>
      <w:r>
        <w:rPr>
          <w:rFonts w:hint="eastAsia"/>
        </w:rPr>
        <w:t xml:space="preserve">Charles J. Wilkes, </w:t>
      </w:r>
      <w:r>
        <w:t>“Secondary-Actor Liability in a Post-Stoneridge World:</w:t>
      </w:r>
      <w:r>
        <w:rPr>
          <w:rFonts w:hint="eastAsia"/>
        </w:rPr>
        <w:t xml:space="preserve"> </w:t>
      </w:r>
      <w:r>
        <w:t>Yes, A Successful Suit Against Secondary Actors is Still Possible”</w:t>
      </w:r>
      <w:r>
        <w:rPr>
          <w:rFonts w:hint="eastAsia"/>
        </w:rPr>
        <w:t xml:space="preserve">, Seton Hall Law Review 1839, 1811-1850(2010). </w:t>
      </w:r>
    </w:p>
  </w:footnote>
  <w:footnote w:id="50">
    <w:p w14:paraId="6F5D14AD">
      <w:pPr>
        <w:pStyle w:val="11"/>
        <w:widowControl w:val="0"/>
        <w:snapToGrid w:val="0"/>
        <w:ind w:firstLine="0"/>
      </w:pPr>
      <w:r>
        <w:rPr>
          <w:rStyle w:val="16"/>
        </w:rPr>
        <w:footnoteRef/>
      </w:r>
      <w:r>
        <w:t xml:space="preserve"> </w:t>
      </w:r>
      <w:r>
        <w:rPr>
          <w:rFonts w:hint="eastAsia"/>
        </w:rPr>
        <w:t xml:space="preserve">See Richard C.Mason, </w:t>
      </w:r>
      <w:r>
        <w:t>“</w:t>
      </w:r>
      <w:r>
        <w:rPr>
          <w:rFonts w:hint="eastAsia"/>
        </w:rPr>
        <w:t>Civil Liability for Aiding and Abetting</w:t>
      </w:r>
      <w:r>
        <w:t>”</w:t>
      </w:r>
      <w:r>
        <w:rPr>
          <w:rFonts w:hint="eastAsia"/>
        </w:rPr>
        <w:t>,  Business Lawyer 1148, 1135-1182(2006).</w:t>
      </w:r>
    </w:p>
  </w:footnote>
  <w:footnote w:id="51">
    <w:p w14:paraId="60EF34F2">
      <w:pPr>
        <w:pStyle w:val="11"/>
        <w:widowControl w:val="0"/>
        <w:ind w:firstLine="0"/>
      </w:pPr>
      <w:r>
        <w:rPr>
          <w:rStyle w:val="16"/>
        </w:rPr>
        <w:footnoteRef/>
      </w:r>
      <w:r>
        <w:t xml:space="preserve"> See </w:t>
      </w:r>
      <w:r>
        <w:rPr>
          <w:rFonts w:hint="eastAsia"/>
        </w:rPr>
        <w:t xml:space="preserve">David S.Ruder, </w:t>
      </w:r>
      <w:r>
        <w:t>“Multiple Defendants in Securities Law Fraud Cases: Aiding and Abetting Conspiracy in Pari Delicto Indemnification and Contribution”</w:t>
      </w:r>
      <w:r>
        <w:rPr>
          <w:rFonts w:hint="eastAsia"/>
        </w:rPr>
        <w:t>,University of Pennsylvania Law Review  611, 597-665(1972).</w:t>
      </w:r>
    </w:p>
  </w:footnote>
  <w:footnote w:id="52">
    <w:p w14:paraId="53CF0ABE">
      <w:pPr>
        <w:pStyle w:val="11"/>
        <w:widowControl w:val="0"/>
        <w:ind w:firstLine="0"/>
      </w:pPr>
      <w:r>
        <w:rPr>
          <w:rStyle w:val="16"/>
        </w:rPr>
        <w:footnoteRef/>
      </w:r>
      <w:r>
        <w:t xml:space="preserve"> </w:t>
      </w:r>
      <w:r>
        <w:rPr>
          <w:rFonts w:hint="eastAsia"/>
        </w:rPr>
        <w:t>参见孙亚明：《民法通则要论》，法律出版社1991年版，第225页。</w:t>
      </w:r>
    </w:p>
  </w:footnote>
  <w:footnote w:id="53">
    <w:p w14:paraId="48DC0B44">
      <w:pPr>
        <w:pStyle w:val="11"/>
        <w:widowControl w:val="0"/>
        <w:ind w:firstLine="0"/>
      </w:pPr>
      <w:r>
        <w:rPr>
          <w:rStyle w:val="16"/>
        </w:rPr>
        <w:footnoteRef/>
      </w:r>
      <w:r>
        <w:t xml:space="preserve"> </w:t>
      </w:r>
      <w:r>
        <w:rPr>
          <w:rFonts w:hint="eastAsia"/>
        </w:rPr>
        <w:t>参见杨立新、梁清：《原因力的因果关系理论基础及其具体应用》，载《法学家》2006年第6期，第107页。</w:t>
      </w:r>
    </w:p>
  </w:footnote>
  <w:footnote w:id="54">
    <w:p w14:paraId="3CA90D4A">
      <w:pPr>
        <w:pStyle w:val="11"/>
        <w:widowControl w:val="0"/>
        <w:ind w:firstLine="0"/>
      </w:pPr>
      <w:r>
        <w:rPr>
          <w:rStyle w:val="16"/>
        </w:rPr>
        <w:footnoteRef/>
      </w:r>
      <w:r>
        <w:t xml:space="preserve"> See</w:t>
      </w:r>
      <w:r>
        <w:rPr>
          <w:rFonts w:hint="eastAsia"/>
        </w:rPr>
        <w:t xml:space="preserve"> Donald C.Langevoort, </w:t>
      </w:r>
      <w:r>
        <w:t>“Reading Stoneridge Carefully: A Duty-Based Approach to Reliance and Third-Party Liability under Rule 10B-5”</w:t>
      </w:r>
      <w:r>
        <w:rPr>
          <w:rFonts w:hint="eastAsia"/>
        </w:rPr>
        <w:t>, University of Pennsylvania Law Review 2155, 2125-2172(2010).</w:t>
      </w:r>
    </w:p>
  </w:footnote>
  <w:footnote w:id="55">
    <w:p w14:paraId="3C6FA4B4">
      <w:pPr>
        <w:pStyle w:val="11"/>
        <w:widowControl w:val="0"/>
        <w:ind w:firstLine="0"/>
      </w:pPr>
      <w:r>
        <w:rPr>
          <w:rStyle w:val="16"/>
        </w:rPr>
        <w:footnoteRef/>
      </w:r>
      <w:r>
        <w:rPr>
          <w:rFonts w:hint="eastAsia"/>
        </w:rPr>
        <w:t>参见［德］克里斯蒂安·冯·巴尔：《欧洲比较侵权行为法》（下），焦美华译，法律出版社2004年版，第1页。</w:t>
      </w:r>
    </w:p>
  </w:footnote>
  <w:footnote w:id="56">
    <w:p w14:paraId="040F1887">
      <w:pPr>
        <w:pStyle w:val="11"/>
        <w:widowControl w:val="0"/>
        <w:ind w:firstLine="0"/>
      </w:pPr>
      <w:r>
        <w:rPr>
          <w:rStyle w:val="16"/>
        </w:rPr>
        <w:footnoteRef/>
      </w:r>
      <w:r>
        <w:t xml:space="preserve"> </w:t>
      </w:r>
      <w:r>
        <w:rPr>
          <w:rFonts w:hint="eastAsia"/>
        </w:rPr>
        <w:t>参见程啸：《侵权责任法》，法律出版社2020年版，第239页。</w:t>
      </w:r>
    </w:p>
  </w:footnote>
  <w:footnote w:id="57">
    <w:p w14:paraId="1B67AD75">
      <w:pPr>
        <w:pStyle w:val="11"/>
        <w:widowControl w:val="0"/>
        <w:ind w:firstLine="0"/>
      </w:pPr>
      <w:r>
        <w:rPr>
          <w:rStyle w:val="16"/>
        </w:rPr>
        <w:footnoteRef/>
      </w:r>
      <w:r>
        <w:t xml:space="preserve"> </w:t>
      </w:r>
      <w:r>
        <w:rPr>
          <w:rFonts w:hint="eastAsia"/>
        </w:rPr>
        <w:t>参见郭雳：《证券欺诈法律责任的边界——新近美国最高法院虚假陈述判例研究》，载《中外法学》2010年第4期，第639页。</w:t>
      </w:r>
    </w:p>
  </w:footnote>
  <w:footnote w:id="58">
    <w:p w14:paraId="737616A0">
      <w:pPr>
        <w:pStyle w:val="11"/>
        <w:widowControl w:val="0"/>
        <w:ind w:firstLine="0"/>
      </w:pPr>
      <w:r>
        <w:rPr>
          <w:rStyle w:val="16"/>
        </w:rPr>
        <w:footnoteRef/>
      </w:r>
      <w:r>
        <w:t xml:space="preserve"> See </w:t>
      </w:r>
      <w:r>
        <w:rPr>
          <w:rFonts w:hint="eastAsia"/>
        </w:rPr>
        <w:t xml:space="preserve">Alan R.Bromberg, </w:t>
      </w:r>
      <w:r>
        <w:t>“Aiding and Abetting Securities Fraud: A Critical Examination”</w:t>
      </w:r>
      <w:r>
        <w:rPr>
          <w:rFonts w:hint="eastAsia"/>
        </w:rPr>
        <w:t>, Albany Law Review 673, 637-774(1988).</w:t>
      </w:r>
    </w:p>
    <w:p w14:paraId="144EF003">
      <w:pPr>
        <w:pStyle w:val="11"/>
        <w:widowControl w:val="0"/>
        <w:ind w:firstLine="0"/>
      </w:pPr>
    </w:p>
  </w:footnote>
  <w:footnote w:id="59">
    <w:p w14:paraId="335A6E8B">
      <w:pPr>
        <w:pStyle w:val="11"/>
        <w:widowControl w:val="0"/>
        <w:snapToGrid w:val="0"/>
        <w:ind w:firstLine="0"/>
      </w:pPr>
      <w:r>
        <w:rPr>
          <w:rStyle w:val="16"/>
        </w:rPr>
        <w:footnoteRef/>
      </w:r>
      <w:r>
        <w:t xml:space="preserve"> </w:t>
      </w:r>
      <w:r>
        <w:rPr>
          <w:rFonts w:hint="eastAsia"/>
        </w:rPr>
        <w:t>中国证监会⾏政处罚决定书〔2023〕51号、中国证券监督管理委员会⾏政处罚决定书〔2024〕110号。</w:t>
      </w:r>
    </w:p>
  </w:footnote>
  <w:footnote w:id="60">
    <w:p w14:paraId="2F4FA0F7">
      <w:pPr>
        <w:pStyle w:val="11"/>
        <w:widowControl w:val="0"/>
        <w:ind w:firstLine="0"/>
      </w:pPr>
      <w:r>
        <w:rPr>
          <w:rStyle w:val="16"/>
        </w:rPr>
        <w:footnoteRef/>
      </w:r>
      <w:r>
        <w:t xml:space="preserve"> </w:t>
      </w:r>
      <w:r>
        <w:rPr>
          <w:rFonts w:hint="eastAsia"/>
        </w:rPr>
        <w:t>参见程啸：《侵权责任法》，法律出版社2020年版，第258页。</w:t>
      </w:r>
    </w:p>
  </w:footnote>
  <w:footnote w:id="61">
    <w:p w14:paraId="1CDEEEBC">
      <w:pPr>
        <w:pStyle w:val="11"/>
        <w:widowControl w:val="0"/>
        <w:ind w:firstLine="0"/>
      </w:pPr>
      <w:r>
        <w:rPr>
          <w:rStyle w:val="16"/>
        </w:rPr>
        <w:footnoteRef/>
      </w:r>
      <w:r>
        <w:t xml:space="preserve"> See </w:t>
      </w:r>
      <w:r>
        <w:rPr>
          <w:rFonts w:hint="eastAsia"/>
        </w:rPr>
        <w:t xml:space="preserve">Joel Seligman, </w:t>
      </w:r>
      <w:r>
        <w:t>“The Implications of Central Bank”</w:t>
      </w:r>
      <w:r>
        <w:rPr>
          <w:rFonts w:hint="eastAsia"/>
        </w:rPr>
        <w:t>, Business Lawyer 1442, 1429-1450(1993).</w:t>
      </w:r>
    </w:p>
  </w:footnote>
  <w:footnote w:id="62">
    <w:p w14:paraId="2F797552">
      <w:pPr>
        <w:pStyle w:val="11"/>
        <w:widowControl w:val="0"/>
        <w:snapToGrid w:val="0"/>
        <w:ind w:firstLine="0"/>
      </w:pPr>
      <w:r>
        <w:rPr>
          <w:rStyle w:val="16"/>
        </w:rPr>
        <w:footnoteRef/>
      </w:r>
      <w:r>
        <w:t xml:space="preserve"> </w:t>
      </w:r>
      <w:r>
        <w:rPr>
          <w:rFonts w:hint="eastAsia"/>
        </w:rPr>
        <w:t xml:space="preserve">See Don J. McDermett Jr., </w:t>
      </w:r>
      <w:r>
        <w:t>“</w:t>
      </w:r>
      <w:r>
        <w:rPr>
          <w:rFonts w:hint="eastAsia"/>
        </w:rPr>
        <w:t>Liability for Aiding and Abetting Violations of Rule 10b-5: The Recklessness Standard in Civil Damage Actions</w:t>
      </w:r>
      <w:r>
        <w:t>”</w:t>
      </w:r>
      <w:r>
        <w:rPr>
          <w:rFonts w:hint="eastAsia"/>
        </w:rPr>
        <w:t>,  Texas Law Review 1110, 1087-1114(1984).</w:t>
      </w:r>
    </w:p>
  </w:footnote>
  <w:footnote w:id="63">
    <w:p w14:paraId="61968827">
      <w:pPr>
        <w:pStyle w:val="11"/>
        <w:widowControl w:val="0"/>
        <w:ind w:firstLine="0"/>
      </w:pPr>
      <w:r>
        <w:rPr>
          <w:rStyle w:val="16"/>
        </w:rPr>
        <w:footnoteRef/>
      </w:r>
      <w:r>
        <w:t xml:space="preserve"> </w:t>
      </w:r>
      <w:r>
        <w:rPr>
          <w:rFonts w:hint="eastAsia"/>
        </w:rPr>
        <w:t>参见缪因知：《比例连带责任的叠加责任属性与追偿规则设置》，载《政治与法律》2024年第4期，第163页。</w:t>
      </w:r>
    </w:p>
  </w:footnote>
  <w:footnote w:id="64">
    <w:p w14:paraId="66F2374D">
      <w:pPr>
        <w:pStyle w:val="11"/>
        <w:widowControl w:val="0"/>
        <w:ind w:firstLine="0"/>
      </w:pPr>
      <w:r>
        <w:rPr>
          <w:rStyle w:val="16"/>
        </w:rPr>
        <w:footnoteRef/>
      </w:r>
      <w:r>
        <w:t xml:space="preserve"> See Ken Oliphant, Aggregation and Divisibility of Damage, New York: Springer, 2009, p.37.</w:t>
      </w:r>
    </w:p>
  </w:footnote>
  <w:footnote w:id="65">
    <w:p w14:paraId="75407DD4">
      <w:pPr>
        <w:pStyle w:val="11"/>
        <w:widowControl w:val="0"/>
        <w:ind w:firstLine="0"/>
      </w:pPr>
      <w:r>
        <w:rPr>
          <w:rStyle w:val="16"/>
        </w:rPr>
        <w:footnoteRef/>
      </w:r>
      <w:r>
        <w:t xml:space="preserve"> </w:t>
      </w:r>
      <w:r>
        <w:rPr>
          <w:rFonts w:hint="eastAsia"/>
        </w:rPr>
        <w:t>参见李涛：《侵权法中部分连带责任制度的体系化——从证券虚假陈述的视角出发》，载《上海金融》2024年第5期，第73页。</w:t>
      </w:r>
    </w:p>
  </w:footnote>
  <w:footnote w:id="66">
    <w:p w14:paraId="46282DB2">
      <w:pPr>
        <w:pStyle w:val="11"/>
        <w:widowControl w:val="0"/>
        <w:ind w:firstLine="0"/>
      </w:pPr>
      <w:r>
        <w:rPr>
          <w:rStyle w:val="16"/>
        </w:rPr>
        <w:footnoteRef/>
      </w:r>
      <w:r>
        <w:t xml:space="preserve"> </w:t>
      </w:r>
      <w:r>
        <w:rPr>
          <w:rFonts w:hint="eastAsia"/>
        </w:rPr>
        <w:t>参见史欣媛：《比例连带责任在中介机构虚假陈述责任认定中的适用》，载《河南财经政法大学学报》2022年第4期，第39页。</w:t>
      </w:r>
    </w:p>
  </w:footnote>
  <w:footnote w:id="67">
    <w:p w14:paraId="0E6DCCED">
      <w:pPr>
        <w:pStyle w:val="11"/>
        <w:widowControl w:val="0"/>
        <w:ind w:firstLine="0"/>
      </w:pPr>
      <w:r>
        <w:rPr>
          <w:rStyle w:val="16"/>
        </w:rPr>
        <w:footnoteRef/>
      </w:r>
      <w:r>
        <w:t xml:space="preserve"> </w:t>
      </w:r>
      <w:r>
        <w:rPr>
          <w:rFonts w:hint="eastAsia"/>
        </w:rPr>
        <w:t>参见王才伟：《论证券服务机构虚假陈述比例连带责任的分担》，载《中国社会科学院大学学报》2025年第5期，第138页。</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1FAD8">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doNotTrackMoves/>
  <w:documentProtection w:enforcement="0"/>
  <w:defaultTabStop w:val="720"/>
  <w:drawingGridHorizontalSpacing w:val="360"/>
  <w:drawingGridVerticalSpacing w:val="360"/>
  <w:noPunctuationKerning w:val="1"/>
  <w:characterSpacingControl w:val="doNotCompress"/>
  <w:hdrShapeDefaults>
    <o:shapelayout v:ext="edit">
      <o:idmap v:ext="edit" data="1"/>
    </o:shapelayout>
  </w:hdrShapeDefaults>
  <w:footnotePr>
    <w:numRestart w:val="eachSect"/>
    <w:footnote w:id="136"/>
    <w:footnote w:id="137"/>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12D7"/>
    <w:rsid w:val="001B277E"/>
    <w:rsid w:val="00277D9E"/>
    <w:rsid w:val="002E122D"/>
    <w:rsid w:val="0048440D"/>
    <w:rsid w:val="004D7058"/>
    <w:rsid w:val="007A5D52"/>
    <w:rsid w:val="007A637C"/>
    <w:rsid w:val="008309D9"/>
    <w:rsid w:val="00A908FB"/>
    <w:rsid w:val="00AB12D7"/>
    <w:rsid w:val="0FEE784D"/>
    <w:rsid w:val="0FF31BDC"/>
    <w:rsid w:val="17B2FEF7"/>
    <w:rsid w:val="17DEC96D"/>
    <w:rsid w:val="17FBC007"/>
    <w:rsid w:val="1BDF17A4"/>
    <w:rsid w:val="1DBD461D"/>
    <w:rsid w:val="1F2EF7E6"/>
    <w:rsid w:val="23EEA509"/>
    <w:rsid w:val="28FE5A28"/>
    <w:rsid w:val="2FFEDD07"/>
    <w:rsid w:val="2FFEF882"/>
    <w:rsid w:val="2FFF355F"/>
    <w:rsid w:val="333F6F73"/>
    <w:rsid w:val="35FCB8D7"/>
    <w:rsid w:val="37DFFDA4"/>
    <w:rsid w:val="3BD7506D"/>
    <w:rsid w:val="3BED4EB8"/>
    <w:rsid w:val="3BF32B81"/>
    <w:rsid w:val="3D6F0C34"/>
    <w:rsid w:val="3DFBDED3"/>
    <w:rsid w:val="3EFB5D99"/>
    <w:rsid w:val="3F594591"/>
    <w:rsid w:val="3F762E43"/>
    <w:rsid w:val="3F7CADF6"/>
    <w:rsid w:val="437DA32E"/>
    <w:rsid w:val="47F5539B"/>
    <w:rsid w:val="4A3AC864"/>
    <w:rsid w:val="4F6F00B4"/>
    <w:rsid w:val="4F7E476D"/>
    <w:rsid w:val="55F5156F"/>
    <w:rsid w:val="56F3B5C0"/>
    <w:rsid w:val="56F7E366"/>
    <w:rsid w:val="57DF025C"/>
    <w:rsid w:val="5BD3E080"/>
    <w:rsid w:val="5D7EAAFB"/>
    <w:rsid w:val="5DF24547"/>
    <w:rsid w:val="5EEFEDFC"/>
    <w:rsid w:val="5EF1E6F6"/>
    <w:rsid w:val="5EFF0722"/>
    <w:rsid w:val="5F73DF8B"/>
    <w:rsid w:val="5F7B6E21"/>
    <w:rsid w:val="5F7DF1AC"/>
    <w:rsid w:val="5F95B144"/>
    <w:rsid w:val="5FAE2562"/>
    <w:rsid w:val="5FDE2EAF"/>
    <w:rsid w:val="5FFB6EC9"/>
    <w:rsid w:val="5FFBCFA1"/>
    <w:rsid w:val="5FFE520B"/>
    <w:rsid w:val="66EF15D5"/>
    <w:rsid w:val="66FCD451"/>
    <w:rsid w:val="67676C31"/>
    <w:rsid w:val="67CFD8B7"/>
    <w:rsid w:val="68B950AC"/>
    <w:rsid w:val="69DDD156"/>
    <w:rsid w:val="6A7F269C"/>
    <w:rsid w:val="6AFF1C03"/>
    <w:rsid w:val="6BB7A6E6"/>
    <w:rsid w:val="6C3DE706"/>
    <w:rsid w:val="6F9F5559"/>
    <w:rsid w:val="6FFE05BB"/>
    <w:rsid w:val="6FFF73C8"/>
    <w:rsid w:val="719F3896"/>
    <w:rsid w:val="71EF1970"/>
    <w:rsid w:val="72BF7EB2"/>
    <w:rsid w:val="73B7F841"/>
    <w:rsid w:val="73D113A7"/>
    <w:rsid w:val="74B5F08B"/>
    <w:rsid w:val="74EE61CB"/>
    <w:rsid w:val="77AFF4D3"/>
    <w:rsid w:val="77DFD165"/>
    <w:rsid w:val="77FF0353"/>
    <w:rsid w:val="77FF1FDF"/>
    <w:rsid w:val="79EF6F46"/>
    <w:rsid w:val="7A7F1B8E"/>
    <w:rsid w:val="7B77E5F1"/>
    <w:rsid w:val="7B912149"/>
    <w:rsid w:val="7BCFF4B0"/>
    <w:rsid w:val="7BEFFD28"/>
    <w:rsid w:val="7BFF07F8"/>
    <w:rsid w:val="7D6D5CCF"/>
    <w:rsid w:val="7D6F7E6A"/>
    <w:rsid w:val="7DD3E4C8"/>
    <w:rsid w:val="7DE636FE"/>
    <w:rsid w:val="7DF79BCB"/>
    <w:rsid w:val="7DFF7A02"/>
    <w:rsid w:val="7EBF08A0"/>
    <w:rsid w:val="7ECB3A67"/>
    <w:rsid w:val="7EF093E7"/>
    <w:rsid w:val="7F7DD236"/>
    <w:rsid w:val="7F7E262D"/>
    <w:rsid w:val="7F7E7A49"/>
    <w:rsid w:val="7FBECF95"/>
    <w:rsid w:val="7FDCC7AD"/>
    <w:rsid w:val="7FDF837B"/>
    <w:rsid w:val="7FEB60AE"/>
    <w:rsid w:val="7FF5B82C"/>
    <w:rsid w:val="7FFF834C"/>
    <w:rsid w:val="8BFCF8E5"/>
    <w:rsid w:val="8FFE9DFA"/>
    <w:rsid w:val="91BF6101"/>
    <w:rsid w:val="996FEB28"/>
    <w:rsid w:val="9FBF8BAB"/>
    <w:rsid w:val="AB5E6109"/>
    <w:rsid w:val="ADFE764C"/>
    <w:rsid w:val="B4BCE6A6"/>
    <w:rsid w:val="B7D7A422"/>
    <w:rsid w:val="B7DF32CA"/>
    <w:rsid w:val="B9DA3227"/>
    <w:rsid w:val="BBF789F6"/>
    <w:rsid w:val="BDFE1A49"/>
    <w:rsid w:val="BE6F4032"/>
    <w:rsid w:val="BECF93E1"/>
    <w:rsid w:val="BF521AC5"/>
    <w:rsid w:val="BF7946A7"/>
    <w:rsid w:val="BF8EC566"/>
    <w:rsid w:val="BFBF5B9D"/>
    <w:rsid w:val="BFDFE11F"/>
    <w:rsid w:val="BFE4C1B6"/>
    <w:rsid w:val="BFFF0E9A"/>
    <w:rsid w:val="C6794D50"/>
    <w:rsid w:val="CFE74F6E"/>
    <w:rsid w:val="CFF1A6A9"/>
    <w:rsid w:val="CFFBE19C"/>
    <w:rsid w:val="D3BF25D9"/>
    <w:rsid w:val="D4F81FB8"/>
    <w:rsid w:val="D5666869"/>
    <w:rsid w:val="D56E647F"/>
    <w:rsid w:val="D5FFA8CE"/>
    <w:rsid w:val="D8FE00E1"/>
    <w:rsid w:val="D997B4FF"/>
    <w:rsid w:val="D9FF7011"/>
    <w:rsid w:val="DA9F201B"/>
    <w:rsid w:val="DAFFEA18"/>
    <w:rsid w:val="DBAB9781"/>
    <w:rsid w:val="DDAEF869"/>
    <w:rsid w:val="DF7767C9"/>
    <w:rsid w:val="DF777649"/>
    <w:rsid w:val="DFFD5357"/>
    <w:rsid w:val="E7BF99E9"/>
    <w:rsid w:val="EBC607A0"/>
    <w:rsid w:val="EBE7587D"/>
    <w:rsid w:val="EDBFBE35"/>
    <w:rsid w:val="EDEF5BD4"/>
    <w:rsid w:val="EEFF895F"/>
    <w:rsid w:val="EF5ED724"/>
    <w:rsid w:val="EFBFF938"/>
    <w:rsid w:val="EFDE2E49"/>
    <w:rsid w:val="EFDF1895"/>
    <w:rsid w:val="EFF6AB90"/>
    <w:rsid w:val="F12DC7DE"/>
    <w:rsid w:val="F2CDBE0E"/>
    <w:rsid w:val="F3FFE9F7"/>
    <w:rsid w:val="F5EF2F5D"/>
    <w:rsid w:val="F67F69EA"/>
    <w:rsid w:val="F6FB533C"/>
    <w:rsid w:val="F76343DD"/>
    <w:rsid w:val="F77A95E5"/>
    <w:rsid w:val="F79EE17D"/>
    <w:rsid w:val="F7D3BB61"/>
    <w:rsid w:val="F7FEBC69"/>
    <w:rsid w:val="F9DFA387"/>
    <w:rsid w:val="FA6B600B"/>
    <w:rsid w:val="FADFAAED"/>
    <w:rsid w:val="FBDC3557"/>
    <w:rsid w:val="FBFFA58D"/>
    <w:rsid w:val="FCFE89FB"/>
    <w:rsid w:val="FD373A5C"/>
    <w:rsid w:val="FDFF305A"/>
    <w:rsid w:val="FDFF8FD5"/>
    <w:rsid w:val="FE3B5E4B"/>
    <w:rsid w:val="FE6FA422"/>
    <w:rsid w:val="FE970558"/>
    <w:rsid w:val="FEDDE824"/>
    <w:rsid w:val="FEEF0A2E"/>
    <w:rsid w:val="FEFD0688"/>
    <w:rsid w:val="FEFE242F"/>
    <w:rsid w:val="FF6FE215"/>
    <w:rsid w:val="FF7E1B3B"/>
    <w:rsid w:val="FF95A239"/>
    <w:rsid w:val="FFAB587A"/>
    <w:rsid w:val="FFEE8CAC"/>
    <w:rsid w:val="FFEFDC7E"/>
    <w:rsid w:val="FFF5D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480"/>
      <w:jc w:val="both"/>
    </w:pPr>
    <w:rPr>
      <w:rFonts w:ascii="Times New Roman" w:hAnsi="Times New Roman" w:eastAsia="宋体" w:cs="Times New Roman"/>
      <w:color w:val="000000"/>
      <w:sz w:val="24"/>
      <w:szCs w:val="24"/>
      <w:lang w:val="en-US" w:eastAsia="zh-CN" w:bidi="ar-SA"/>
    </w:rPr>
  </w:style>
  <w:style w:type="paragraph" w:styleId="2">
    <w:name w:val="heading 1"/>
    <w:basedOn w:val="1"/>
    <w:next w:val="3"/>
    <w:qFormat/>
    <w:uiPriority w:val="0"/>
    <w:pPr>
      <w:keepNext/>
      <w:keepLines/>
      <w:spacing w:before="240"/>
      <w:ind w:firstLine="0"/>
      <w:jc w:val="center"/>
      <w:outlineLvl w:val="0"/>
    </w:pPr>
    <w:rPr>
      <w:rFonts w:eastAsia="黑体"/>
      <w:b/>
      <w:bCs/>
      <w:sz w:val="44"/>
      <w:szCs w:val="44"/>
    </w:rPr>
  </w:style>
  <w:style w:type="paragraph" w:styleId="4">
    <w:name w:val="heading 2"/>
    <w:basedOn w:val="1"/>
    <w:next w:val="3"/>
    <w:qFormat/>
    <w:uiPriority w:val="0"/>
    <w:pPr>
      <w:keepNext/>
      <w:keepLines/>
      <w:spacing w:before="200" w:after="100"/>
      <w:ind w:firstLine="0"/>
      <w:jc w:val="center"/>
      <w:outlineLvl w:val="1"/>
    </w:pPr>
    <w:rPr>
      <w:rFonts w:eastAsia="黑体"/>
      <w:b/>
      <w:bCs/>
      <w:sz w:val="32"/>
      <w:szCs w:val="32"/>
    </w:rPr>
  </w:style>
  <w:style w:type="paragraph" w:styleId="5">
    <w:name w:val="heading 3"/>
    <w:basedOn w:val="1"/>
    <w:next w:val="3"/>
    <w:qFormat/>
    <w:uiPriority w:val="0"/>
    <w:pPr>
      <w:keepNext/>
      <w:keepLines/>
      <w:spacing w:before="160" w:after="80"/>
      <w:ind w:firstLine="0"/>
      <w:outlineLvl w:val="2"/>
    </w:pPr>
    <w:rPr>
      <w:rFonts w:eastAsia="黑体"/>
      <w:b/>
      <w:bCs/>
      <w:sz w:val="28"/>
      <w:szCs w:val="28"/>
    </w:rPr>
  </w:style>
  <w:style w:type="paragraph" w:styleId="6">
    <w:name w:val="heading 4"/>
    <w:basedOn w:val="1"/>
    <w:next w:val="3"/>
    <w:qFormat/>
    <w:uiPriority w:val="0"/>
    <w:pPr>
      <w:keepNext/>
      <w:keepLines/>
      <w:spacing w:before="120" w:after="60"/>
      <w:ind w:firstLine="0"/>
      <w:outlineLvl w:val="3"/>
    </w:pPr>
    <w:rPr>
      <w:rFonts w:eastAsia="黑体"/>
      <w:b/>
      <w:bCs/>
      <w:sz w:val="26"/>
      <w:szCs w:val="26"/>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style>
  <w:style w:type="paragraph" w:styleId="7">
    <w:name w:val="caption"/>
    <w:basedOn w:val="1"/>
    <w:next w:val="1"/>
    <w:unhideWhenUsed/>
    <w:qFormat/>
    <w:uiPriority w:val="35"/>
    <w:pPr>
      <w:spacing w:after="200" w:line="240" w:lineRule="auto"/>
      <w:ind w:firstLine="0"/>
      <w:jc w:val="center"/>
    </w:pPr>
    <w:rPr>
      <w:sz w:val="20"/>
      <w:szCs w:val="20"/>
    </w:rPr>
  </w:style>
  <w:style w:type="paragraph" w:styleId="8">
    <w:name w:val="annotation text"/>
    <w:basedOn w:val="1"/>
    <w:uiPriority w:val="0"/>
    <w:pPr>
      <w:jc w:val="left"/>
    </w:p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1">
    <w:name w:val="footnote text"/>
    <w:basedOn w:val="1"/>
    <w:link w:val="18"/>
    <w:semiHidden/>
    <w:unhideWhenUsed/>
    <w:uiPriority w:val="99"/>
    <w:pPr>
      <w:spacing w:after="0" w:line="240" w:lineRule="auto"/>
      <w:ind w:firstLine="200"/>
    </w:pPr>
    <w:rPr>
      <w:sz w:val="18"/>
      <w:szCs w:val="18"/>
    </w:rPr>
  </w:style>
  <w:style w:type="paragraph" w:styleId="12">
    <w:name w:val="Title"/>
    <w:basedOn w:val="1"/>
    <w:next w:val="3"/>
    <w:qFormat/>
    <w:uiPriority w:val="0"/>
    <w:pPr>
      <w:spacing w:before="240" w:after="240"/>
      <w:ind w:firstLine="0"/>
      <w:jc w:val="center"/>
    </w:pPr>
    <w:rPr>
      <w:rFonts w:eastAsia="黑体"/>
      <w:b/>
      <w:bCs/>
      <w:sz w:val="36"/>
      <w:szCs w:val="36"/>
    </w:rPr>
  </w:style>
  <w:style w:type="table" w:styleId="14">
    <w:name w:val="Table Grid"/>
    <w:basedOn w:val="13"/>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6">
    <w:name w:val="footnote reference"/>
    <w:basedOn w:val="15"/>
    <w:semiHidden/>
    <w:unhideWhenUsed/>
    <w:uiPriority w:val="99"/>
    <w:rPr>
      <w:rFonts w:ascii="Times New Roman" w:hAnsi="Times New Roman" w:eastAsia="宋体" w:cs="Times New Roman"/>
      <w:color w:val="000000"/>
      <w:vertAlign w:val="superscript"/>
    </w:rPr>
  </w:style>
  <w:style w:type="paragraph" w:customStyle="1" w:styleId="17">
    <w:name w:val="First Paragraph"/>
    <w:basedOn w:val="3"/>
    <w:next w:val="3"/>
    <w:qFormat/>
    <w:uiPriority w:val="0"/>
  </w:style>
  <w:style w:type="character" w:customStyle="1" w:styleId="18">
    <w:name w:val="脚注文本 字符"/>
    <w:basedOn w:val="15"/>
    <w:link w:val="11"/>
    <w:semiHidden/>
    <w:uiPriority w:val="99"/>
    <w:rPr>
      <w:rFonts w:ascii="Times New Roman" w:hAnsi="Times New Roman" w:eastAsia="宋体" w:cs="Times New Roman"/>
      <w:color w:val="000000"/>
      <w:sz w:val="18"/>
      <w:szCs w:val="18"/>
    </w:rPr>
  </w:style>
  <w:style w:type="paragraph" w:customStyle="1" w:styleId="19">
    <w:name w:val="Source Code"/>
    <w:basedOn w:val="1"/>
    <w:uiPriority w:val="0"/>
    <w:pPr>
      <w:wordWrap w:val="0"/>
    </w:pPr>
  </w:style>
  <w:style w:type="character" w:customStyle="1" w:styleId="20">
    <w:name w:val="KeywordTok"/>
    <w:uiPriority w:val="0"/>
    <w:rPr>
      <w:b/>
      <w:color w:val="000000"/>
    </w:rPr>
  </w:style>
  <w:style w:type="character" w:customStyle="1" w:styleId="21">
    <w:name w:val="DataTypeTok"/>
    <w:uiPriority w:val="0"/>
    <w:rPr>
      <w:color w:val="000000"/>
    </w:rPr>
  </w:style>
  <w:style w:type="character" w:customStyle="1" w:styleId="22">
    <w:name w:val="DecValTok"/>
    <w:uiPriority w:val="0"/>
    <w:rPr>
      <w:color w:val="000000"/>
    </w:rPr>
  </w:style>
  <w:style w:type="character" w:customStyle="1" w:styleId="23">
    <w:name w:val="BaseNTok"/>
    <w:uiPriority w:val="0"/>
    <w:rPr>
      <w:color w:val="000000"/>
    </w:rPr>
  </w:style>
  <w:style w:type="character" w:customStyle="1" w:styleId="24">
    <w:name w:val="FloatTok"/>
    <w:uiPriority w:val="0"/>
    <w:rPr>
      <w:color w:val="000000"/>
    </w:rPr>
  </w:style>
  <w:style w:type="character" w:customStyle="1" w:styleId="25">
    <w:name w:val="ConstantTok"/>
    <w:uiPriority w:val="0"/>
    <w:rPr>
      <w:color w:val="000000"/>
    </w:rPr>
  </w:style>
  <w:style w:type="character" w:customStyle="1" w:styleId="26">
    <w:name w:val="CharTok"/>
    <w:uiPriority w:val="0"/>
    <w:rPr>
      <w:color w:val="000000"/>
    </w:rPr>
  </w:style>
  <w:style w:type="character" w:customStyle="1" w:styleId="27">
    <w:name w:val="SpecialCharTok"/>
    <w:uiPriority w:val="0"/>
    <w:rPr>
      <w:color w:val="000000"/>
    </w:rPr>
  </w:style>
  <w:style w:type="character" w:customStyle="1" w:styleId="28">
    <w:name w:val="StringTok"/>
    <w:uiPriority w:val="0"/>
    <w:rPr>
      <w:color w:val="000000"/>
    </w:rPr>
  </w:style>
  <w:style w:type="character" w:customStyle="1" w:styleId="29">
    <w:name w:val="VerbatimStringTok"/>
    <w:uiPriority w:val="0"/>
    <w:rPr>
      <w:color w:val="000000"/>
    </w:rPr>
  </w:style>
  <w:style w:type="character" w:customStyle="1" w:styleId="30">
    <w:name w:val="SpecialStringTok"/>
    <w:uiPriority w:val="0"/>
    <w:rPr>
      <w:color w:val="000000"/>
    </w:rPr>
  </w:style>
  <w:style w:type="character" w:customStyle="1" w:styleId="31">
    <w:name w:val="ImportTok"/>
    <w:uiPriority w:val="0"/>
    <w:rPr>
      <w:b/>
      <w:color w:val="000000"/>
    </w:rPr>
  </w:style>
  <w:style w:type="character" w:customStyle="1" w:styleId="32">
    <w:name w:val="CommentTok"/>
    <w:uiPriority w:val="0"/>
    <w:rPr>
      <w:i/>
      <w:color w:val="000000"/>
    </w:rPr>
  </w:style>
  <w:style w:type="character" w:customStyle="1" w:styleId="33">
    <w:name w:val="DocumentationTok"/>
    <w:uiPriority w:val="0"/>
    <w:rPr>
      <w:i/>
      <w:color w:val="000000"/>
    </w:rPr>
  </w:style>
  <w:style w:type="character" w:customStyle="1" w:styleId="34">
    <w:name w:val="AnnotationTok"/>
    <w:uiPriority w:val="0"/>
    <w:rPr>
      <w:b/>
      <w:i/>
      <w:color w:val="000000"/>
    </w:rPr>
  </w:style>
  <w:style w:type="character" w:customStyle="1" w:styleId="35">
    <w:name w:val="CommentVarTok"/>
    <w:uiPriority w:val="0"/>
    <w:rPr>
      <w:b/>
      <w:i/>
      <w:color w:val="000000"/>
    </w:rPr>
  </w:style>
  <w:style w:type="character" w:customStyle="1" w:styleId="36">
    <w:name w:val="OtherTok"/>
    <w:uiPriority w:val="0"/>
    <w:rPr>
      <w:color w:val="000000"/>
    </w:rPr>
  </w:style>
  <w:style w:type="character" w:customStyle="1" w:styleId="37">
    <w:name w:val="FunctionTok"/>
    <w:uiPriority w:val="0"/>
    <w:rPr>
      <w:color w:val="000000"/>
    </w:rPr>
  </w:style>
  <w:style w:type="character" w:customStyle="1" w:styleId="38">
    <w:name w:val="VariableTok"/>
    <w:uiPriority w:val="0"/>
    <w:rPr>
      <w:color w:val="000000"/>
    </w:rPr>
  </w:style>
  <w:style w:type="character" w:customStyle="1" w:styleId="39">
    <w:name w:val="ControlFlowTok"/>
    <w:uiPriority w:val="0"/>
    <w:rPr>
      <w:b/>
      <w:color w:val="000000"/>
    </w:rPr>
  </w:style>
  <w:style w:type="character" w:customStyle="1" w:styleId="40">
    <w:name w:val="OperatorTok"/>
    <w:uiPriority w:val="0"/>
    <w:rPr>
      <w:color w:val="000000"/>
    </w:rPr>
  </w:style>
  <w:style w:type="character" w:customStyle="1" w:styleId="41">
    <w:name w:val="BuiltInTok"/>
    <w:uiPriority w:val="0"/>
    <w:rPr>
      <w:color w:val="000000"/>
    </w:rPr>
  </w:style>
  <w:style w:type="character" w:customStyle="1" w:styleId="42">
    <w:name w:val="ExtensionTok"/>
    <w:uiPriority w:val="0"/>
  </w:style>
  <w:style w:type="character" w:customStyle="1" w:styleId="43">
    <w:name w:val="PreprocessorTok"/>
    <w:uiPriority w:val="0"/>
    <w:rPr>
      <w:color w:val="000000"/>
    </w:rPr>
  </w:style>
  <w:style w:type="character" w:customStyle="1" w:styleId="44">
    <w:name w:val="AttributeTok"/>
    <w:uiPriority w:val="0"/>
    <w:rPr>
      <w:color w:val="000000"/>
    </w:rPr>
  </w:style>
  <w:style w:type="character" w:customStyle="1" w:styleId="45">
    <w:name w:val="RegionMarkerTok"/>
    <w:uiPriority w:val="0"/>
  </w:style>
  <w:style w:type="character" w:customStyle="1" w:styleId="46">
    <w:name w:val="InformationTok"/>
    <w:uiPriority w:val="0"/>
    <w:rPr>
      <w:b/>
      <w:i/>
      <w:color w:val="000000"/>
    </w:rPr>
  </w:style>
  <w:style w:type="character" w:customStyle="1" w:styleId="47">
    <w:name w:val="WarningTok"/>
    <w:uiPriority w:val="0"/>
    <w:rPr>
      <w:b/>
      <w:i/>
      <w:color w:val="000000"/>
    </w:rPr>
  </w:style>
  <w:style w:type="character" w:customStyle="1" w:styleId="48">
    <w:name w:val="AlertTok"/>
    <w:uiPriority w:val="0"/>
    <w:rPr>
      <w:b/>
      <w:color w:val="000000"/>
    </w:rPr>
  </w:style>
  <w:style w:type="character" w:customStyle="1" w:styleId="49">
    <w:name w:val="ErrorTok"/>
    <w:uiPriority w:val="0"/>
    <w:rPr>
      <w:b/>
      <w:color w:val="000000"/>
    </w:rPr>
  </w:style>
  <w:style w:type="character" w:customStyle="1" w:styleId="50">
    <w:name w:val="NormalTok"/>
    <w:uiPriority w:val="0"/>
  </w:style>
  <w:style w:type="paragraph" w:customStyle="1" w:styleId="51">
    <w:name w:val="Compact"/>
    <w:basedOn w:val="3"/>
    <w:qFormat/>
    <w:uiPriority w:val="0"/>
    <w:pPr>
      <w:spacing w:before="36" w:after="36" w:line="240" w:lineRule="auto"/>
      <w:ind w:firstLine="0"/>
      <w:jc w:val="center"/>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3221</Words>
  <Characters>18360</Characters>
  <Lines>153</Lines>
  <Paragraphs>43</Paragraphs>
  <TotalTime>0</TotalTime>
  <ScaleCrop>false</ScaleCrop>
  <LinksUpToDate>false</LinksUpToDate>
  <CharactersWithSpaces>21538</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2026-05-04T05:20:00Z</dcterms:created>
  <dc:creator>yangchenyi</dc:creator>
  <cp:lastModifiedBy>yangchenyi</cp:lastModifiedBy>
  <dcterms:modified xsi:type="dcterms:W3CDTF">2026-05-16T10:23:20Z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09C71AAB3C8F7A9C4C48F1692D27CC75_42</vt:lpwstr>
  </property>
</Properties>
</file>