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F9F3F">
      <w:pPr>
        <w:pStyle w:val="23"/>
        <w:spacing w:before="0" w:beforeAutospacing="0" w:after="0" w:afterAutospacing="0"/>
        <w:jc w:val="center"/>
        <w:rPr>
          <w:rFonts w:ascii="Times New Roman" w:hAnsi="Times New Roman" w:eastAsia="黑体" w:cs="Times New Roman"/>
          <w:sz w:val="32"/>
          <w:szCs w:val="32"/>
        </w:rPr>
      </w:pPr>
      <w:bookmarkStart w:id="0" w:name="_Toc16668"/>
      <w:bookmarkStart w:id="1" w:name="_Toc28685"/>
      <w:bookmarkStart w:id="2" w:name="_Toc147672773"/>
      <w:bookmarkStart w:id="3" w:name="_Toc18536"/>
      <w:r>
        <w:rPr>
          <w:rFonts w:hint="eastAsia" w:ascii="Times New Roman" w:hAnsi="Times New Roman" w:eastAsia="黑体" w:cs="Times New Roman"/>
          <w:sz w:val="32"/>
          <w:szCs w:val="32"/>
        </w:rPr>
        <w:t>证明妨碍制度在知识产权损害赔偿诉讼中的适用研究</w:t>
      </w:r>
    </w:p>
    <w:p w14:paraId="185A528B">
      <w:pPr>
        <w:widowControl w:val="0"/>
        <w:spacing w:line="240" w:lineRule="auto"/>
        <w:ind w:firstLine="420" w:firstLineChars="200"/>
        <w:rPr>
          <w:rFonts w:hint="eastAsia" w:ascii="华文仿宋" w:hAnsi="华文仿宋" w:eastAsia="华文仿宋" w:cs="Times New Roman"/>
          <w:bCs/>
          <w:kern w:val="2"/>
          <w:sz w:val="21"/>
          <w:szCs w:val="22"/>
          <w:lang w:eastAsia="zh-CN"/>
        </w:rPr>
      </w:pPr>
    </w:p>
    <w:p w14:paraId="3712CCFF">
      <w:pPr>
        <w:widowControl w:val="0"/>
        <w:spacing w:line="240" w:lineRule="auto"/>
        <w:ind w:firstLine="420" w:firstLineChars="200"/>
        <w:rPr>
          <w:rFonts w:hint="eastAsia" w:ascii="华文仿宋" w:hAnsi="华文仿宋" w:eastAsia="华文仿宋" w:cs="Times New Roman"/>
          <w:bCs/>
          <w:kern w:val="2"/>
          <w:sz w:val="21"/>
          <w:szCs w:val="22"/>
        </w:rPr>
      </w:pP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摘</w:t>
      </w:r>
      <w:r>
        <w:rPr>
          <w:rFonts w:hint="eastAsia" w:ascii="华文仿宋" w:hAnsi="华文仿宋" w:eastAsia="华文仿宋" w:cs="Times New Roman"/>
          <w:bCs/>
          <w:kern w:val="2"/>
          <w:sz w:val="21"/>
          <w:szCs w:val="22"/>
          <w:lang w:val="en-US" w:eastAsia="zh-CN"/>
        </w:rPr>
        <w:t xml:space="preserve">  </w:t>
      </w:r>
      <w:r>
        <w:rPr>
          <w:rFonts w:hint="eastAsia" w:ascii="华文仿宋" w:hAnsi="华文仿宋" w:eastAsia="华文仿宋" w:cs="Times New Roman"/>
          <w:bCs/>
          <w:kern w:val="2"/>
          <w:sz w:val="21"/>
          <w:szCs w:val="22"/>
        </w:rPr>
        <w:t>要</w:t>
      </w: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知识产权侵权行为呈现技术隐蔽性强、证据存续脆弱等特征，权利人因证据偏在难以有效举证对方侵权获利，导致法定赔偿条款的泛化适用，诱发同案异判、赔偿失衡等风险。为解决现存问题，引入证明妨碍制度极具价值，其不仅与现有证明责任体系兼容，且符合公平效率等法理基础。然而，因立法模糊和理论分歧，该制度司法适用存在构成要件标准不一、法律后果不明和程序保障缺位等缺陷。鉴于此，</w:t>
      </w:r>
      <w:r>
        <w:rPr>
          <w:rFonts w:hint="eastAsia" w:ascii="华文仿宋" w:hAnsi="华文仿宋" w:eastAsia="华文仿宋" w:cs="Times New Roman"/>
          <w:bCs/>
          <w:kern w:val="2"/>
          <w:sz w:val="21"/>
          <w:szCs w:val="22"/>
          <w:lang w:val="en-US" w:eastAsia="zh-CN"/>
        </w:rPr>
        <w:t>宜</w:t>
      </w:r>
      <w:r>
        <w:rPr>
          <w:rFonts w:hint="eastAsia" w:ascii="华文仿宋" w:hAnsi="华文仿宋" w:eastAsia="华文仿宋" w:cs="Times New Roman"/>
          <w:bCs/>
          <w:kern w:val="2"/>
          <w:sz w:val="21"/>
          <w:szCs w:val="22"/>
        </w:rPr>
        <w:t>采用四要件说细化构成要件，建立“阶梯式”机制以明确法律后果，完善程序保障赋予利益损害方知悉权、申辩权和复议权，以期优化证明妨碍制度，健全知识产权保护体系。</w:t>
      </w:r>
    </w:p>
    <w:p w14:paraId="7646FEDC">
      <w:pPr>
        <w:widowControl w:val="0"/>
        <w:spacing w:line="240" w:lineRule="auto"/>
        <w:ind w:firstLine="420" w:firstLineChars="200"/>
        <w:rPr>
          <w:rFonts w:hint="eastAsia" w:ascii="华文仿宋" w:hAnsi="华文仿宋" w:eastAsia="华文仿宋" w:cs="Times New Roman"/>
          <w:bCs/>
          <w:kern w:val="2"/>
          <w:sz w:val="21"/>
          <w:szCs w:val="22"/>
        </w:rPr>
      </w:pP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关键词</w:t>
      </w: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证明妨碍</w:t>
      </w: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知识产权</w:t>
      </w: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构成要件</w:t>
      </w: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法律后果</w:t>
      </w: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程序保障</w:t>
      </w:r>
    </w:p>
    <w:p w14:paraId="48998E79">
      <w:pPr>
        <w:widowControl w:val="0"/>
        <w:spacing w:line="240" w:lineRule="auto"/>
        <w:ind w:firstLine="420" w:firstLineChars="200"/>
        <w:rPr>
          <w:rFonts w:hint="eastAsia" w:ascii="华文仿宋" w:hAnsi="华文仿宋" w:eastAsia="华文仿宋" w:cs="Times New Roman"/>
          <w:bCs/>
          <w:kern w:val="2"/>
          <w:sz w:val="21"/>
          <w:szCs w:val="22"/>
        </w:rPr>
      </w:pPr>
      <w:bookmarkStart w:id="61" w:name="_GoBack"/>
      <w:bookmarkEnd w:id="61"/>
    </w:p>
    <w:bookmarkEnd w:id="0"/>
    <w:bookmarkEnd w:id="1"/>
    <w:bookmarkEnd w:id="2"/>
    <w:bookmarkEnd w:id="3"/>
    <w:p w14:paraId="69152B97">
      <w:pPr>
        <w:spacing w:line="240" w:lineRule="auto"/>
      </w:pPr>
      <w:bookmarkStart w:id="4" w:name="_Toc147672775"/>
      <w:bookmarkStart w:id="5" w:name="_Toc18378"/>
      <w:bookmarkStart w:id="6" w:name="_Toc99729358"/>
      <w:bookmarkStart w:id="7" w:name="_Toc152619889"/>
      <w:bookmarkStart w:id="8" w:name="_Toc532872738"/>
      <w:bookmarkStart w:id="9" w:name="_Toc15020_WPSOffice_Level2"/>
      <w:bookmarkStart w:id="10" w:name="_Toc533261391"/>
      <w:bookmarkStart w:id="11" w:name="_Toc32753_WPSOffice_Level2"/>
      <w:bookmarkStart w:id="12" w:name="_Toc19851_WPSOffice_Level2"/>
    </w:p>
    <w:p w14:paraId="23F5C009">
      <w:pPr>
        <w:keepNext w:val="0"/>
        <w:keepLines w:val="0"/>
        <w:pageBreakBefore w:val="0"/>
        <w:widowControl/>
        <w:kinsoku/>
        <w:wordWrap/>
        <w:overflowPunct/>
        <w:topLinePunct w:val="0"/>
        <w:autoSpaceDE/>
        <w:autoSpaceDN/>
        <w:bidi w:val="0"/>
        <w:adjustRightInd/>
        <w:snapToGrid/>
        <w:spacing w:after="157" w:afterLines="50" w:line="240" w:lineRule="auto"/>
        <w:textAlignment w:val="auto"/>
        <w:rPr>
          <w:rFonts w:hint="eastAsia" w:ascii="黑体" w:hAnsi="黑体" w:eastAsia="黑体" w:cs="黑体"/>
          <w:bCs/>
          <w:kern w:val="2"/>
          <w:sz w:val="28"/>
          <w:szCs w:val="28"/>
          <w:lang w:val="en-US" w:eastAsia="zh-CN" w:bidi="ar-SA"/>
        </w:rPr>
      </w:pPr>
      <w:r>
        <w:rPr>
          <w:rFonts w:hint="eastAsia" w:ascii="黑体" w:hAnsi="黑体" w:eastAsia="黑体" w:cs="黑体"/>
          <w:bCs/>
          <w:kern w:val="2"/>
          <w:sz w:val="28"/>
          <w:szCs w:val="28"/>
          <w:lang w:val="en-US" w:eastAsia="zh-CN" w:bidi="ar-SA"/>
        </w:rPr>
        <w:t>引言</w:t>
      </w:r>
    </w:p>
    <w:bookmarkEnd w:id="4"/>
    <w:bookmarkEnd w:id="5"/>
    <w:bookmarkEnd w:id="6"/>
    <w:p w14:paraId="48D2DD88">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rFonts w:hint="eastAsia"/>
          <w:sz w:val="21"/>
          <w:szCs w:val="21"/>
        </w:rPr>
        <w:t>如今，数字经济的迅猛发展正深刻重塑知识产权的创造、传播与保护形态，在知识产权损害赔偿诉讼领域，电子数据、虚拟资产等新型证据形态的涌现，加密技术、分布式网络等隐蔽侵权手段的应用，使得</w:t>
      </w:r>
      <w:r>
        <w:rPr>
          <w:sz w:val="21"/>
          <w:szCs w:val="21"/>
        </w:rPr>
        <w:t>知识产权损害赔偿计算标准体系</w:t>
      </w:r>
      <w:r>
        <w:rPr>
          <w:rFonts w:hint="eastAsia"/>
          <w:sz w:val="21"/>
          <w:szCs w:val="21"/>
        </w:rPr>
        <w:t>的</w:t>
      </w:r>
      <w:r>
        <w:rPr>
          <w:sz w:val="21"/>
          <w:szCs w:val="21"/>
        </w:rPr>
        <w:t>结构性矛盾</w:t>
      </w:r>
      <w:r>
        <w:rPr>
          <w:rFonts w:hint="eastAsia"/>
          <w:sz w:val="21"/>
          <w:szCs w:val="21"/>
        </w:rPr>
        <w:t>愈发凸显</w:t>
      </w:r>
      <w:r>
        <w:rPr>
          <w:sz w:val="21"/>
          <w:szCs w:val="21"/>
        </w:rPr>
        <w:t>，即处于优先顺位的实际损失与侵权获利标准在司法实践中面临举证困难的问题，而作为补充型、兜底性的法定赔偿条款却异化为主要裁判依据。然而，法定赔偿制度的立法目的是增加诉讼效率，其主要价值并不</w:t>
      </w:r>
      <w:r>
        <w:rPr>
          <w:rFonts w:hint="eastAsia"/>
          <w:sz w:val="21"/>
          <w:szCs w:val="21"/>
        </w:rPr>
        <w:t>符合</w:t>
      </w:r>
      <w:r>
        <w:rPr>
          <w:sz w:val="21"/>
          <w:szCs w:val="21"/>
        </w:rPr>
        <w:t>损害赔偿的填平原则，司法审判</w:t>
      </w:r>
      <w:r>
        <w:rPr>
          <w:rFonts w:hint="eastAsia"/>
          <w:sz w:val="21"/>
          <w:szCs w:val="21"/>
        </w:rPr>
        <w:t>对其</w:t>
      </w:r>
      <w:r>
        <w:rPr>
          <w:sz w:val="21"/>
          <w:szCs w:val="21"/>
        </w:rPr>
        <w:t>的异化适用产生了知识产权侵权获赔数额较低、法官自由裁量权过大、当事人怠于举证等问题，导致同案异判的概率增加，背离知识产权的市场价值亦不利于知识产权保护。鉴于此，知识产权损害赔偿诉讼亟需构建配套制度机制以提高实际损失、侵权获利及合理许可费标准的适用效能。</w:t>
      </w:r>
    </w:p>
    <w:p w14:paraId="45924A91">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sz w:val="21"/>
          <w:szCs w:val="21"/>
        </w:rPr>
      </w:pPr>
      <w:r>
        <w:rPr>
          <w:sz w:val="21"/>
          <w:szCs w:val="21"/>
        </w:rPr>
        <w:t>在此背景下，证明妨碍制度的司法适用研究具有重要价值，该制度对于</w:t>
      </w:r>
      <w:r>
        <w:rPr>
          <w:rFonts w:hint="eastAsia"/>
          <w:sz w:val="21"/>
          <w:szCs w:val="21"/>
        </w:rPr>
        <w:t>“</w:t>
      </w:r>
      <w:r>
        <w:rPr>
          <w:sz w:val="21"/>
          <w:szCs w:val="21"/>
        </w:rPr>
        <w:t>侵权获利</w:t>
      </w:r>
      <w:r>
        <w:rPr>
          <w:rFonts w:hint="eastAsia"/>
          <w:sz w:val="21"/>
          <w:szCs w:val="21"/>
        </w:rPr>
        <w:t>”</w:t>
      </w:r>
      <w:r>
        <w:rPr>
          <w:sz w:val="21"/>
          <w:szCs w:val="21"/>
        </w:rPr>
        <w:t>的认定尤为关键。证明妨碍制度系不负有证明责任的一方当事人或第三人通过故意或过失的作为或不作为阻碍负有证明责任的一方当事人对其事实主张的证明，使得待证事实真伪不明，从而法院在判决上作出对被妨碍的当事人有利调整的规则。目前，</w:t>
      </w:r>
      <w:r>
        <w:rPr>
          <w:rFonts w:hint="eastAsia"/>
          <w:sz w:val="21"/>
          <w:szCs w:val="21"/>
        </w:rPr>
        <w:t>该制度适用存在</w:t>
      </w:r>
      <w:r>
        <w:rPr>
          <w:sz w:val="21"/>
          <w:szCs w:val="21"/>
        </w:rPr>
        <w:t>构成要件标准不一、法律后果不明和程序保障缺位等系统性缺陷，基于此，笔者将从理论、规范和实践的角度出发，探究我国知识产权损害赔偿诉讼中证明妨碍制度的</w:t>
      </w:r>
      <w:r>
        <w:rPr>
          <w:rFonts w:hint="eastAsia"/>
          <w:sz w:val="21"/>
          <w:szCs w:val="21"/>
        </w:rPr>
        <w:t>适用合理性与规范</w:t>
      </w:r>
      <w:r>
        <w:rPr>
          <w:sz w:val="21"/>
          <w:szCs w:val="21"/>
        </w:rPr>
        <w:t>路径，以实现知识产权损害赔偿计算标准体系的复位，</w:t>
      </w:r>
      <w:r>
        <w:rPr>
          <w:rFonts w:hint="eastAsia"/>
          <w:sz w:val="21"/>
          <w:szCs w:val="21"/>
        </w:rPr>
        <w:t>保障诉讼双方当事人的平等地位，最终实现司法公正。</w:t>
      </w:r>
    </w:p>
    <w:p w14:paraId="1D5508A8">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sz w:val="21"/>
          <w:szCs w:val="21"/>
        </w:rPr>
      </w:pPr>
    </w:p>
    <w:p w14:paraId="1C7C8971">
      <w:pPr>
        <w:keepNext w:val="0"/>
        <w:keepLines w:val="0"/>
        <w:pageBreakBefore w:val="0"/>
        <w:widowControl/>
        <w:kinsoku/>
        <w:wordWrap/>
        <w:overflowPunct/>
        <w:topLinePunct w:val="0"/>
        <w:autoSpaceDE/>
        <w:autoSpaceDN/>
        <w:bidi w:val="0"/>
        <w:adjustRightInd/>
        <w:snapToGrid/>
        <w:spacing w:after="157" w:afterLines="50" w:line="240" w:lineRule="auto"/>
        <w:textAlignment w:val="auto"/>
        <w:rPr>
          <w:rFonts w:hint="eastAsia" w:ascii="黑体" w:hAnsi="黑体" w:eastAsia="黑体" w:cs="黑体"/>
          <w:bCs/>
          <w:kern w:val="2"/>
          <w:sz w:val="28"/>
          <w:szCs w:val="28"/>
          <w:lang w:val="en-US" w:eastAsia="zh-CN" w:bidi="ar-SA"/>
        </w:rPr>
      </w:pPr>
      <w:bookmarkStart w:id="13" w:name="_Toc147672776"/>
      <w:bookmarkStart w:id="14" w:name="_Toc99729155"/>
      <w:bookmarkStart w:id="15" w:name="_Toc99726464"/>
      <w:bookmarkStart w:id="16" w:name="_Toc23610"/>
      <w:r>
        <w:rPr>
          <w:rFonts w:hint="eastAsia" w:ascii="黑体" w:hAnsi="黑体" w:eastAsia="黑体" w:cs="黑体"/>
          <w:bCs/>
          <w:kern w:val="2"/>
          <w:sz w:val="28"/>
          <w:szCs w:val="28"/>
          <w:lang w:val="en-US" w:eastAsia="zh-CN" w:bidi="ar-SA"/>
        </w:rPr>
        <w:t>一、</w:t>
      </w:r>
      <w:bookmarkEnd w:id="13"/>
      <w:bookmarkEnd w:id="14"/>
      <w:bookmarkEnd w:id="15"/>
      <w:r>
        <w:rPr>
          <w:rFonts w:hint="eastAsia" w:ascii="黑体" w:hAnsi="黑体" w:eastAsia="黑体" w:cs="黑体"/>
          <w:bCs/>
          <w:kern w:val="2"/>
          <w:sz w:val="28"/>
          <w:szCs w:val="28"/>
          <w:lang w:val="en-US" w:eastAsia="zh-CN" w:bidi="ar-SA"/>
        </w:rPr>
        <w:t>证明妨碍制度在知识产权损害赔偿诉讼中的运行难题</w:t>
      </w:r>
      <w:bookmarkEnd w:id="16"/>
    </w:p>
    <w:p w14:paraId="468A8219">
      <w:pPr>
        <w:widowControl w:val="0"/>
        <w:spacing w:line="240" w:lineRule="auto"/>
        <w:ind w:firstLine="480"/>
        <w:rPr>
          <w:rFonts w:hint="eastAsia" w:ascii="华文楷体" w:hAnsi="华文楷体" w:eastAsia="华文楷体" w:cs="Times New Roman"/>
          <w:kern w:val="2"/>
          <w:sz w:val="24"/>
          <w:szCs w:val="24"/>
        </w:rPr>
      </w:pPr>
      <w:bookmarkStart w:id="17" w:name="_bookmark8"/>
      <w:bookmarkEnd w:id="17"/>
      <w:bookmarkStart w:id="18" w:name="（一）德国民法中的投资性居住权"/>
      <w:bookmarkEnd w:id="18"/>
      <w:bookmarkStart w:id="19" w:name="_Toc99726465"/>
      <w:bookmarkStart w:id="20" w:name="_Toc99729156"/>
      <w:bookmarkStart w:id="21" w:name="_Toc147672777"/>
      <w:bookmarkStart w:id="22" w:name="_Toc26975"/>
      <w:r>
        <w:rPr>
          <w:rFonts w:hint="eastAsia" w:ascii="华文楷体" w:hAnsi="华文楷体" w:eastAsia="华文楷体" w:cs="Times New Roman"/>
          <w:kern w:val="2"/>
          <w:sz w:val="24"/>
          <w:szCs w:val="24"/>
        </w:rPr>
        <w:t>（一）</w:t>
      </w:r>
      <w:bookmarkEnd w:id="19"/>
      <w:bookmarkEnd w:id="20"/>
      <w:bookmarkEnd w:id="21"/>
      <w:r>
        <w:rPr>
          <w:rFonts w:hint="eastAsia" w:ascii="华文楷体" w:hAnsi="华文楷体" w:eastAsia="华文楷体" w:cs="Times New Roman"/>
          <w:kern w:val="2"/>
          <w:sz w:val="24"/>
          <w:szCs w:val="24"/>
        </w:rPr>
        <w:t>证明妨碍制度的构成要件标准不一</w:t>
      </w:r>
      <w:bookmarkEnd w:id="22"/>
    </w:p>
    <w:p w14:paraId="5855FE1B">
      <w:pPr>
        <w:keepNext w:val="0"/>
        <w:keepLines w:val="0"/>
        <w:pageBreakBefore w:val="0"/>
        <w:widowControl/>
        <w:kinsoku/>
        <w:wordWrap/>
        <w:overflowPunct/>
        <w:topLinePunct w:val="0"/>
        <w:autoSpaceDE/>
        <w:autoSpaceDN/>
        <w:bidi w:val="0"/>
        <w:adjustRightInd/>
        <w:snapToGrid/>
        <w:spacing w:before="120" w:beforeLines="50" w:after="120" w:afterLines="50" w:line="240" w:lineRule="auto"/>
        <w:ind w:firstLine="420" w:firstLineChars="200"/>
        <w:jc w:val="left"/>
        <w:textAlignment w:val="auto"/>
        <w:rPr>
          <w:sz w:val="21"/>
          <w:szCs w:val="21"/>
        </w:rPr>
      </w:pPr>
      <w:bookmarkStart w:id="23" w:name="_Toc99726468"/>
      <w:bookmarkStart w:id="24" w:name="_Toc99729159"/>
      <w:bookmarkStart w:id="25" w:name="_Toc147672780"/>
      <w:r>
        <w:rPr>
          <w:sz w:val="21"/>
          <w:szCs w:val="21"/>
        </w:rPr>
        <w:t>我国证明妨碍制度在立法层面呈现</w:t>
      </w:r>
      <w:r>
        <w:rPr>
          <w:rFonts w:hint="eastAsia"/>
          <w:sz w:val="21"/>
          <w:szCs w:val="21"/>
        </w:rPr>
        <w:t>“</w:t>
      </w:r>
      <w:r>
        <w:rPr>
          <w:sz w:val="21"/>
          <w:szCs w:val="21"/>
        </w:rPr>
        <w:t>分散式</w:t>
      </w:r>
      <w:r>
        <w:rPr>
          <w:rFonts w:hint="eastAsia"/>
          <w:sz w:val="21"/>
          <w:szCs w:val="21"/>
        </w:rPr>
        <w:t>”</w:t>
      </w:r>
      <w:r>
        <w:rPr>
          <w:sz w:val="21"/>
          <w:szCs w:val="21"/>
        </w:rPr>
        <w:t>的规范样态，不同的规范语言让证明妨碍制度的构成要件存在诸多争议解释。</w:t>
      </w:r>
    </w:p>
    <w:p w14:paraId="6E6EDCC1">
      <w:pPr>
        <w:pStyle w:val="7"/>
        <w:spacing w:before="120" w:beforeLines="50" w:after="120" w:afterLines="50" w:line="240" w:lineRule="auto"/>
        <w:jc w:val="center"/>
        <w:rPr>
          <w:rFonts w:ascii="Times New Roman" w:hAnsi="Times New Roman" w:eastAsia="宋体"/>
          <w:sz w:val="24"/>
        </w:rPr>
      </w:pPr>
      <w:r>
        <w:rPr>
          <w:rFonts w:hint="eastAsia" w:ascii="宋体" w:hAnsi="宋体" w:eastAsia="宋体" w:cs="宋体"/>
          <w:sz w:val="18"/>
          <w:szCs w:val="18"/>
        </w:rPr>
        <w:t xml:space="preserve">表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SEQ 表 \* ARABIC </w:instrText>
      </w:r>
      <w:r>
        <w:rPr>
          <w:rFonts w:hint="eastAsia" w:ascii="宋体" w:hAnsi="宋体" w:eastAsia="宋体" w:cs="宋体"/>
          <w:sz w:val="18"/>
          <w:szCs w:val="18"/>
        </w:rPr>
        <w:fldChar w:fldCharType="separate"/>
      </w:r>
      <w:r>
        <w:rPr>
          <w:rFonts w:hint="eastAsia" w:ascii="宋体" w:hAnsi="宋体" w:eastAsia="宋体" w:cs="宋体"/>
          <w:sz w:val="18"/>
          <w:szCs w:val="18"/>
        </w:rPr>
        <w:t>1</w:t>
      </w:r>
      <w:r>
        <w:rPr>
          <w:rFonts w:hint="eastAsia" w:ascii="宋体" w:hAnsi="宋体" w:eastAsia="宋体" w:cs="宋体"/>
          <w:sz w:val="18"/>
          <w:szCs w:val="18"/>
        </w:rPr>
        <w:fldChar w:fldCharType="end"/>
      </w:r>
      <w:r>
        <w:rPr>
          <w:rFonts w:hint="eastAsia" w:ascii="宋体" w:hAnsi="宋体" w:eastAsia="宋体" w:cs="宋体"/>
          <w:sz w:val="18"/>
          <w:szCs w:val="18"/>
        </w:rPr>
        <w:t xml:space="preserve"> 法律规范构成要件表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
        <w:gridCol w:w="2016"/>
        <w:gridCol w:w="3642"/>
        <w:gridCol w:w="3136"/>
      </w:tblGrid>
      <w:tr w14:paraId="13083ED9">
        <w:tc>
          <w:tcPr>
            <w:tcW w:w="0" w:type="auto"/>
          </w:tcPr>
          <w:p w14:paraId="29ABC140">
            <w:pPr>
              <w:widowControl w:val="0"/>
              <w:spacing w:before="120" w:beforeLines="50" w:after="120" w:afterLines="50" w:line="360" w:lineRule="auto"/>
              <w:jc w:val="left"/>
              <w:rPr>
                <w:sz w:val="18"/>
                <w:szCs w:val="18"/>
              </w:rPr>
            </w:pPr>
          </w:p>
        </w:tc>
        <w:tc>
          <w:tcPr>
            <w:tcW w:w="2016" w:type="dxa"/>
            <w:vAlign w:val="center"/>
          </w:tcPr>
          <w:p w14:paraId="4F1516B7">
            <w:pPr>
              <w:widowControl w:val="0"/>
              <w:spacing w:before="120" w:beforeLines="50" w:after="120" w:afterLines="50" w:line="360" w:lineRule="auto"/>
              <w:jc w:val="center"/>
              <w:rPr>
                <w:b/>
                <w:bCs/>
                <w:sz w:val="18"/>
                <w:szCs w:val="18"/>
              </w:rPr>
            </w:pPr>
            <w:r>
              <w:rPr>
                <w:rFonts w:hint="eastAsia"/>
                <w:b/>
                <w:bCs/>
                <w:sz w:val="18"/>
                <w:szCs w:val="18"/>
              </w:rPr>
              <w:t>《中华人民共和国商标法》</w:t>
            </w:r>
          </w:p>
          <w:p w14:paraId="3E6AE680">
            <w:pPr>
              <w:widowControl w:val="0"/>
              <w:spacing w:before="120" w:beforeLines="50" w:after="120" w:afterLines="50" w:line="360" w:lineRule="auto"/>
              <w:jc w:val="center"/>
              <w:rPr>
                <w:b/>
                <w:bCs/>
                <w:sz w:val="18"/>
                <w:szCs w:val="18"/>
              </w:rPr>
            </w:pPr>
            <w:r>
              <w:rPr>
                <w:rFonts w:hint="eastAsia"/>
                <w:b/>
                <w:bCs/>
                <w:sz w:val="18"/>
                <w:szCs w:val="18"/>
              </w:rPr>
              <w:t>（以下简称《商标法》）</w:t>
            </w:r>
          </w:p>
        </w:tc>
        <w:tc>
          <w:tcPr>
            <w:tcW w:w="3642" w:type="dxa"/>
            <w:vAlign w:val="center"/>
          </w:tcPr>
          <w:p w14:paraId="0299DF04">
            <w:pPr>
              <w:widowControl w:val="0"/>
              <w:spacing w:before="120" w:beforeLines="50" w:after="120" w:afterLines="50" w:line="360" w:lineRule="auto"/>
              <w:jc w:val="center"/>
              <w:rPr>
                <w:b/>
                <w:bCs/>
                <w:sz w:val="18"/>
                <w:szCs w:val="18"/>
              </w:rPr>
            </w:pPr>
            <w:r>
              <w:rPr>
                <w:rFonts w:hint="eastAsia"/>
                <w:b/>
                <w:bCs/>
                <w:sz w:val="18"/>
                <w:szCs w:val="18"/>
              </w:rPr>
              <w:t>《最高人民法院关于审理侵犯专利权纠纷案件应用法律若干问题的解释（二）》</w:t>
            </w:r>
          </w:p>
          <w:p w14:paraId="0E978FD4">
            <w:pPr>
              <w:widowControl w:val="0"/>
              <w:spacing w:before="120" w:beforeLines="50" w:after="120" w:afterLines="50" w:line="360" w:lineRule="auto"/>
              <w:jc w:val="center"/>
              <w:rPr>
                <w:b/>
                <w:bCs/>
                <w:sz w:val="18"/>
                <w:szCs w:val="18"/>
              </w:rPr>
            </w:pPr>
            <w:r>
              <w:rPr>
                <w:rFonts w:hint="eastAsia"/>
                <w:b/>
                <w:bCs/>
                <w:sz w:val="18"/>
                <w:szCs w:val="18"/>
              </w:rPr>
              <w:t>（以下简称《专利解释（二）》）</w:t>
            </w:r>
          </w:p>
        </w:tc>
        <w:tc>
          <w:tcPr>
            <w:tcW w:w="0" w:type="auto"/>
            <w:vAlign w:val="center"/>
          </w:tcPr>
          <w:p w14:paraId="483C3C86">
            <w:pPr>
              <w:widowControl w:val="0"/>
              <w:spacing w:before="120" w:beforeLines="50" w:after="120" w:afterLines="50" w:line="360" w:lineRule="auto"/>
              <w:jc w:val="center"/>
              <w:rPr>
                <w:b/>
                <w:bCs/>
                <w:sz w:val="18"/>
                <w:szCs w:val="18"/>
              </w:rPr>
            </w:pPr>
            <w:r>
              <w:rPr>
                <w:rFonts w:hint="eastAsia"/>
                <w:b/>
                <w:bCs/>
                <w:sz w:val="18"/>
                <w:szCs w:val="18"/>
              </w:rPr>
              <w:t>《最高人民法院关于适用&lt;中华人民共和国民事诉讼法&gt;的解释》</w:t>
            </w:r>
          </w:p>
          <w:p w14:paraId="49068A16">
            <w:pPr>
              <w:widowControl w:val="0"/>
              <w:spacing w:before="120" w:beforeLines="50" w:after="120" w:afterLines="50" w:line="360" w:lineRule="auto"/>
              <w:jc w:val="center"/>
              <w:rPr>
                <w:b/>
                <w:bCs/>
                <w:sz w:val="18"/>
                <w:szCs w:val="18"/>
              </w:rPr>
            </w:pPr>
            <w:r>
              <w:rPr>
                <w:rFonts w:hint="eastAsia"/>
                <w:b/>
                <w:bCs/>
                <w:sz w:val="18"/>
                <w:szCs w:val="18"/>
              </w:rPr>
              <w:t>（以下简称《民诉解释》）</w:t>
            </w:r>
          </w:p>
        </w:tc>
      </w:tr>
      <w:tr w14:paraId="2E814695">
        <w:tc>
          <w:tcPr>
            <w:tcW w:w="0" w:type="auto"/>
          </w:tcPr>
          <w:p w14:paraId="586CA35A">
            <w:pPr>
              <w:widowControl w:val="0"/>
              <w:spacing w:before="120" w:beforeLines="50" w:after="120" w:afterLines="50" w:line="360" w:lineRule="auto"/>
              <w:jc w:val="left"/>
              <w:rPr>
                <w:b/>
                <w:bCs/>
                <w:sz w:val="18"/>
                <w:szCs w:val="18"/>
              </w:rPr>
            </w:pPr>
            <w:r>
              <w:rPr>
                <w:rFonts w:hint="eastAsia"/>
                <w:b/>
                <w:bCs/>
                <w:sz w:val="18"/>
                <w:szCs w:val="18"/>
              </w:rPr>
              <w:t>主体</w:t>
            </w:r>
          </w:p>
        </w:tc>
        <w:tc>
          <w:tcPr>
            <w:tcW w:w="2016" w:type="dxa"/>
            <w:vAlign w:val="center"/>
          </w:tcPr>
          <w:p w14:paraId="7C5BC482">
            <w:pPr>
              <w:widowControl w:val="0"/>
              <w:spacing w:before="120" w:beforeLines="50" w:after="120" w:afterLines="50" w:line="360" w:lineRule="auto"/>
              <w:jc w:val="center"/>
              <w:rPr>
                <w:sz w:val="18"/>
                <w:szCs w:val="18"/>
              </w:rPr>
            </w:pPr>
            <w:r>
              <w:rPr>
                <w:rFonts w:hint="eastAsia"/>
                <w:sz w:val="18"/>
                <w:szCs w:val="18"/>
              </w:rPr>
              <w:t>侵权人</w:t>
            </w:r>
          </w:p>
        </w:tc>
        <w:tc>
          <w:tcPr>
            <w:tcW w:w="3642" w:type="dxa"/>
            <w:vAlign w:val="center"/>
          </w:tcPr>
          <w:p w14:paraId="79ECBC5E">
            <w:pPr>
              <w:widowControl w:val="0"/>
              <w:spacing w:before="120" w:beforeLines="50" w:after="120" w:afterLines="50" w:line="360" w:lineRule="auto"/>
              <w:jc w:val="center"/>
              <w:rPr>
                <w:sz w:val="18"/>
                <w:szCs w:val="18"/>
              </w:rPr>
            </w:pPr>
            <w:r>
              <w:rPr>
                <w:rFonts w:hint="eastAsia"/>
                <w:sz w:val="18"/>
                <w:szCs w:val="18"/>
              </w:rPr>
              <w:t>侵权人</w:t>
            </w:r>
          </w:p>
        </w:tc>
        <w:tc>
          <w:tcPr>
            <w:tcW w:w="0" w:type="auto"/>
            <w:vAlign w:val="center"/>
          </w:tcPr>
          <w:p w14:paraId="718BF68E">
            <w:pPr>
              <w:widowControl w:val="0"/>
              <w:spacing w:before="120" w:beforeLines="50" w:after="120" w:afterLines="50" w:line="360" w:lineRule="auto"/>
              <w:jc w:val="center"/>
              <w:rPr>
                <w:sz w:val="18"/>
                <w:szCs w:val="18"/>
              </w:rPr>
            </w:pPr>
            <w:r>
              <w:rPr>
                <w:rFonts w:hint="eastAsia"/>
                <w:sz w:val="18"/>
                <w:szCs w:val="18"/>
              </w:rPr>
              <w:t>承担举证证明责任当事人的对方当事人</w:t>
            </w:r>
          </w:p>
        </w:tc>
      </w:tr>
      <w:tr w14:paraId="4874BBD5">
        <w:tc>
          <w:tcPr>
            <w:tcW w:w="0" w:type="auto"/>
          </w:tcPr>
          <w:p w14:paraId="02CB03ED">
            <w:pPr>
              <w:widowControl w:val="0"/>
              <w:spacing w:before="120" w:beforeLines="50" w:after="120" w:afterLines="50" w:line="360" w:lineRule="auto"/>
              <w:jc w:val="left"/>
              <w:rPr>
                <w:b/>
                <w:bCs/>
                <w:sz w:val="18"/>
                <w:szCs w:val="18"/>
              </w:rPr>
            </w:pPr>
            <w:r>
              <w:rPr>
                <w:rFonts w:hint="eastAsia"/>
                <w:b/>
                <w:bCs/>
                <w:sz w:val="18"/>
                <w:szCs w:val="18"/>
              </w:rPr>
              <w:t>客体</w:t>
            </w:r>
          </w:p>
        </w:tc>
        <w:tc>
          <w:tcPr>
            <w:tcW w:w="2016" w:type="dxa"/>
            <w:vAlign w:val="center"/>
          </w:tcPr>
          <w:p w14:paraId="237C6BC1">
            <w:pPr>
              <w:widowControl w:val="0"/>
              <w:spacing w:before="120" w:beforeLines="50" w:after="120" w:afterLines="50" w:line="360" w:lineRule="auto"/>
              <w:jc w:val="center"/>
              <w:rPr>
                <w:sz w:val="18"/>
                <w:szCs w:val="18"/>
              </w:rPr>
            </w:pPr>
            <w:r>
              <w:rPr>
                <w:rFonts w:hint="eastAsia"/>
                <w:sz w:val="18"/>
                <w:szCs w:val="18"/>
              </w:rPr>
              <w:t>与侵权行为相关的账簿、资料</w:t>
            </w:r>
          </w:p>
        </w:tc>
        <w:tc>
          <w:tcPr>
            <w:tcW w:w="3642" w:type="dxa"/>
            <w:vAlign w:val="center"/>
          </w:tcPr>
          <w:p w14:paraId="359CC0E8">
            <w:pPr>
              <w:widowControl w:val="0"/>
              <w:spacing w:before="120" w:beforeLines="50" w:after="120" w:afterLines="50" w:line="360" w:lineRule="auto"/>
              <w:jc w:val="center"/>
              <w:rPr>
                <w:sz w:val="18"/>
                <w:szCs w:val="18"/>
              </w:rPr>
            </w:pPr>
            <w:r>
              <w:rPr>
                <w:rFonts w:hint="eastAsia"/>
                <w:sz w:val="18"/>
                <w:szCs w:val="18"/>
              </w:rPr>
              <w:t>与侵权行为相关的账簿、资料</w:t>
            </w:r>
          </w:p>
        </w:tc>
        <w:tc>
          <w:tcPr>
            <w:tcW w:w="0" w:type="auto"/>
            <w:vAlign w:val="center"/>
          </w:tcPr>
          <w:p w14:paraId="6EDE77DB">
            <w:pPr>
              <w:widowControl w:val="0"/>
              <w:spacing w:before="120" w:beforeLines="50" w:after="120" w:afterLines="50" w:line="360" w:lineRule="auto"/>
              <w:jc w:val="center"/>
              <w:rPr>
                <w:sz w:val="18"/>
                <w:szCs w:val="18"/>
              </w:rPr>
            </w:pPr>
            <w:r>
              <w:rPr>
                <w:rFonts w:hint="eastAsia"/>
                <w:sz w:val="18"/>
                <w:szCs w:val="18"/>
              </w:rPr>
              <w:t>书证</w:t>
            </w:r>
          </w:p>
        </w:tc>
      </w:tr>
      <w:tr w14:paraId="7AA2121F">
        <w:tc>
          <w:tcPr>
            <w:tcW w:w="0" w:type="auto"/>
          </w:tcPr>
          <w:p w14:paraId="17CBC0AB">
            <w:pPr>
              <w:widowControl w:val="0"/>
              <w:spacing w:before="120" w:beforeLines="50" w:after="120" w:afterLines="50" w:line="360" w:lineRule="auto"/>
              <w:jc w:val="left"/>
              <w:rPr>
                <w:b/>
                <w:bCs/>
                <w:sz w:val="18"/>
                <w:szCs w:val="18"/>
              </w:rPr>
            </w:pPr>
            <w:r>
              <w:rPr>
                <w:rFonts w:hint="eastAsia"/>
                <w:b/>
                <w:bCs/>
                <w:sz w:val="18"/>
                <w:szCs w:val="18"/>
              </w:rPr>
              <w:t>程序</w:t>
            </w:r>
          </w:p>
        </w:tc>
        <w:tc>
          <w:tcPr>
            <w:tcW w:w="2016" w:type="dxa"/>
            <w:vAlign w:val="center"/>
          </w:tcPr>
          <w:p w14:paraId="0F45AE13">
            <w:pPr>
              <w:widowControl w:val="0"/>
              <w:spacing w:before="120" w:beforeLines="50" w:after="120" w:afterLines="50" w:line="360" w:lineRule="auto"/>
              <w:jc w:val="center"/>
              <w:rPr>
                <w:sz w:val="18"/>
                <w:szCs w:val="18"/>
              </w:rPr>
            </w:pPr>
            <w:r>
              <w:rPr>
                <w:rFonts w:hint="eastAsia"/>
                <w:sz w:val="18"/>
                <w:szCs w:val="18"/>
              </w:rPr>
              <w:t>权利人已经尽力举证</w:t>
            </w:r>
          </w:p>
        </w:tc>
        <w:tc>
          <w:tcPr>
            <w:tcW w:w="3642" w:type="dxa"/>
            <w:vAlign w:val="center"/>
          </w:tcPr>
          <w:p w14:paraId="30EDBFEE">
            <w:pPr>
              <w:widowControl w:val="0"/>
              <w:spacing w:before="120" w:beforeLines="50" w:after="120" w:afterLines="50" w:line="360" w:lineRule="auto"/>
              <w:jc w:val="center"/>
              <w:rPr>
                <w:sz w:val="18"/>
                <w:szCs w:val="18"/>
              </w:rPr>
            </w:pPr>
            <w:r>
              <w:rPr>
                <w:rFonts w:hint="eastAsia"/>
                <w:sz w:val="18"/>
                <w:szCs w:val="18"/>
              </w:rPr>
              <w:t>权利人已经提供侵权人所获利益的初步证据</w:t>
            </w:r>
          </w:p>
        </w:tc>
        <w:tc>
          <w:tcPr>
            <w:tcW w:w="0" w:type="auto"/>
            <w:vAlign w:val="center"/>
          </w:tcPr>
          <w:p w14:paraId="027DAD3C">
            <w:pPr>
              <w:widowControl w:val="0"/>
              <w:spacing w:before="120" w:beforeLines="50" w:after="120" w:afterLines="50" w:line="360" w:lineRule="auto"/>
              <w:jc w:val="center"/>
              <w:rPr>
                <w:sz w:val="18"/>
                <w:szCs w:val="18"/>
              </w:rPr>
            </w:pPr>
            <w:r>
              <w:rPr>
                <w:rFonts w:hint="eastAsia"/>
                <w:sz w:val="18"/>
                <w:szCs w:val="18"/>
              </w:rPr>
              <w:t>在举证期限届满前书面申请</w:t>
            </w:r>
          </w:p>
        </w:tc>
      </w:tr>
    </w:tbl>
    <w:p w14:paraId="3A954BD2">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auto"/>
        <w:rPr>
          <w:sz w:val="21"/>
          <w:szCs w:val="21"/>
        </w:rPr>
      </w:pPr>
    </w:p>
    <w:p w14:paraId="2510B79D">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auto"/>
        <w:rPr>
          <w:sz w:val="21"/>
          <w:szCs w:val="21"/>
        </w:rPr>
      </w:pPr>
      <w:r>
        <w:rPr>
          <w:sz w:val="21"/>
          <w:szCs w:val="21"/>
        </w:rPr>
        <w:t>以《商标法》第63条第</w:t>
      </w:r>
      <w:r>
        <w:rPr>
          <w:rFonts w:hint="eastAsia"/>
          <w:sz w:val="21"/>
          <w:szCs w:val="21"/>
          <w:lang w:val="en-US" w:eastAsia="zh-CN"/>
        </w:rPr>
        <w:t>2</w:t>
      </w:r>
      <w:r>
        <w:rPr>
          <w:sz w:val="21"/>
          <w:szCs w:val="21"/>
        </w:rPr>
        <w:t>款</w:t>
      </w:r>
      <w:r>
        <w:rPr>
          <w:rStyle w:val="30"/>
          <w:sz w:val="21"/>
          <w:szCs w:val="21"/>
        </w:rPr>
        <w:footnoteReference w:id="0"/>
      </w:r>
      <w:r>
        <w:rPr>
          <w:sz w:val="21"/>
          <w:szCs w:val="21"/>
        </w:rPr>
        <w:t>、《专利解释（二）》第27条</w:t>
      </w:r>
      <w:r>
        <w:rPr>
          <w:rStyle w:val="30"/>
          <w:sz w:val="21"/>
          <w:szCs w:val="21"/>
        </w:rPr>
        <w:footnoteReference w:id="1"/>
      </w:r>
      <w:r>
        <w:rPr>
          <w:sz w:val="21"/>
          <w:szCs w:val="21"/>
        </w:rPr>
        <w:t>和《民诉解释》第112条</w:t>
      </w:r>
      <w:r>
        <w:rPr>
          <w:rStyle w:val="30"/>
          <w:sz w:val="21"/>
          <w:szCs w:val="21"/>
        </w:rPr>
        <w:footnoteReference w:id="2"/>
      </w:r>
      <w:r>
        <w:rPr>
          <w:sz w:val="21"/>
          <w:szCs w:val="21"/>
        </w:rPr>
        <w:t>为例，通过规范要素的横向比较可见，当前制度设计存在一定局限性。</w:t>
      </w:r>
    </w:p>
    <w:p w14:paraId="5707E040">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auto"/>
        <w:rPr>
          <w:sz w:val="21"/>
          <w:szCs w:val="21"/>
        </w:rPr>
      </w:pPr>
      <w:r>
        <w:rPr>
          <w:sz w:val="21"/>
          <w:szCs w:val="21"/>
        </w:rPr>
        <w:t>首先，主体范围存在缺位。两部知识产权特别法将主体限定于侵权行为人，而《民诉解释》扩展至“承担举证责任的对方当事人”，这种差异虽可解释为特别法与一般法的关系，但均未涵盖诉讼外第三人持有证据的情形，例如某手机厂商侵权芯片技术，但其芯片生产数据由其代工厂持有，代工厂的技术行为受侵权人指令约束，相当于侵权人的意志延伸，受侵权人控制，也应被纳入主体范围。</w:t>
      </w:r>
      <w:r>
        <w:rPr>
          <w:rFonts w:hint="eastAsia"/>
          <w:sz w:val="21"/>
          <w:szCs w:val="21"/>
        </w:rPr>
        <w:t>另外，数智时代下平台经济的迅猛发展进一步加剧了主体认定的模糊性。第三方平台作为数据聚合枢纽，往往掌握侵权产品的销量、售价、传播量等核心证据，但实践中平台常以“中立服务者”身份拒绝提交相关数据。此类平台对证据的实质控制能力及其与侵权行为的关联性，使其是否属于证明妨碍主体亟待立法与司法层面予以明确。</w:t>
      </w:r>
    </w:p>
    <w:p w14:paraId="0C3BECB8">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auto"/>
        <w:rPr>
          <w:sz w:val="21"/>
          <w:szCs w:val="21"/>
        </w:rPr>
      </w:pPr>
      <w:r>
        <w:rPr>
          <w:sz w:val="21"/>
          <w:szCs w:val="21"/>
        </w:rPr>
        <w:t>其次，客体范畴滞后于技术发展。在</w:t>
      </w:r>
      <w:r>
        <w:rPr>
          <w:rFonts w:hint="eastAsia"/>
          <w:sz w:val="21"/>
          <w:szCs w:val="21"/>
        </w:rPr>
        <w:t>数智</w:t>
      </w:r>
      <w:r>
        <w:rPr>
          <w:sz w:val="21"/>
          <w:szCs w:val="21"/>
        </w:rPr>
        <w:t>时代</w:t>
      </w:r>
      <w:r>
        <w:rPr>
          <w:rFonts w:hint="eastAsia"/>
          <w:sz w:val="21"/>
          <w:szCs w:val="21"/>
        </w:rPr>
        <w:t>中</w:t>
      </w:r>
      <w:r>
        <w:rPr>
          <w:sz w:val="21"/>
          <w:szCs w:val="21"/>
        </w:rPr>
        <w:t>，电子数据已变成常态化的储存载体，客体仅限于书证无法涵盖新兴情况。在玛特瑞尔莱斯公司与奔雷公司侵害计算机软件著作权纠纷案</w:t>
      </w:r>
      <w:r>
        <w:rPr>
          <w:rStyle w:val="30"/>
          <w:sz w:val="21"/>
          <w:szCs w:val="21"/>
        </w:rPr>
        <w:footnoteReference w:id="3"/>
      </w:r>
      <w:r>
        <w:rPr>
          <w:sz w:val="21"/>
          <w:szCs w:val="21"/>
        </w:rPr>
        <w:t>（以下简称“玛特瑞尔莱斯案”）中，法院根据软件模块激活记录推定了侵权规模，将软件模块激活日志、API调用记录等电子数据纳入证明妨碍客体范畴，这说明电子数据、虚拟资产等新型证据形态也需要纳入制度规制范围。</w:t>
      </w:r>
    </w:p>
    <w:p w14:paraId="085281A5">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最后，程序启动标准未达统一。《商标法》、《专利解释（二）》规定的“尽力举证”和“初步证据”表达不同，实体标准模糊，导致司法实践适用混乱。在奥胜公司与格力公司、晶东公司侵害实用新型专利权纠纷案</w:t>
      </w:r>
      <w:r>
        <w:rPr>
          <w:rStyle w:val="30"/>
          <w:sz w:val="21"/>
          <w:szCs w:val="21"/>
        </w:rPr>
        <w:footnoteReference w:id="4"/>
      </w:r>
      <w:r>
        <w:rPr>
          <w:sz w:val="21"/>
          <w:szCs w:val="21"/>
        </w:rPr>
        <w:t>（以下简称“奥胜格力案”）中，法院认为根据权利人举示通过公开信息获取的证据已经可以推算侵权人的获利情况时视为权利人已尽力举证；在红日燃具公司与智美电器公司等侵害商标权纠纷案</w:t>
      </w:r>
      <w:r>
        <w:rPr>
          <w:rStyle w:val="30"/>
          <w:sz w:val="21"/>
          <w:szCs w:val="21"/>
        </w:rPr>
        <w:footnoteReference w:id="5"/>
      </w:r>
      <w:r>
        <w:rPr>
          <w:sz w:val="21"/>
          <w:szCs w:val="21"/>
        </w:rPr>
        <w:t>（以下简称“红日燃具案”）中，</w:t>
      </w:r>
      <w:r>
        <w:rPr>
          <w:rFonts w:hint="eastAsia"/>
          <w:sz w:val="21"/>
          <w:szCs w:val="21"/>
        </w:rPr>
        <w:t>法院经审理后认定，权利人已通过提交市场工作备忘录、经销协议、审计财务报告、行业利率数据以及媒体宣传报道等多维度证据，充分履行了关于侵权行为获利情况的举证义务。</w:t>
      </w:r>
      <w:r>
        <w:rPr>
          <w:sz w:val="21"/>
          <w:szCs w:val="21"/>
        </w:rPr>
        <w:t>前案标准更高但更明确，需要能依据权利人证据去推算出获利</w:t>
      </w:r>
      <w:r>
        <w:rPr>
          <w:rFonts w:hint="eastAsia"/>
          <w:sz w:val="21"/>
          <w:szCs w:val="21"/>
        </w:rPr>
        <w:t>金</w:t>
      </w:r>
      <w:r>
        <w:rPr>
          <w:sz w:val="21"/>
          <w:szCs w:val="21"/>
        </w:rPr>
        <w:t>额，后案对于初步证据的提供效果认定更加模糊。而在佳诚公司与丰瑞龙翔公司等侵害商标权纠纷案</w:t>
      </w:r>
      <w:r>
        <w:rPr>
          <w:rStyle w:val="30"/>
          <w:sz w:val="21"/>
          <w:szCs w:val="21"/>
        </w:rPr>
        <w:footnoteReference w:id="6"/>
      </w:r>
      <w:r>
        <w:rPr>
          <w:sz w:val="21"/>
          <w:szCs w:val="21"/>
        </w:rPr>
        <w:t>中，法院认为权利人在部分省市药品采购中的中标信息</w:t>
      </w:r>
      <w:r>
        <w:rPr>
          <w:rFonts w:hint="eastAsia"/>
          <w:sz w:val="21"/>
          <w:szCs w:val="21"/>
        </w:rPr>
        <w:t>可以</w:t>
      </w:r>
      <w:r>
        <w:rPr>
          <w:sz w:val="21"/>
          <w:szCs w:val="21"/>
        </w:rPr>
        <w:t>证明侵权人因涉案侵权行为获利巨大，但</w:t>
      </w:r>
      <w:r>
        <w:rPr>
          <w:rFonts w:hint="eastAsia"/>
          <w:sz w:val="21"/>
          <w:szCs w:val="21"/>
        </w:rPr>
        <w:t>中标信息</w:t>
      </w:r>
      <w:r>
        <w:rPr>
          <w:sz w:val="21"/>
          <w:szCs w:val="21"/>
        </w:rPr>
        <w:t>难以直接证明侵权人的获利情况。审理过程中，法院多次要求侵权人提交涉案药品的销售数据但其</w:t>
      </w:r>
      <w:r>
        <w:rPr>
          <w:rFonts w:hint="eastAsia"/>
          <w:sz w:val="21"/>
          <w:szCs w:val="21"/>
        </w:rPr>
        <w:t>均</w:t>
      </w:r>
      <w:r>
        <w:rPr>
          <w:sz w:val="21"/>
          <w:szCs w:val="21"/>
        </w:rPr>
        <w:t>未提交，最后法院适用法定赔偿酌定赔偿金额。此案对于尽力举证标准的认定更高，认为权利人举证需要直接证明侵权获利情况。《</w:t>
      </w:r>
      <w:r>
        <w:rPr>
          <w:rFonts w:hint="eastAsia"/>
          <w:sz w:val="21"/>
          <w:szCs w:val="21"/>
        </w:rPr>
        <w:t>民诉解释</w:t>
      </w:r>
      <w:r>
        <w:rPr>
          <w:sz w:val="21"/>
          <w:szCs w:val="21"/>
        </w:rPr>
        <w:t>》直接无实体标准表述，转而规定以当事人申请作为启动方式，加入程序性限制。这种规范间的效力竞合不仅削弱了制度</w:t>
      </w:r>
      <w:r>
        <w:rPr>
          <w:rFonts w:hint="eastAsia"/>
          <w:sz w:val="21"/>
          <w:szCs w:val="21"/>
        </w:rPr>
        <w:t>的</w:t>
      </w:r>
      <w:r>
        <w:rPr>
          <w:sz w:val="21"/>
          <w:szCs w:val="21"/>
        </w:rPr>
        <w:t>可操作性，更可能诱发选择性司法现象。</w:t>
      </w:r>
    </w:p>
    <w:p w14:paraId="0684B3E8">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sz w:val="21"/>
          <w:szCs w:val="21"/>
        </w:rPr>
      </w:pPr>
      <w:r>
        <w:rPr>
          <w:sz w:val="21"/>
          <w:szCs w:val="21"/>
        </w:rPr>
        <w:t>另外，</w:t>
      </w:r>
      <w:r>
        <w:rPr>
          <w:rFonts w:hint="eastAsia"/>
          <w:sz w:val="21"/>
          <w:szCs w:val="21"/>
        </w:rPr>
        <w:t>现行法律法规</w:t>
      </w:r>
      <w:r>
        <w:rPr>
          <w:sz w:val="21"/>
          <w:szCs w:val="21"/>
        </w:rPr>
        <w:t>尚未规定侵权人主观可归责性，这些立法缺口</w:t>
      </w:r>
      <w:r>
        <w:rPr>
          <w:rFonts w:hint="eastAsia"/>
          <w:sz w:val="21"/>
          <w:szCs w:val="21"/>
        </w:rPr>
        <w:t>都会直接导致证明妨碍制度在知识产权损害赔偿案件中的适用面临多重障碍。</w:t>
      </w:r>
      <w:bookmarkStart w:id="26" w:name="_Toc9604"/>
    </w:p>
    <w:p w14:paraId="52A80CC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2"/>
        <w:textAlignment w:val="auto"/>
        <w:rPr>
          <w:rFonts w:hint="eastAsia" w:ascii="华文楷体" w:hAnsi="华文楷体" w:eastAsia="华文楷体" w:cs="Times New Roman"/>
          <w:kern w:val="2"/>
          <w:sz w:val="24"/>
          <w:szCs w:val="24"/>
          <w:lang w:val="en-US" w:eastAsia="zh-CN"/>
        </w:rPr>
      </w:pPr>
      <w:r>
        <w:rPr>
          <w:rFonts w:hint="eastAsia" w:ascii="华文楷体" w:hAnsi="华文楷体" w:eastAsia="华文楷体" w:cs="Times New Roman"/>
          <w:kern w:val="2"/>
          <w:sz w:val="24"/>
          <w:szCs w:val="24"/>
          <w:lang w:val="en-US" w:eastAsia="zh-CN"/>
        </w:rPr>
        <w:t>（二）</w:t>
      </w:r>
      <w:bookmarkEnd w:id="23"/>
      <w:bookmarkEnd w:id="24"/>
      <w:bookmarkEnd w:id="25"/>
      <w:r>
        <w:rPr>
          <w:rFonts w:hint="eastAsia" w:ascii="华文楷体" w:hAnsi="华文楷体" w:eastAsia="华文楷体" w:cs="Times New Roman"/>
          <w:kern w:val="2"/>
          <w:sz w:val="24"/>
          <w:szCs w:val="24"/>
          <w:lang w:val="en-US" w:eastAsia="zh-CN"/>
        </w:rPr>
        <w:t>证明妨碍制度的法律后果不明</w:t>
      </w:r>
      <w:bookmarkEnd w:id="26"/>
    </w:p>
    <w:p w14:paraId="1A31536D">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侵权人实施妨碍行为一方面致使负有证明责任的当事人承担证明不能或证明困难的不利后果，一方面不利于法院查清案件事实，损害司法秩序。因此</w:t>
      </w:r>
      <w:r>
        <w:rPr>
          <w:rFonts w:hint="eastAsia"/>
          <w:sz w:val="21"/>
          <w:szCs w:val="21"/>
          <w:lang w:eastAsia="zh-CN"/>
        </w:rPr>
        <w:t>，</w:t>
      </w:r>
      <w:r>
        <w:rPr>
          <w:sz w:val="21"/>
          <w:szCs w:val="21"/>
        </w:rPr>
        <w:t>侵权人理应承担公法制裁和私法不利益的法律后果。</w:t>
      </w:r>
    </w:p>
    <w:p w14:paraId="7F810364">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关于公法制裁，我国《</w:t>
      </w:r>
      <w:r>
        <w:rPr>
          <w:rFonts w:hint="eastAsia"/>
          <w:sz w:val="21"/>
          <w:szCs w:val="21"/>
        </w:rPr>
        <w:t>民诉解释</w:t>
      </w:r>
      <w:r>
        <w:rPr>
          <w:sz w:val="21"/>
          <w:szCs w:val="21"/>
        </w:rPr>
        <w:t>》第113条</w:t>
      </w:r>
      <w:r>
        <w:rPr>
          <w:rStyle w:val="30"/>
          <w:sz w:val="21"/>
          <w:szCs w:val="21"/>
        </w:rPr>
        <w:footnoteReference w:id="7"/>
      </w:r>
      <w:r>
        <w:rPr>
          <w:sz w:val="21"/>
          <w:szCs w:val="21"/>
        </w:rPr>
        <w:t>虽构建了证明妨碍的公法制裁框架，但其制度性缺陷导致司法激活率长期趋近于零。首先，“以妨碍使用为目的”这一要件设置单一且</w:t>
      </w:r>
      <w:r>
        <w:rPr>
          <w:rFonts w:hint="eastAsia"/>
          <w:sz w:val="21"/>
          <w:szCs w:val="21"/>
        </w:rPr>
        <w:t>具有</w:t>
      </w:r>
      <w:r>
        <w:rPr>
          <w:sz w:val="21"/>
          <w:szCs w:val="21"/>
        </w:rPr>
        <w:t>较高的主观证明标准，实践难以适用；其次，规范行为拘泥于“积极作为”，对不作为妨碍行为存在规制盲区；最后</w:t>
      </w:r>
      <w:r>
        <w:rPr>
          <w:rFonts w:hint="eastAsia"/>
          <w:sz w:val="21"/>
          <w:szCs w:val="21"/>
        </w:rPr>
        <w:t>，依据《民事诉讼法》第118条之规定，针对个人的罚款上限设定为十万元，而对于单位，其罚款上限则不超过一百万元。这样的</w:t>
      </w:r>
      <w:r>
        <w:rPr>
          <w:sz w:val="21"/>
          <w:szCs w:val="21"/>
        </w:rPr>
        <w:t>经济制裁力度与知识产权案件标的额有失衡的趋势，消解了制度的威慑</w:t>
      </w:r>
      <w:r>
        <w:rPr>
          <w:rFonts w:hint="eastAsia"/>
          <w:sz w:val="21"/>
          <w:szCs w:val="21"/>
        </w:rPr>
        <w:t>效能</w:t>
      </w:r>
      <w:r>
        <w:rPr>
          <w:sz w:val="21"/>
          <w:szCs w:val="21"/>
        </w:rPr>
        <w:t>。这种立法供给与司法需求的断裂，凸显出现行证明妨碍制度公法制裁后果在知识产权诉讼场景中的尤为不适配。</w:t>
      </w:r>
    </w:p>
    <w:p w14:paraId="64DE71F4">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关于私法不利益，有多种理论学说基础。基于损害赔偿义务说和期待可能性说，实施妨碍行为的当事人使得负有举证责任的当事人所主张的</w:t>
      </w:r>
      <w:r>
        <w:rPr>
          <w:rFonts w:hint="eastAsia"/>
          <w:sz w:val="21"/>
          <w:szCs w:val="21"/>
        </w:rPr>
        <w:t>事实</w:t>
      </w:r>
      <w:r>
        <w:rPr>
          <w:sz w:val="21"/>
          <w:szCs w:val="21"/>
        </w:rPr>
        <w:t>陷入证明不可能，应将证明责任转换给实施证明妨害之人，因此产生证明责任转换的法律后果，法官对证明责任的分配进行修正和调整。</w:t>
      </w:r>
      <w:r>
        <w:rPr>
          <w:rStyle w:val="30"/>
          <w:sz w:val="21"/>
          <w:szCs w:val="21"/>
        </w:rPr>
        <w:footnoteReference w:id="8"/>
      </w:r>
      <w:r>
        <w:rPr>
          <w:sz w:val="21"/>
          <w:szCs w:val="21"/>
        </w:rPr>
        <w:t>基于经验法则说，若证据有利于当事人，其不至于会实施妨碍的行为，因此产生自由评价的法律后果，即</w:t>
      </w:r>
      <w:r>
        <w:rPr>
          <w:rFonts w:hint="eastAsia"/>
          <w:sz w:val="21"/>
          <w:szCs w:val="21"/>
        </w:rPr>
        <w:t>法官可综合考量妨碍举证行为的实施手段、行为人主观过错程度、可归责性以及被妨碍证据对案件定性的关键作用等多重因素，在法律框架内审慎行使自由裁量权，对案件事实作出符合公平正义的判定。</w:t>
      </w:r>
      <w:r>
        <w:rPr>
          <w:rStyle w:val="30"/>
          <w:sz w:val="21"/>
          <w:szCs w:val="21"/>
        </w:rPr>
        <w:footnoteReference w:id="9"/>
      </w:r>
    </w:p>
    <w:p w14:paraId="70EF2A07">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我国主要采取自由评价之见解，</w:t>
      </w:r>
      <w:r>
        <w:rPr>
          <w:rFonts w:hint="eastAsia"/>
          <w:sz w:val="21"/>
          <w:szCs w:val="21"/>
        </w:rPr>
        <w:t>根据</w:t>
      </w:r>
      <w:r>
        <w:rPr>
          <w:sz w:val="21"/>
          <w:szCs w:val="21"/>
        </w:rPr>
        <w:t>《商标法》第63条</w:t>
      </w:r>
      <w:r>
        <w:rPr>
          <w:rFonts w:hint="eastAsia"/>
          <w:sz w:val="21"/>
          <w:szCs w:val="21"/>
        </w:rPr>
        <w:t>和</w:t>
      </w:r>
      <w:r>
        <w:rPr>
          <w:sz w:val="21"/>
          <w:szCs w:val="21"/>
        </w:rPr>
        <w:t>《专利解释（二）》第27条规定</w:t>
      </w:r>
      <w:r>
        <w:rPr>
          <w:rFonts w:hint="eastAsia"/>
          <w:sz w:val="21"/>
          <w:szCs w:val="21"/>
        </w:rPr>
        <w:t>，</w:t>
      </w:r>
      <w:r>
        <w:rPr>
          <w:sz w:val="21"/>
          <w:szCs w:val="21"/>
        </w:rPr>
        <w:t>允许法官在权利人举示证据的基础上合理推定。但在司法实践中，不同法院对“合理推定”的尺度差异较大，部分案件赔偿计算依据模糊。在“奥胜格力案”中，</w:t>
      </w:r>
      <w:r>
        <w:rPr>
          <w:rFonts w:hint="eastAsia"/>
          <w:sz w:val="21"/>
          <w:szCs w:val="21"/>
        </w:rPr>
        <w:t>一审阶段，法院采取特定计算方式认定侵权赔偿数额：以京东平台评价数据推算被诉侵权产品的线上销售规模，并参照格力公司、美的集团等同行业同影响力企业公布的净利润率及空调产品毛利率，确定侵权产品的利润率。然而，二审法院对此提出异议，指出空调业务仅是上述企业多元化经营版图中的组成部分，一审法院直接援引整体净利润率推导侵权产品利润率的做法缺乏合理性，改为</w:t>
      </w:r>
      <w:r>
        <w:rPr>
          <w:sz w:val="21"/>
          <w:szCs w:val="21"/>
        </w:rPr>
        <w:t>综合酌定，未明确</w:t>
      </w:r>
      <w:r>
        <w:rPr>
          <w:rFonts w:hint="eastAsia"/>
          <w:sz w:val="21"/>
          <w:szCs w:val="21"/>
        </w:rPr>
        <w:t>利润率的</w:t>
      </w:r>
      <w:r>
        <w:rPr>
          <w:sz w:val="21"/>
          <w:szCs w:val="21"/>
        </w:rPr>
        <w:t>具体数值</w:t>
      </w:r>
      <w:r>
        <w:rPr>
          <w:rFonts w:hint="eastAsia"/>
          <w:sz w:val="21"/>
          <w:szCs w:val="21"/>
        </w:rPr>
        <w:t>。</w:t>
      </w:r>
    </w:p>
    <w:p w14:paraId="5703EA8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2"/>
        <w:textAlignment w:val="auto"/>
        <w:rPr>
          <w:rFonts w:hint="eastAsia" w:ascii="华文楷体" w:hAnsi="华文楷体" w:eastAsia="华文楷体" w:cs="Times New Roman"/>
          <w:kern w:val="2"/>
          <w:sz w:val="24"/>
          <w:szCs w:val="24"/>
          <w:lang w:val="en-US" w:eastAsia="zh-CN"/>
        </w:rPr>
      </w:pPr>
      <w:bookmarkStart w:id="27" w:name="_Toc15752"/>
      <w:r>
        <w:rPr>
          <w:rFonts w:hint="eastAsia" w:ascii="华文楷体" w:hAnsi="华文楷体" w:eastAsia="华文楷体" w:cs="Times New Roman"/>
          <w:kern w:val="2"/>
          <w:sz w:val="24"/>
          <w:szCs w:val="24"/>
          <w:lang w:val="en-US" w:eastAsia="zh-CN"/>
        </w:rPr>
        <w:t>（三）证明妨碍制度的程序保障缺位</w:t>
      </w:r>
      <w:bookmarkEnd w:id="27"/>
    </w:p>
    <w:p w14:paraId="4C99630D">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由于证明妨碍制度具有惩罚性功能，对于可能被认定为实施了妨碍行为的当事人应当给予程序性的保障以维护其权益。然而，目前我国立法上仅有《</w:t>
      </w:r>
      <w:r>
        <w:rPr>
          <w:rFonts w:hint="eastAsia"/>
          <w:sz w:val="21"/>
          <w:szCs w:val="21"/>
        </w:rPr>
        <w:t>民诉解释</w:t>
      </w:r>
      <w:r>
        <w:rPr>
          <w:sz w:val="21"/>
          <w:szCs w:val="21"/>
        </w:rPr>
        <w:t>》第112条提到“书面申请人民法院责令对方当事人提交”，缺乏证明妨碍排除事由的具体规定，即未对“正当理由”进行明确。</w:t>
      </w:r>
      <w:r>
        <w:rPr>
          <w:rFonts w:hint="eastAsia"/>
          <w:sz w:val="21"/>
          <w:szCs w:val="21"/>
        </w:rPr>
        <w:t>另外，在知识产权损害赔偿诉讼中，涉诉证据常涉及客户信息、成本定价等商业秘密，侵权人常以保护商业秘密为由拒绝提供。现行法律法规并未将商业秘密作为证明妨碍制度的法定抗辩事由进行明确规定，也没有设置完善的保护措施和必要性审查程序，仅规定“提交后不得公开质证”，导致侵权人对于提交此类证据心生顾虑，十分抗拒。从比较法的视角看，美国的《联邦民事诉讼规则》第26（c）条</w:t>
      </w:r>
      <w:r>
        <w:rPr>
          <w:rStyle w:val="30"/>
          <w:rFonts w:hint="eastAsia"/>
          <w:sz w:val="21"/>
          <w:szCs w:val="21"/>
        </w:rPr>
        <w:footnoteReference w:id="10"/>
      </w:r>
      <w:r>
        <w:rPr>
          <w:rFonts w:hint="eastAsia"/>
          <w:sz w:val="21"/>
          <w:szCs w:val="21"/>
        </w:rPr>
        <w:t>就专门规定了“证据保护令”制度，详细规定了涉密证据披露的保护措施，包括但不限于将披露或发现的范围限于某些事项、要求对取证进行密封只有在法院命令的情况下才能打开、要求不得披露或只能以特定方式披露商业秘密或商业信息等；德国《商业秘密法》第三章专章规定了涉及商业秘密的诉讼程序处理。我国还需在商业秘密保护和证据开示之间寻找平衡点，促进证明妨碍制度的完善。</w:t>
      </w:r>
    </w:p>
    <w:p w14:paraId="05583446">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sz w:val="21"/>
          <w:szCs w:val="21"/>
        </w:rPr>
      </w:pPr>
      <w:r>
        <w:rPr>
          <w:rFonts w:hint="eastAsia"/>
          <w:sz w:val="21"/>
          <w:szCs w:val="21"/>
        </w:rPr>
        <w:t>其次，现行规范未赋予侵权人充分的程序参与权利。在法院责令提交证据阶段，侵权人无法就证据关联性、举证责任分配等实质性问题进行辩论；在证据妨碍认定阶段，仅由法院单方审查决定，缺乏专门的听证环节设置；在不利推定的法律后果形成时，缺乏异议声明制度和专门的救济程序，法院在判决书中写明自主认定适用证明妨碍制度的法律后果，侵权人只能被动接受，法院多要求当事人通过普通上诉程序主张异议，导致救济实效性不足且浪费司法资源。由此看来，当前证明妨碍制度的程序保障缺陷已严重制约其制度功能的发挥，亟需通过体系化改造实现惩罚功能与程序正义的价值平衡。</w:t>
      </w:r>
    </w:p>
    <w:p w14:paraId="7DA88FA5">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sz w:val="21"/>
          <w:szCs w:val="21"/>
        </w:rPr>
      </w:pPr>
    </w:p>
    <w:p w14:paraId="1E0D5861">
      <w:pPr>
        <w:widowControl w:val="0"/>
        <w:numPr>
          <w:ilvl w:val="0"/>
          <w:numId w:val="1"/>
        </w:numPr>
        <w:spacing w:line="240" w:lineRule="auto"/>
        <w:rPr>
          <w:rFonts w:hint="eastAsia" w:ascii="黑体" w:hAnsi="黑体" w:eastAsia="黑体" w:cs="Times New Roman"/>
          <w:kern w:val="2"/>
          <w:sz w:val="28"/>
          <w:szCs w:val="28"/>
          <w:lang w:val="en-US" w:eastAsia="zh-CN"/>
        </w:rPr>
      </w:pPr>
      <w:bookmarkStart w:id="28" w:name="_Toc27282"/>
      <w:r>
        <w:rPr>
          <w:rFonts w:hint="eastAsia" w:ascii="黑体" w:hAnsi="黑体" w:eastAsia="黑体" w:cs="Times New Roman"/>
          <w:kern w:val="2"/>
          <w:sz w:val="28"/>
          <w:szCs w:val="28"/>
          <w:lang w:val="en-US" w:eastAsia="zh-CN"/>
        </w:rPr>
        <w:t>知识产权损害赔偿诉讼中适用证明妨碍制度的合理性证成</w:t>
      </w:r>
      <w:bookmarkEnd w:id="28"/>
      <w:bookmarkStart w:id="29" w:name="_Toc99726470"/>
      <w:bookmarkStart w:id="30" w:name="_Toc99729163"/>
      <w:bookmarkStart w:id="31" w:name="_Toc147672784"/>
      <w:bookmarkStart w:id="32" w:name="_Toc13543"/>
    </w:p>
    <w:bookmarkEnd w:id="29"/>
    <w:bookmarkEnd w:id="30"/>
    <w:bookmarkEnd w:id="31"/>
    <w:p w14:paraId="0324039F">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华文楷体" w:hAnsi="华文楷体" w:eastAsia="华文楷体" w:cs="Times New Roman"/>
          <w:bCs w:val="0"/>
          <w:kern w:val="2"/>
          <w:sz w:val="24"/>
          <w:szCs w:val="24"/>
          <w:lang w:val="en-US" w:eastAsia="zh-CN" w:bidi="ar-SA"/>
        </w:rPr>
      </w:pPr>
      <w:r>
        <w:rPr>
          <w:rFonts w:hint="eastAsia" w:ascii="华文楷体" w:hAnsi="华文楷体" w:eastAsia="华文楷体" w:cs="Times New Roman"/>
          <w:bCs w:val="0"/>
          <w:kern w:val="2"/>
          <w:sz w:val="24"/>
          <w:szCs w:val="24"/>
          <w:lang w:val="en-US" w:eastAsia="zh-CN" w:bidi="ar-SA"/>
        </w:rPr>
        <w:t>知识产权损害赔偿诉讼中适用证明妨碍制度的正当性</w:t>
      </w:r>
      <w:bookmarkEnd w:id="32"/>
      <w:bookmarkStart w:id="33" w:name="_Toc99726471"/>
      <w:bookmarkStart w:id="34" w:name="_Toc99729164"/>
      <w:bookmarkStart w:id="35" w:name="_Toc147672785"/>
      <w:bookmarkStart w:id="36" w:name="_Toc3967"/>
    </w:p>
    <w:p w14:paraId="73E46CEF">
      <w:pPr>
        <w:keepNext w:val="0"/>
        <w:keepLines w:val="0"/>
        <w:pageBreakBefore w:val="0"/>
        <w:widowControl/>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sz w:val="21"/>
          <w:szCs w:val="21"/>
        </w:rPr>
      </w:pPr>
      <w:r>
        <w:rPr>
          <w:rFonts w:hint="eastAsia"/>
          <w:sz w:val="21"/>
          <w:szCs w:val="21"/>
        </w:rPr>
        <w:t>1.</w:t>
      </w:r>
      <w:bookmarkEnd w:id="33"/>
      <w:bookmarkEnd w:id="34"/>
      <w:bookmarkEnd w:id="35"/>
      <w:r>
        <w:rPr>
          <w:rFonts w:hint="eastAsia"/>
          <w:sz w:val="21"/>
          <w:szCs w:val="21"/>
        </w:rPr>
        <w:t>与现有证明责任体系的兼容性</w:t>
      </w:r>
      <w:bookmarkEnd w:id="36"/>
    </w:p>
    <w:p w14:paraId="3D46DC31">
      <w:pPr>
        <w:pageBreakBefore w:val="0"/>
        <w:kinsoku/>
        <w:wordWrap/>
        <w:overflowPunct/>
        <w:topLinePunct w:val="0"/>
        <w:autoSpaceDE/>
        <w:autoSpaceDN/>
        <w:bidi w:val="0"/>
        <w:spacing w:line="240" w:lineRule="auto"/>
        <w:ind w:firstLine="420" w:firstLineChars="200"/>
        <w:textAlignment w:val="auto"/>
        <w:rPr>
          <w:sz w:val="21"/>
          <w:szCs w:val="21"/>
        </w:rPr>
      </w:pPr>
      <w:bookmarkStart w:id="37" w:name="_Toc99729165"/>
      <w:bookmarkStart w:id="38" w:name="_Toc147672786"/>
      <w:bookmarkStart w:id="39" w:name="_Toc99726472"/>
      <w:r>
        <w:rPr>
          <w:rFonts w:hint="eastAsia"/>
          <w:sz w:val="21"/>
          <w:szCs w:val="21"/>
        </w:rPr>
        <w:t>罗森贝克的规范说是德国民事诉讼证明责任分配理论的奠基性学说</w:t>
      </w:r>
      <w:r>
        <w:rPr>
          <w:sz w:val="21"/>
          <w:szCs w:val="21"/>
        </w:rPr>
        <w:t>，其核心在于将实体法规范的性质与证明责任分配直接关联，构建起“规范要件分类-证明责任配置”的逻辑闭环。</w:t>
      </w:r>
      <w:r>
        <w:rPr>
          <w:rFonts w:hint="eastAsia"/>
          <w:sz w:val="21"/>
          <w:szCs w:val="21"/>
        </w:rPr>
        <w:t>罗森贝克将全部实体规范划分为相互对立的两大范畴：一类是确立权利的规范，即权利形成规范；另一类则是阻碍权利形成或导致已确立权利归于消灭的规范。基于这种规范分类，罗森贝克确立了证明责任分配的双重基准，即权利主张方需就权利产生的法定构成要件事实举证，权利否定方则需就权利妨碍要件事实承担证明义务。</w:t>
      </w:r>
      <w:r>
        <w:rPr>
          <w:rStyle w:val="30"/>
          <w:rFonts w:hint="eastAsia"/>
          <w:sz w:val="21"/>
          <w:szCs w:val="21"/>
        </w:rPr>
        <w:footnoteReference w:id="11"/>
      </w:r>
      <w:r>
        <w:rPr>
          <w:rFonts w:hint="eastAsia"/>
          <w:sz w:val="21"/>
          <w:szCs w:val="21"/>
        </w:rPr>
        <w:t>我国民事诉讼法的证明责任体系正是以该理论为基石构建而成，其典型体现为“谁主张谁举证”的证明责任分配原则。这一原则在民事诉讼中发挥着基础性作用，成为司法实践中证明责任分配的一般准则。然而，规范说的理论缺陷在于其过度依赖法律规范的形式结构，忽视了证据偏在现象对主张方举证能力造成的实质性影响。这种形式化的分配方式可能导致证明责任分配与实质公平产生偏离，特别是在证据偏在情形下，主张方可能因客观举证障碍而承担不合理的证明风险，进而影响裁判结果的公正性。</w:t>
      </w:r>
    </w:p>
    <w:p w14:paraId="1DA6DDDA">
      <w:pPr>
        <w:pageBreakBefore w:val="0"/>
        <w:kinsoku/>
        <w:wordWrap/>
        <w:overflowPunct/>
        <w:topLinePunct w:val="0"/>
        <w:autoSpaceDE/>
        <w:autoSpaceDN/>
        <w:bidi w:val="0"/>
        <w:spacing w:line="240" w:lineRule="auto"/>
        <w:ind w:firstLine="420" w:firstLineChars="200"/>
        <w:textAlignment w:val="auto"/>
        <w:rPr>
          <w:sz w:val="21"/>
          <w:szCs w:val="21"/>
        </w:rPr>
      </w:pPr>
      <w:r>
        <w:rPr>
          <w:sz w:val="21"/>
          <w:szCs w:val="21"/>
        </w:rPr>
        <w:t>对于此缺陷，普霍斯提出了危险领域说的新理论。在加害人在法律上或事实上能够支配的领域内，被害人对损害发生的主观和客观要件均不承担证明责任，转而由加害人对不存在损害事实发生的主客观要件予以证明。</w:t>
      </w:r>
      <w:r>
        <w:rPr>
          <w:rStyle w:val="30"/>
          <w:sz w:val="21"/>
          <w:szCs w:val="21"/>
        </w:rPr>
        <w:footnoteReference w:id="12"/>
      </w:r>
      <w:r>
        <w:rPr>
          <w:sz w:val="21"/>
          <w:szCs w:val="21"/>
        </w:rPr>
        <w:t>证明妨碍制度也可参考危险领域说对于规范说的修正，即加害人掌握确认事实的关键证据且具有证据协力义务时，加害人产生行为证明责任。其原理在于民事诉讼法的武器平等原则，虽然辩论主义使得当事人在法庭上处于博弈对立的位置，但当事人因诉讼能力的差异以及证据偏在现象，特别在知识产权诉讼中权利人与侵权人之间因技术掌控、商业地位及信息不对称导致很容易呈现证据分布失衡的状态频发，为保证当事人双方采取攻防武器的平等性，有必要加设证据协力义务。</w:t>
      </w:r>
      <w:r>
        <w:rPr>
          <w:rStyle w:val="30"/>
          <w:sz w:val="21"/>
          <w:szCs w:val="21"/>
        </w:rPr>
        <w:footnoteReference w:id="13"/>
      </w:r>
      <w:r>
        <w:rPr>
          <w:sz w:val="21"/>
          <w:szCs w:val="21"/>
        </w:rPr>
        <w:t>当然，此义务也需要</w:t>
      </w:r>
      <w:r>
        <w:rPr>
          <w:rFonts w:hint="eastAsia"/>
          <w:sz w:val="21"/>
          <w:szCs w:val="21"/>
        </w:rPr>
        <w:t>设定</w:t>
      </w:r>
      <w:r>
        <w:rPr>
          <w:sz w:val="21"/>
          <w:szCs w:val="21"/>
        </w:rPr>
        <w:t>限制，避免辩论主义的根基遭受瓦解。相比于危险领域说，证明妨碍制度更像是证明责任一般分配规则的特殊规定：对于行为证明责任，在满足一定条件时由权利人转为侵权人；对于结果证明责任，在因妨碍行为导致事实真伪不明时法院在认定事实上作出对权利人的有利调整，这又区别于举证责任倒置，结果证明责任仍在权利人。因此，证明妨碍制度的适用并不违反证明责任体系，同时还有利于弥补规范说的利益衡量缺失的实质问题。</w:t>
      </w:r>
    </w:p>
    <w:p w14:paraId="4D4E3A88">
      <w:pPr>
        <w:keepNext w:val="0"/>
        <w:keepLines w:val="0"/>
        <w:pageBreakBefore w:val="0"/>
        <w:widowControl/>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sz w:val="21"/>
          <w:szCs w:val="21"/>
        </w:rPr>
      </w:pPr>
      <w:bookmarkStart w:id="40" w:name="_Toc2334"/>
      <w:r>
        <w:rPr>
          <w:rFonts w:hint="eastAsia"/>
          <w:sz w:val="21"/>
          <w:szCs w:val="21"/>
        </w:rPr>
        <w:t>2.</w:t>
      </w:r>
      <w:bookmarkEnd w:id="37"/>
      <w:bookmarkEnd w:id="38"/>
      <w:bookmarkEnd w:id="39"/>
      <w:r>
        <w:rPr>
          <w:rFonts w:hint="eastAsia"/>
          <w:sz w:val="21"/>
          <w:szCs w:val="21"/>
        </w:rPr>
        <w:t>符合公平效率等法理基础的</w:t>
      </w:r>
      <w:bookmarkEnd w:id="40"/>
      <w:r>
        <w:rPr>
          <w:rFonts w:hint="eastAsia"/>
          <w:sz w:val="21"/>
          <w:szCs w:val="21"/>
        </w:rPr>
        <w:t>要求</w:t>
      </w:r>
    </w:p>
    <w:p w14:paraId="4A82686F">
      <w:pPr>
        <w:pageBreakBefore w:val="0"/>
        <w:kinsoku/>
        <w:wordWrap/>
        <w:overflowPunct/>
        <w:topLinePunct w:val="0"/>
        <w:autoSpaceDE/>
        <w:autoSpaceDN/>
        <w:bidi w:val="0"/>
        <w:spacing w:line="240" w:lineRule="auto"/>
        <w:ind w:firstLine="420" w:firstLineChars="200"/>
        <w:textAlignment w:val="auto"/>
        <w:rPr>
          <w:sz w:val="21"/>
          <w:szCs w:val="21"/>
        </w:rPr>
      </w:pPr>
      <w:bookmarkStart w:id="41" w:name="_Toc147672787"/>
      <w:bookmarkStart w:id="42" w:name="_Toc99729166"/>
      <w:r>
        <w:rPr>
          <w:sz w:val="21"/>
          <w:szCs w:val="21"/>
        </w:rPr>
        <w:t>证明妨碍制度的法理基础根植于民事诉讼程序的公平性、效率性追求，旨在通过法律制裁与程序矫正，平衡当事人因证据控制能力差异导致的诉讼地位失衡。上文已提到证明妨碍制度是武器平等原则的实质化体现，</w:t>
      </w:r>
      <w:r>
        <w:rPr>
          <w:rFonts w:hint="eastAsia"/>
          <w:sz w:val="21"/>
          <w:szCs w:val="21"/>
        </w:rPr>
        <w:t>同时，</w:t>
      </w:r>
      <w:r>
        <w:rPr>
          <w:sz w:val="21"/>
          <w:szCs w:val="21"/>
        </w:rPr>
        <w:t>其亦</w:t>
      </w:r>
      <w:r>
        <w:rPr>
          <w:rFonts w:hint="eastAsia"/>
          <w:sz w:val="21"/>
          <w:szCs w:val="21"/>
        </w:rPr>
        <w:t>与</w:t>
      </w:r>
      <w:r>
        <w:rPr>
          <w:sz w:val="21"/>
          <w:szCs w:val="21"/>
        </w:rPr>
        <w:t>《民事诉讼法》第13条</w:t>
      </w:r>
      <w:r>
        <w:rPr>
          <w:rStyle w:val="30"/>
          <w:sz w:val="21"/>
          <w:szCs w:val="21"/>
        </w:rPr>
        <w:footnoteReference w:id="14"/>
      </w:r>
      <w:r>
        <w:rPr>
          <w:rFonts w:hint="eastAsia"/>
          <w:sz w:val="21"/>
          <w:szCs w:val="21"/>
        </w:rPr>
        <w:t>确立的诚实信用原则形成程序法层面的价值呼应，</w:t>
      </w:r>
      <w:r>
        <w:rPr>
          <w:sz w:val="21"/>
          <w:szCs w:val="21"/>
        </w:rPr>
        <w:t>证明妨碍行为所导致的事实证明不能或证明困难的诉讼状态</w:t>
      </w:r>
      <w:r>
        <w:rPr>
          <w:rFonts w:hint="eastAsia"/>
          <w:sz w:val="21"/>
          <w:szCs w:val="21"/>
        </w:rPr>
        <w:t>，不应成为妨碍实施者不当获益的原因。</w:t>
      </w:r>
      <w:r>
        <w:rPr>
          <w:rStyle w:val="30"/>
          <w:rFonts w:hint="eastAsia"/>
          <w:sz w:val="21"/>
          <w:szCs w:val="21"/>
        </w:rPr>
        <w:footnoteReference w:id="15"/>
      </w:r>
      <w:r>
        <w:rPr>
          <w:rFonts w:hint="eastAsia"/>
          <w:sz w:val="21"/>
          <w:szCs w:val="21"/>
        </w:rPr>
        <w:t>在证明妨碍制度的理论建构中，学界也形成了多元的学说，</w:t>
      </w:r>
      <w:r>
        <w:rPr>
          <w:sz w:val="21"/>
          <w:szCs w:val="21"/>
        </w:rPr>
        <w:t>但不同</w:t>
      </w:r>
      <w:r>
        <w:rPr>
          <w:rFonts w:hint="eastAsia"/>
          <w:sz w:val="21"/>
          <w:szCs w:val="21"/>
        </w:rPr>
        <w:t>的</w:t>
      </w:r>
      <w:r>
        <w:rPr>
          <w:sz w:val="21"/>
          <w:szCs w:val="21"/>
        </w:rPr>
        <w:t>讨论会导致证明妨碍</w:t>
      </w:r>
      <w:r>
        <w:rPr>
          <w:rFonts w:hint="eastAsia"/>
          <w:sz w:val="21"/>
          <w:szCs w:val="21"/>
        </w:rPr>
        <w:t>制度的</w:t>
      </w:r>
      <w:r>
        <w:rPr>
          <w:sz w:val="21"/>
          <w:szCs w:val="21"/>
        </w:rPr>
        <w:t>构成要件与法律</w:t>
      </w:r>
      <w:r>
        <w:rPr>
          <w:rFonts w:hint="eastAsia"/>
          <w:sz w:val="21"/>
          <w:szCs w:val="21"/>
        </w:rPr>
        <w:t>后果在</w:t>
      </w:r>
      <w:r>
        <w:rPr>
          <w:sz w:val="21"/>
          <w:szCs w:val="21"/>
        </w:rPr>
        <w:t>解释论上的区别对待，结合司法实践趋势，笔者更加认同协力义务违反说和经验法则说，前者强化证明妨碍制度的构成要件，后者理清</w:t>
      </w:r>
      <w:r>
        <w:rPr>
          <w:rFonts w:hint="eastAsia"/>
          <w:sz w:val="21"/>
          <w:szCs w:val="21"/>
        </w:rPr>
        <w:t>法律</w:t>
      </w:r>
      <w:r>
        <w:rPr>
          <w:sz w:val="21"/>
          <w:szCs w:val="21"/>
        </w:rPr>
        <w:t>后果。从法经济学视角审视，证明妨碍制度通过改变“举证成本-诉讼收益”的结构，实现帕累托改进</w:t>
      </w:r>
      <w:r>
        <w:rPr>
          <w:rFonts w:hint="eastAsia"/>
          <w:sz w:val="21"/>
          <w:szCs w:val="21"/>
        </w:rPr>
        <w:t>，</w:t>
      </w:r>
      <w:r>
        <w:rPr>
          <w:sz w:val="21"/>
          <w:szCs w:val="21"/>
        </w:rPr>
        <w:t>降低</w:t>
      </w:r>
      <w:r>
        <w:rPr>
          <w:rFonts w:hint="eastAsia"/>
          <w:sz w:val="21"/>
          <w:szCs w:val="21"/>
        </w:rPr>
        <w:t>了</w:t>
      </w:r>
      <w:r>
        <w:rPr>
          <w:sz w:val="21"/>
          <w:szCs w:val="21"/>
        </w:rPr>
        <w:t>权利人和法院调查取证的经济成本，增加侵权人隐匿毁损证据的预期成本，提高了诉讼效率。</w:t>
      </w:r>
    </w:p>
    <w:bookmarkEnd w:id="41"/>
    <w:bookmarkEnd w:id="42"/>
    <w:p w14:paraId="090F8CD1">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华文楷体" w:hAnsi="华文楷体" w:eastAsia="华文楷体" w:cs="Times New Roman"/>
          <w:bCs w:val="0"/>
          <w:kern w:val="2"/>
          <w:sz w:val="24"/>
          <w:szCs w:val="24"/>
          <w:lang w:val="en-US" w:eastAsia="zh-CN" w:bidi="ar-SA"/>
        </w:rPr>
      </w:pPr>
      <w:bookmarkStart w:id="43" w:name="_Toc7544"/>
      <w:r>
        <w:rPr>
          <w:rFonts w:hint="eastAsia" w:ascii="华文楷体" w:hAnsi="华文楷体" w:eastAsia="华文楷体" w:cs="Times New Roman"/>
          <w:bCs w:val="0"/>
          <w:kern w:val="2"/>
          <w:sz w:val="24"/>
          <w:szCs w:val="24"/>
          <w:lang w:val="en-US" w:eastAsia="zh-CN" w:bidi="ar-SA"/>
        </w:rPr>
        <w:t>知识产权损害赔偿诉讼中适用证明妨碍制度的必要性</w:t>
      </w:r>
      <w:bookmarkEnd w:id="43"/>
    </w:p>
    <w:p w14:paraId="06E24891">
      <w:pPr>
        <w:keepNext w:val="0"/>
        <w:keepLines w:val="0"/>
        <w:pageBreakBefore w:val="0"/>
        <w:widowControl/>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sz w:val="21"/>
          <w:szCs w:val="21"/>
        </w:rPr>
      </w:pPr>
      <w:bookmarkStart w:id="44" w:name="_Toc17527"/>
      <w:r>
        <w:rPr>
          <w:rFonts w:hint="eastAsia"/>
          <w:sz w:val="21"/>
          <w:szCs w:val="21"/>
        </w:rPr>
        <w:t>1.优化数智时代下知识产权保护体系</w:t>
      </w:r>
      <w:bookmarkEnd w:id="44"/>
    </w:p>
    <w:p w14:paraId="3267F1DD">
      <w:pPr>
        <w:pageBreakBefore w:val="0"/>
        <w:widowControl/>
        <w:kinsoku/>
        <w:wordWrap/>
        <w:overflowPunct/>
        <w:topLinePunct w:val="0"/>
        <w:autoSpaceDE/>
        <w:autoSpaceDN/>
        <w:bidi w:val="0"/>
        <w:spacing w:line="240" w:lineRule="auto"/>
        <w:ind w:firstLine="420" w:firstLineChars="200"/>
        <w:textAlignment w:val="auto"/>
        <w:rPr>
          <w:sz w:val="21"/>
          <w:szCs w:val="21"/>
        </w:rPr>
      </w:pPr>
      <w:r>
        <w:rPr>
          <w:rFonts w:hint="eastAsia"/>
          <w:sz w:val="21"/>
          <w:szCs w:val="21"/>
        </w:rPr>
        <w:t>数智</w:t>
      </w:r>
      <w:r>
        <w:rPr>
          <w:sz w:val="21"/>
          <w:szCs w:val="21"/>
        </w:rPr>
        <w:t>时代中知识产权侵权的技术隐蔽性增强，侵权行为通过加密技术、分布式网络实施，证明妨碍行为呈现出多样性，证据易被篡改或销毁。例如，在“CATIA”软件侵害计算机软件著作权纠纷案</w:t>
      </w:r>
      <w:r>
        <w:rPr>
          <w:rStyle w:val="30"/>
          <w:sz w:val="21"/>
          <w:szCs w:val="21"/>
        </w:rPr>
        <w:footnoteReference w:id="16"/>
      </w:r>
      <w:r>
        <w:rPr>
          <w:sz w:val="21"/>
          <w:szCs w:val="21"/>
        </w:rPr>
        <w:t>中，侵权人将保全检查的42台电脑启用锐起虚拟桌面软件，使其处于非正常办公状态，隐藏侵权软件。法院认为以远程操控终端电脑系统从而使侵权事实无法显现的行为在隐匿侵权事实的程度以及效率方面较传统证据妨碍方式更高，在阻碍司法工作人员执行职务、妨害民事诉讼方面造成的后果更为严重，从而使证据保全这一民事诉讼活动中的重要措施的效力显著降低。在海斯凯尔公司、弹性公司侵害发明专利权纠纷案</w:t>
      </w:r>
      <w:r>
        <w:rPr>
          <w:rStyle w:val="30"/>
          <w:sz w:val="21"/>
          <w:szCs w:val="21"/>
        </w:rPr>
        <w:footnoteReference w:id="17"/>
      </w:r>
      <w:r>
        <w:rPr>
          <w:rFonts w:hint="eastAsia"/>
          <w:sz w:val="21"/>
          <w:szCs w:val="21"/>
        </w:rPr>
        <w:t>（以下简称“弹性公司侵权案”）</w:t>
      </w:r>
      <w:r>
        <w:rPr>
          <w:sz w:val="21"/>
          <w:szCs w:val="21"/>
        </w:rPr>
        <w:t>中，侵权方远程更新软件导致查封证据出现极大变化而失效，同时涉诉产品因核心算法采用加密方式进行了限制披露，侵权人不予配合勘验，</w:t>
      </w:r>
      <w:r>
        <w:rPr>
          <w:rFonts w:hint="eastAsia"/>
          <w:sz w:val="21"/>
          <w:szCs w:val="21"/>
        </w:rPr>
        <w:t>导致在无法获取软件源代码或加密算法的情况下，超声回波信号处理算法的相关证据无法获取。</w:t>
      </w:r>
      <w:r>
        <w:rPr>
          <w:sz w:val="21"/>
          <w:szCs w:val="21"/>
        </w:rPr>
        <w:t>诸如以上的新型技术性妨碍行为更具有隐蔽性，主要存在于证据保全过程中，法院需依赖专业鉴定或事实对比推理才能发现。</w:t>
      </w:r>
      <w:r>
        <w:rPr>
          <w:rFonts w:hint="eastAsia"/>
          <w:sz w:val="21"/>
          <w:szCs w:val="21"/>
        </w:rPr>
        <w:t>面对此类情形，除借助科技手段，通过整合各单位业务和数据，提供统一的损害赔偿参考标准及类案关联推送服务，能有效减轻权利人的举证负担外</w:t>
      </w:r>
      <w:r>
        <w:rPr>
          <w:rStyle w:val="30"/>
          <w:rFonts w:hint="eastAsia"/>
          <w:sz w:val="21"/>
          <w:szCs w:val="21"/>
        </w:rPr>
        <w:footnoteReference w:id="18"/>
      </w:r>
      <w:r>
        <w:rPr>
          <w:rFonts w:hint="eastAsia"/>
          <w:sz w:val="21"/>
          <w:szCs w:val="21"/>
        </w:rPr>
        <w:t>，</w:t>
      </w:r>
      <w:r>
        <w:rPr>
          <w:sz w:val="21"/>
          <w:szCs w:val="21"/>
        </w:rPr>
        <w:t>还要发挥证明妨碍制度与证据保全制度、惩罚性赔偿的协同效应，有利于实现实体法与程序法价值目标的统一。</w:t>
      </w:r>
      <w:bookmarkStart w:id="45" w:name="_Toc11331"/>
    </w:p>
    <w:p w14:paraId="071C02BB">
      <w:pPr>
        <w:keepNext w:val="0"/>
        <w:keepLines w:val="0"/>
        <w:pageBreakBefore w:val="0"/>
        <w:widowControl/>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sz w:val="21"/>
          <w:szCs w:val="21"/>
          <w:lang w:val="en-US" w:eastAsia="zh-CN"/>
        </w:rPr>
      </w:pPr>
      <w:r>
        <w:rPr>
          <w:rFonts w:hint="eastAsia"/>
          <w:sz w:val="21"/>
          <w:szCs w:val="21"/>
          <w:lang w:val="en-US" w:eastAsia="zh-CN"/>
        </w:rPr>
        <w:t>2.平衡当事人举证能力以维护司法公平正义</w:t>
      </w:r>
      <w:bookmarkEnd w:id="45"/>
    </w:p>
    <w:p w14:paraId="4852AFBB">
      <w:pPr>
        <w:pageBreakBefore w:val="0"/>
        <w:widowControl/>
        <w:kinsoku/>
        <w:wordWrap/>
        <w:overflowPunct/>
        <w:topLinePunct w:val="0"/>
        <w:autoSpaceDE/>
        <w:autoSpaceDN/>
        <w:bidi w:val="0"/>
        <w:spacing w:line="240" w:lineRule="auto"/>
        <w:ind w:firstLine="420" w:firstLineChars="200"/>
        <w:textAlignment w:val="auto"/>
        <w:rPr>
          <w:sz w:val="21"/>
          <w:szCs w:val="21"/>
        </w:rPr>
      </w:pPr>
      <w:r>
        <w:rPr>
          <w:rFonts w:hint="eastAsia"/>
          <w:sz w:val="21"/>
          <w:szCs w:val="21"/>
        </w:rPr>
        <w:t>由于司法实践中权利人实际损失与侵权方获利数额的认定存在较高难度，法定赔偿的适用范围呈现扩大化趋势，</w:t>
      </w:r>
      <w:r>
        <w:rPr>
          <w:sz w:val="21"/>
          <w:szCs w:val="21"/>
        </w:rPr>
        <w:t>法官在裁判文书中机械运用一成不变的说理，忽视证据规则的运用及科学的计算。同时因证明妨碍制度并未完善，法院的适用率较低，在权利人初步举证后，大多直接以“鉴于本案侵权行为导致的权利人损失、侵权人获益的具体数额以及涉案专利许可使用费均无充分证据证实，本院将根据具体情况进行综合考量酌定赔偿数额”说理适用法定赔偿，例如在小糸车灯公司、星宇车灯公司侵害发明专利权纠纷一案</w:t>
      </w:r>
      <w:r>
        <w:rPr>
          <w:rStyle w:val="30"/>
          <w:sz w:val="21"/>
          <w:szCs w:val="21"/>
        </w:rPr>
        <w:footnoteReference w:id="19"/>
      </w:r>
      <w:r>
        <w:rPr>
          <w:sz w:val="21"/>
          <w:szCs w:val="21"/>
        </w:rPr>
        <w:t>中，原告提交被告年度报告获利总额，但法院认为不能区分案涉侵权产品单独的销售数量和利润，遂法定赔偿。因此，当事人获赔数额较低、诉权滥用、随意性赔偿等问题在知识产权损害赔偿诉讼中愈发凸显。</w:t>
      </w:r>
      <w:r>
        <w:rPr>
          <w:rFonts w:hint="eastAsia"/>
          <w:sz w:val="21"/>
          <w:szCs w:val="21"/>
        </w:rPr>
        <w:t>学者调研结果表明，2012年至2015年间我国知识产权侵权案件中，法定赔偿的适用比例居高不下：著作权案件达99.62%，商标权案件为99.6%，专利权案件亦达98.4%。同时，相较于其他赔偿标准，适用法定赔偿标准判定的平均赔偿金额显著偏低。</w:t>
      </w:r>
      <w:r>
        <w:rPr>
          <w:rStyle w:val="30"/>
          <w:rFonts w:hint="eastAsia"/>
          <w:sz w:val="21"/>
          <w:szCs w:val="21"/>
        </w:rPr>
        <w:footnoteReference w:id="20"/>
      </w:r>
      <w:r>
        <w:rPr>
          <w:sz w:val="21"/>
          <w:szCs w:val="21"/>
        </w:rPr>
        <w:t>为解决以上问题，必须以完善的诉讼程序和证据规则为基础，完善证明妨碍制度的适用有利于正确分配举证责任，充分利用工商税务部门、第三方商业平台、侵权人网站或上市文件显示的相关数据，依法确定侵权获利情况，有效提高侵权赔偿数额，</w:t>
      </w:r>
      <w:r>
        <w:rPr>
          <w:rStyle w:val="30"/>
          <w:sz w:val="21"/>
          <w:szCs w:val="21"/>
        </w:rPr>
        <w:footnoteReference w:id="21"/>
      </w:r>
      <w:r>
        <w:rPr>
          <w:rFonts w:hint="eastAsia"/>
          <w:sz w:val="21"/>
          <w:szCs w:val="21"/>
        </w:rPr>
        <w:t>这也</w:t>
      </w:r>
      <w:r>
        <w:rPr>
          <w:sz w:val="21"/>
          <w:szCs w:val="21"/>
        </w:rPr>
        <w:t>符合我国</w:t>
      </w:r>
      <w:r>
        <w:rPr>
          <w:rFonts w:hint="eastAsia"/>
          <w:sz w:val="21"/>
          <w:szCs w:val="21"/>
        </w:rPr>
        <w:t>对</w:t>
      </w:r>
      <w:r>
        <w:rPr>
          <w:sz w:val="21"/>
          <w:szCs w:val="21"/>
        </w:rPr>
        <w:t>知识产权</w:t>
      </w:r>
      <w:r>
        <w:rPr>
          <w:rFonts w:hint="eastAsia"/>
          <w:sz w:val="21"/>
          <w:szCs w:val="21"/>
        </w:rPr>
        <w:t>的</w:t>
      </w:r>
      <w:r>
        <w:rPr>
          <w:sz w:val="21"/>
          <w:szCs w:val="21"/>
        </w:rPr>
        <w:t>发展期待。</w:t>
      </w:r>
    </w:p>
    <w:p w14:paraId="27570F34">
      <w:pPr>
        <w:pageBreakBefore w:val="0"/>
        <w:widowControl/>
        <w:kinsoku/>
        <w:wordWrap/>
        <w:overflowPunct/>
        <w:topLinePunct w:val="0"/>
        <w:autoSpaceDE/>
        <w:autoSpaceDN/>
        <w:bidi w:val="0"/>
        <w:spacing w:line="240" w:lineRule="auto"/>
        <w:ind w:firstLine="420" w:firstLineChars="200"/>
        <w:textAlignment w:val="auto"/>
        <w:rPr>
          <w:sz w:val="21"/>
          <w:szCs w:val="21"/>
        </w:rPr>
      </w:pPr>
    </w:p>
    <w:p w14:paraId="1423FE5D">
      <w:pPr>
        <w:widowControl w:val="0"/>
        <w:numPr>
          <w:ilvl w:val="0"/>
          <w:numId w:val="1"/>
        </w:numPr>
        <w:spacing w:line="240" w:lineRule="auto"/>
        <w:rPr>
          <w:rFonts w:hint="eastAsia" w:ascii="黑体" w:hAnsi="黑体" w:eastAsia="黑体" w:cs="Times New Roman"/>
          <w:kern w:val="2"/>
          <w:sz w:val="28"/>
          <w:szCs w:val="28"/>
          <w:lang w:val="en-US" w:eastAsia="zh-CN"/>
        </w:rPr>
      </w:pPr>
      <w:bookmarkStart w:id="46" w:name="_Toc953"/>
      <w:r>
        <w:rPr>
          <w:rFonts w:hint="eastAsia" w:ascii="黑体" w:hAnsi="黑体" w:eastAsia="黑体" w:cs="Times New Roman"/>
          <w:kern w:val="2"/>
          <w:sz w:val="28"/>
          <w:szCs w:val="28"/>
          <w:lang w:val="en-US" w:eastAsia="zh-CN"/>
        </w:rPr>
        <w:t>知识产权损害赔偿诉讼中适用证明妨碍制度的完善路径</w:t>
      </w:r>
      <w:bookmarkEnd w:id="46"/>
    </w:p>
    <w:p w14:paraId="5FFC538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华文楷体" w:hAnsi="华文楷体" w:eastAsia="华文楷体" w:cs="Times New Roman"/>
          <w:bCs w:val="0"/>
          <w:kern w:val="2"/>
          <w:sz w:val="24"/>
          <w:szCs w:val="24"/>
          <w:lang w:val="en-US" w:eastAsia="zh-CN" w:bidi="ar-SA"/>
        </w:rPr>
      </w:pPr>
      <w:bookmarkStart w:id="47" w:name="_Toc147672789"/>
      <w:bookmarkStart w:id="48" w:name="_Toc99726474"/>
      <w:bookmarkStart w:id="49" w:name="_Toc99729168"/>
      <w:bookmarkStart w:id="50" w:name="_Toc8507"/>
      <w:r>
        <w:rPr>
          <w:rFonts w:hint="eastAsia" w:ascii="华文楷体" w:hAnsi="华文楷体" w:eastAsia="华文楷体" w:cs="Times New Roman"/>
          <w:bCs w:val="0"/>
          <w:kern w:val="2"/>
          <w:sz w:val="24"/>
          <w:szCs w:val="24"/>
          <w:lang w:val="en-US" w:eastAsia="zh-CN" w:bidi="ar-SA"/>
        </w:rPr>
        <w:t>（一）</w:t>
      </w:r>
      <w:bookmarkEnd w:id="47"/>
      <w:bookmarkEnd w:id="48"/>
      <w:bookmarkEnd w:id="49"/>
      <w:r>
        <w:rPr>
          <w:rFonts w:hint="eastAsia" w:ascii="华文楷体" w:hAnsi="华文楷体" w:eastAsia="华文楷体" w:cs="Times New Roman"/>
          <w:bCs w:val="0"/>
          <w:kern w:val="2"/>
          <w:sz w:val="24"/>
          <w:szCs w:val="24"/>
          <w:lang w:val="en-US" w:eastAsia="zh-CN" w:bidi="ar-SA"/>
        </w:rPr>
        <w:t>细化证明妨碍制度的构成要件</w:t>
      </w:r>
      <w:bookmarkEnd w:id="50"/>
    </w:p>
    <w:p w14:paraId="2C10373F">
      <w:pPr>
        <w:pageBreakBefore w:val="0"/>
        <w:widowControl/>
        <w:kinsoku/>
        <w:wordWrap/>
        <w:overflowPunct/>
        <w:topLinePunct w:val="0"/>
        <w:autoSpaceDE/>
        <w:autoSpaceDN/>
        <w:bidi w:val="0"/>
        <w:spacing w:line="240" w:lineRule="auto"/>
        <w:ind w:firstLine="420" w:firstLineChars="200"/>
        <w:textAlignment w:val="auto"/>
        <w:rPr>
          <w:sz w:val="21"/>
          <w:szCs w:val="21"/>
        </w:rPr>
      </w:pPr>
      <w:bookmarkStart w:id="51" w:name="_Toc147672790"/>
      <w:bookmarkStart w:id="52" w:name="_Toc99729169"/>
      <w:r>
        <w:rPr>
          <w:sz w:val="21"/>
          <w:szCs w:val="21"/>
        </w:rPr>
        <w:t>经过多年的讨论，我国理论界对于证明妨碍制度构成要件的讨论基本趋于一致，只在细节上有所不同。笔者赞同四要件说，从主体要件、客体要件、主观要件和客观要件四方面细化构成要件的法律规范。</w:t>
      </w:r>
    </w:p>
    <w:p w14:paraId="0BCACA1C">
      <w:pPr>
        <w:pStyle w:val="4"/>
        <w:pageBreakBefore w:val="0"/>
        <w:widowControl/>
        <w:kinsoku/>
        <w:wordWrap/>
        <w:overflowPunct/>
        <w:topLinePunct w:val="0"/>
        <w:autoSpaceDE/>
        <w:autoSpaceDN/>
        <w:bidi w:val="0"/>
        <w:adjustRightInd w:val="0"/>
        <w:snapToGrid w:val="0"/>
        <w:spacing w:before="120" w:after="120" w:line="240" w:lineRule="auto"/>
        <w:ind w:firstLine="420"/>
        <w:jc w:val="left"/>
        <w:textAlignment w:val="auto"/>
        <w:rPr>
          <w:rFonts w:hint="eastAsia" w:ascii="宋体" w:hAnsi="宋体" w:eastAsia="宋体" w:cs="宋体"/>
          <w:sz w:val="21"/>
          <w:szCs w:val="21"/>
        </w:rPr>
      </w:pPr>
      <w:bookmarkStart w:id="53" w:name="_Toc11193"/>
      <w:r>
        <w:rPr>
          <w:rFonts w:hint="eastAsia" w:ascii="宋体" w:hAnsi="宋体" w:eastAsia="宋体" w:cs="宋体"/>
          <w:sz w:val="21"/>
          <w:szCs w:val="21"/>
        </w:rPr>
        <w:t>1.主体要件</w:t>
      </w:r>
      <w:bookmarkEnd w:id="53"/>
    </w:p>
    <w:p w14:paraId="1725C574">
      <w:pPr>
        <w:pageBreakBefore w:val="0"/>
        <w:widowControl/>
        <w:kinsoku/>
        <w:wordWrap/>
        <w:overflowPunct/>
        <w:topLinePunct w:val="0"/>
        <w:autoSpaceDE/>
        <w:autoSpaceDN/>
        <w:bidi w:val="0"/>
        <w:spacing w:line="240" w:lineRule="auto"/>
        <w:ind w:firstLine="420" w:firstLineChars="200"/>
        <w:textAlignment w:val="auto"/>
        <w:rPr>
          <w:sz w:val="21"/>
          <w:szCs w:val="21"/>
        </w:rPr>
      </w:pPr>
      <w:r>
        <w:rPr>
          <w:rFonts w:hint="eastAsia"/>
          <w:sz w:val="21"/>
          <w:szCs w:val="21"/>
        </w:rPr>
        <w:t>现行立法将证明妨碍制度的适用主体限定为承担举证责任一方的对方当事人</w:t>
      </w:r>
      <w:r>
        <w:rPr>
          <w:sz w:val="21"/>
          <w:szCs w:val="21"/>
        </w:rPr>
        <w:t>，</w:t>
      </w:r>
      <w:r>
        <w:rPr>
          <w:rFonts w:hint="eastAsia"/>
          <w:sz w:val="21"/>
          <w:szCs w:val="21"/>
        </w:rPr>
        <w:t>这一范围设定相对狭窄，制约了制度效能的发挥</w:t>
      </w:r>
      <w:r>
        <w:rPr>
          <w:sz w:val="21"/>
          <w:szCs w:val="21"/>
        </w:rPr>
        <w:t>，正如上文所述无法包含诉讼外第三人，笔者认为可扩大至具有证据协力义务的主体。此时，需要进一步明确证据协力义务的界定。根据《民事诉讼法》第67条第</w:t>
      </w:r>
      <w:r>
        <w:rPr>
          <w:rFonts w:hint="eastAsia"/>
          <w:sz w:val="21"/>
          <w:szCs w:val="21"/>
          <w:lang w:val="en-US" w:eastAsia="zh-CN"/>
        </w:rPr>
        <w:t>2</w:t>
      </w:r>
      <w:r>
        <w:rPr>
          <w:sz w:val="21"/>
          <w:szCs w:val="21"/>
        </w:rPr>
        <w:t>款</w:t>
      </w:r>
      <w:r>
        <w:rPr>
          <w:rStyle w:val="30"/>
          <w:sz w:val="21"/>
          <w:szCs w:val="21"/>
        </w:rPr>
        <w:footnoteReference w:id="22"/>
      </w:r>
      <w:r>
        <w:rPr>
          <w:sz w:val="21"/>
          <w:szCs w:val="21"/>
        </w:rPr>
        <w:t>和第70条第</w:t>
      </w:r>
      <w:r>
        <w:rPr>
          <w:rFonts w:hint="eastAsia"/>
          <w:sz w:val="21"/>
          <w:szCs w:val="21"/>
          <w:lang w:val="en-US" w:eastAsia="zh-CN"/>
        </w:rPr>
        <w:t>1</w:t>
      </w:r>
      <w:r>
        <w:rPr>
          <w:sz w:val="21"/>
          <w:szCs w:val="21"/>
        </w:rPr>
        <w:t>款</w:t>
      </w:r>
      <w:r>
        <w:rPr>
          <w:rStyle w:val="30"/>
          <w:sz w:val="21"/>
          <w:szCs w:val="21"/>
        </w:rPr>
        <w:footnoteReference w:id="23"/>
      </w:r>
      <w:r>
        <w:rPr>
          <w:sz w:val="21"/>
          <w:szCs w:val="21"/>
        </w:rPr>
        <w:t>的规定，双方当事人以及第三方单位和个人均有义务配合法院调查取证，说明其都负有协助取证的义务。</w:t>
      </w:r>
      <w:r>
        <w:rPr>
          <w:rStyle w:val="30"/>
          <w:sz w:val="21"/>
          <w:szCs w:val="21"/>
        </w:rPr>
        <w:footnoteReference w:id="24"/>
      </w:r>
      <w:r>
        <w:rPr>
          <w:sz w:val="21"/>
          <w:szCs w:val="21"/>
        </w:rPr>
        <w:t>考虑到民事诉讼辩论主义下双方的对抗性，</w:t>
      </w:r>
      <w:r>
        <w:rPr>
          <w:rFonts w:hint="eastAsia"/>
          <w:sz w:val="21"/>
          <w:szCs w:val="21"/>
        </w:rPr>
        <w:t>证明</w:t>
      </w:r>
      <w:r>
        <w:rPr>
          <w:sz w:val="21"/>
          <w:szCs w:val="21"/>
        </w:rPr>
        <w:t>妨碍制度主体所具有的证据协力义务需要在上述协助取证义务的基础上再作出限制，即主体需要负有证据保存义务。一方面在诉讼尚未迫近前，其来源必须由实体法、程序法或者有关行业规范道德义务所强制，</w:t>
      </w:r>
      <w:r>
        <w:rPr>
          <w:rStyle w:val="30"/>
          <w:sz w:val="21"/>
          <w:szCs w:val="21"/>
        </w:rPr>
        <w:footnoteReference w:id="25"/>
      </w:r>
      <w:r>
        <w:rPr>
          <w:sz w:val="21"/>
          <w:szCs w:val="21"/>
        </w:rPr>
        <w:t>譬如《会计法》第14条规定了会计档案的定期保管期限为10年和30年，说明公司对会计凭证、会计账簿等会计档案负有保存义务，那么其满足适用证明妨碍制度的主体要件；另一方面，在诉讼迫近时，因能够预见此时产生的证据对于证明纠纷有利事实的价值，对主体证据保存存在期待性，主体因此负有证据保存义务。</w:t>
      </w:r>
      <w:r>
        <w:rPr>
          <w:rStyle w:val="30"/>
          <w:sz w:val="21"/>
          <w:szCs w:val="21"/>
        </w:rPr>
        <w:footnoteReference w:id="26"/>
      </w:r>
    </w:p>
    <w:p w14:paraId="08A8E70A">
      <w:pPr>
        <w:pStyle w:val="4"/>
        <w:pageBreakBefore w:val="0"/>
        <w:widowControl/>
        <w:kinsoku/>
        <w:wordWrap/>
        <w:overflowPunct/>
        <w:topLinePunct w:val="0"/>
        <w:autoSpaceDE/>
        <w:autoSpaceDN/>
        <w:bidi w:val="0"/>
        <w:adjustRightInd w:val="0"/>
        <w:snapToGrid w:val="0"/>
        <w:spacing w:before="120" w:after="120" w:line="240" w:lineRule="auto"/>
        <w:ind w:firstLine="420"/>
        <w:jc w:val="left"/>
        <w:textAlignment w:val="auto"/>
        <w:rPr>
          <w:rFonts w:hint="eastAsia" w:ascii="宋体" w:hAnsi="宋体" w:eastAsia="宋体" w:cs="宋体"/>
          <w:sz w:val="21"/>
          <w:szCs w:val="21"/>
        </w:rPr>
      </w:pPr>
      <w:bookmarkStart w:id="54" w:name="_Toc14114"/>
      <w:r>
        <w:rPr>
          <w:rFonts w:hint="eastAsia" w:ascii="宋体" w:hAnsi="宋体" w:eastAsia="宋体" w:cs="宋体"/>
          <w:sz w:val="21"/>
          <w:szCs w:val="21"/>
        </w:rPr>
        <w:t>2.客体要件</w:t>
      </w:r>
      <w:bookmarkEnd w:id="54"/>
    </w:p>
    <w:p w14:paraId="6C41CE0C">
      <w:pPr>
        <w:pageBreakBefore w:val="0"/>
        <w:widowControl/>
        <w:kinsoku/>
        <w:wordWrap/>
        <w:overflowPunct/>
        <w:topLinePunct w:val="0"/>
        <w:autoSpaceDE/>
        <w:autoSpaceDN/>
        <w:bidi w:val="0"/>
        <w:spacing w:line="240" w:lineRule="auto"/>
        <w:ind w:firstLine="420" w:firstLineChars="200"/>
        <w:textAlignment w:val="auto"/>
        <w:rPr>
          <w:sz w:val="21"/>
          <w:szCs w:val="21"/>
        </w:rPr>
      </w:pPr>
      <w:r>
        <w:rPr>
          <w:rFonts w:hint="eastAsia"/>
          <w:sz w:val="21"/>
          <w:szCs w:val="21"/>
        </w:rPr>
        <w:t>证明妨碍制度的客体要件，即明确何种证据类型或形式在遭受妨碍时，可被认定为证明妨碍行为。在数智化浪潮下，尤其在知识产权诉讼中，若立法仅将书证纳入证明妨碍的客体范畴，显然已难以应对层出不穷的新型证据形态。在英美法系国家，司法判例往往成为拓展证明妨碍制度适用的证据类型或形式的重要途径。</w:t>
      </w:r>
      <w:r>
        <w:rPr>
          <w:rStyle w:val="30"/>
          <w:rFonts w:hint="eastAsia"/>
          <w:sz w:val="21"/>
          <w:szCs w:val="21"/>
        </w:rPr>
        <w:footnoteReference w:id="27"/>
      </w:r>
      <w:r>
        <w:rPr>
          <w:rFonts w:hint="eastAsia"/>
          <w:sz w:val="21"/>
          <w:szCs w:val="21"/>
        </w:rPr>
        <w:t>借鉴此经验，我国可通过司法解释或发布指导性案例的方式，先将电子数据、技术性资料扩张进证明妨碍制度的客体范围，并逐步探索将其扩展至所有证据种类。</w:t>
      </w:r>
    </w:p>
    <w:p w14:paraId="085EC2D6">
      <w:pPr>
        <w:pStyle w:val="4"/>
        <w:pageBreakBefore w:val="0"/>
        <w:widowControl/>
        <w:kinsoku/>
        <w:wordWrap/>
        <w:overflowPunct/>
        <w:topLinePunct w:val="0"/>
        <w:autoSpaceDE/>
        <w:autoSpaceDN/>
        <w:bidi w:val="0"/>
        <w:adjustRightInd w:val="0"/>
        <w:snapToGrid w:val="0"/>
        <w:spacing w:before="120" w:after="120" w:line="240" w:lineRule="auto"/>
        <w:ind w:firstLine="420"/>
        <w:jc w:val="left"/>
        <w:textAlignment w:val="auto"/>
        <w:rPr>
          <w:rFonts w:hint="eastAsia" w:ascii="宋体" w:hAnsi="宋体" w:eastAsia="宋体" w:cs="宋体"/>
          <w:sz w:val="21"/>
          <w:szCs w:val="21"/>
        </w:rPr>
      </w:pPr>
      <w:bookmarkStart w:id="55" w:name="_Toc22636"/>
      <w:r>
        <w:rPr>
          <w:rFonts w:hint="eastAsia" w:ascii="宋体" w:hAnsi="宋体" w:eastAsia="宋体" w:cs="宋体"/>
          <w:sz w:val="21"/>
          <w:szCs w:val="21"/>
        </w:rPr>
        <w:t>3.主观要件</w:t>
      </w:r>
      <w:bookmarkEnd w:id="55"/>
    </w:p>
    <w:p w14:paraId="49CF844B">
      <w:pPr>
        <w:pageBreakBefore w:val="0"/>
        <w:widowControl/>
        <w:kinsoku/>
        <w:wordWrap/>
        <w:overflowPunct/>
        <w:topLinePunct w:val="0"/>
        <w:autoSpaceDE/>
        <w:autoSpaceDN/>
        <w:bidi w:val="0"/>
        <w:spacing w:line="240" w:lineRule="auto"/>
        <w:ind w:firstLine="420" w:firstLineChars="200"/>
        <w:textAlignment w:val="auto"/>
        <w:rPr>
          <w:sz w:val="21"/>
          <w:szCs w:val="21"/>
        </w:rPr>
      </w:pPr>
      <w:r>
        <w:rPr>
          <w:sz w:val="21"/>
          <w:szCs w:val="21"/>
        </w:rPr>
        <w:t>证明妨碍的主观要件是指妨碍人对自己实施妨碍的行为及其结果所持的心理态度，是否存在过错。具体而言，妨碍人对证据实施妨碍行为须抱有排除其证明功能的故意或过失，而不仅仅是销毁的故意或过失。另外，关于过失妨碍是否具有可归责性理论界也存在分歧，笔者赞同过失妨碍具有可归责性的观点。民法将过失划分为一般过失和重大过失，重大过失在通常情况下具有可归责性，虽然一般过失的可归责性较小，但两者界限在证明妨碍的情形中难以区分，所以直接将过失都纳入可归责范围可以减少审判差异。如果存在一般过失的情况，可以给予妨碍人申辩权，因不可抗力、第三人行为等原因造成证据毁损，仍然可以排除适用证明妨碍制度。</w:t>
      </w:r>
      <w:r>
        <w:rPr>
          <w:rStyle w:val="30"/>
          <w:sz w:val="21"/>
          <w:szCs w:val="21"/>
        </w:rPr>
        <w:footnoteReference w:id="28"/>
      </w:r>
    </w:p>
    <w:p w14:paraId="3B77C21E">
      <w:pPr>
        <w:pStyle w:val="4"/>
        <w:pageBreakBefore w:val="0"/>
        <w:widowControl/>
        <w:kinsoku/>
        <w:wordWrap/>
        <w:overflowPunct/>
        <w:topLinePunct w:val="0"/>
        <w:autoSpaceDE/>
        <w:autoSpaceDN/>
        <w:bidi w:val="0"/>
        <w:adjustRightInd w:val="0"/>
        <w:snapToGrid w:val="0"/>
        <w:spacing w:before="120" w:after="120" w:line="240" w:lineRule="auto"/>
        <w:ind w:firstLine="420"/>
        <w:jc w:val="left"/>
        <w:textAlignment w:val="auto"/>
        <w:rPr>
          <w:rFonts w:hint="eastAsia" w:ascii="宋体" w:hAnsi="宋体" w:eastAsia="宋体" w:cs="宋体"/>
          <w:sz w:val="21"/>
          <w:szCs w:val="21"/>
        </w:rPr>
      </w:pPr>
      <w:bookmarkStart w:id="56" w:name="_Toc7533"/>
      <w:r>
        <w:rPr>
          <w:rFonts w:hint="eastAsia" w:ascii="宋体" w:hAnsi="宋体" w:eastAsia="宋体" w:cs="宋体"/>
          <w:sz w:val="21"/>
          <w:szCs w:val="21"/>
        </w:rPr>
        <w:t>4.客观要件</w:t>
      </w:r>
      <w:bookmarkEnd w:id="56"/>
    </w:p>
    <w:p w14:paraId="6487CB68">
      <w:pPr>
        <w:pageBreakBefore w:val="0"/>
        <w:widowControl/>
        <w:kinsoku/>
        <w:wordWrap/>
        <w:overflowPunct/>
        <w:topLinePunct w:val="0"/>
        <w:autoSpaceDE/>
        <w:autoSpaceDN/>
        <w:bidi w:val="0"/>
        <w:spacing w:line="240" w:lineRule="auto"/>
        <w:ind w:firstLine="420" w:firstLineChars="200"/>
        <w:textAlignment w:val="auto"/>
        <w:rPr>
          <w:sz w:val="21"/>
          <w:szCs w:val="21"/>
        </w:rPr>
      </w:pPr>
      <w:r>
        <w:rPr>
          <w:sz w:val="21"/>
          <w:szCs w:val="21"/>
        </w:rPr>
        <w:t>按照法律规范，客观要件可解构为：权利人已尽举证责任；侵权人实施妨碍行为；妨碍行为与待证事实真伪不明的后果存在因果关系。</w:t>
      </w:r>
    </w:p>
    <w:p w14:paraId="1F974247">
      <w:pPr>
        <w:pageBreakBefore w:val="0"/>
        <w:widowControl/>
        <w:kinsoku/>
        <w:wordWrap/>
        <w:overflowPunct/>
        <w:topLinePunct w:val="0"/>
        <w:autoSpaceDE/>
        <w:autoSpaceDN/>
        <w:bidi w:val="0"/>
        <w:spacing w:line="240" w:lineRule="auto"/>
        <w:ind w:firstLine="420" w:firstLineChars="200"/>
        <w:textAlignment w:val="auto"/>
        <w:rPr>
          <w:sz w:val="21"/>
          <w:szCs w:val="21"/>
        </w:rPr>
      </w:pPr>
      <w:r>
        <w:rPr>
          <w:sz w:val="21"/>
          <w:szCs w:val="21"/>
        </w:rPr>
        <w:t>关于权利人已尽举证责任的标准，立法模糊，实践中尚未统一。大多数情况下，法院会对初步证据严格审查，证明标准仍为高度盖然性，达到直接证明侵权获利情况的程度，导致证明妨碍制度适用率较低，最终滑向法定赔偿。因证明侵权人获利的数据通常掌握在侵权人手中，权利人取证较为困难，笔者认为</w:t>
      </w:r>
      <w:r>
        <w:rPr>
          <w:rFonts w:hint="eastAsia"/>
          <w:sz w:val="21"/>
          <w:szCs w:val="21"/>
        </w:rPr>
        <w:t>可以</w:t>
      </w:r>
      <w:r>
        <w:rPr>
          <w:sz w:val="21"/>
          <w:szCs w:val="21"/>
        </w:rPr>
        <w:t>采用优势证据作为</w:t>
      </w:r>
      <w:r>
        <w:rPr>
          <w:rFonts w:hint="eastAsia"/>
          <w:sz w:val="21"/>
          <w:szCs w:val="21"/>
        </w:rPr>
        <w:t>证明</w:t>
      </w:r>
      <w:r>
        <w:rPr>
          <w:sz w:val="21"/>
          <w:szCs w:val="21"/>
        </w:rPr>
        <w:t>妨碍制度的证明标准，只要求权利人主张的可能性大于其不可能性即具有优势，也就是可能性大于51%即可。</w:t>
      </w:r>
      <w:r>
        <w:rPr>
          <w:rStyle w:val="30"/>
          <w:sz w:val="21"/>
          <w:szCs w:val="21"/>
        </w:rPr>
        <w:footnoteReference w:id="29"/>
      </w:r>
      <w:r>
        <w:rPr>
          <w:sz w:val="21"/>
          <w:szCs w:val="21"/>
        </w:rPr>
        <w:t>另外，实践中</w:t>
      </w:r>
      <w:r>
        <w:rPr>
          <w:rFonts w:hint="eastAsia"/>
          <w:sz w:val="21"/>
          <w:szCs w:val="21"/>
        </w:rPr>
        <w:t>知识产权损害赔偿诉讼的</w:t>
      </w:r>
      <w:r>
        <w:rPr>
          <w:sz w:val="21"/>
          <w:szCs w:val="21"/>
        </w:rPr>
        <w:t>证据类型屈指可数，可以构建“初步证据类型化清单”，明确可启动证明妨碍的初步证据形式，提高审判效率。因侵权获利 = 侵权产品的销售量 × 侵权产品的单位利润，所以围绕销售量和利润率，具体可以将初步证据分为以下类型：一是第三方平台数据，主要用于证明线上销售数量和售价；二是行业分析报告，允许通过同期同行业同影响力企业的合理利润率去推定侵权产品的利润率；三是侵权人自主公布报告、招标说明书等载有生产或销售数据的截图或文书。只要权利人举示了上述所有证据类型，即可认为其已尽初步举证责任。</w:t>
      </w:r>
    </w:p>
    <w:p w14:paraId="40B9D704">
      <w:pPr>
        <w:pageBreakBefore w:val="0"/>
        <w:widowControl/>
        <w:kinsoku/>
        <w:wordWrap/>
        <w:overflowPunct/>
        <w:topLinePunct w:val="0"/>
        <w:autoSpaceDE/>
        <w:autoSpaceDN/>
        <w:bidi w:val="0"/>
        <w:spacing w:line="240" w:lineRule="auto"/>
        <w:ind w:firstLine="420" w:firstLineChars="200"/>
        <w:textAlignment w:val="auto"/>
        <w:rPr>
          <w:sz w:val="21"/>
          <w:szCs w:val="21"/>
        </w:rPr>
      </w:pPr>
      <w:r>
        <w:rPr>
          <w:sz w:val="21"/>
          <w:szCs w:val="21"/>
        </w:rPr>
        <w:t>侵权人实施妨碍行为包括作为和不作为。作为指以积极行为不当改变证据本来面目，通常表现为物理性破坏证据或修改证据；不作为指侵权人本应当以积极的方式进行协助却拒绝履行，通常表现为隐匿或拒不提供证据。</w:t>
      </w:r>
    </w:p>
    <w:p w14:paraId="00C50741">
      <w:pPr>
        <w:pageBreakBefore w:val="0"/>
        <w:widowControl/>
        <w:kinsoku/>
        <w:wordWrap/>
        <w:overflowPunct/>
        <w:topLinePunct w:val="0"/>
        <w:autoSpaceDE/>
        <w:autoSpaceDN/>
        <w:bidi w:val="0"/>
        <w:spacing w:line="240" w:lineRule="auto"/>
        <w:ind w:firstLine="420" w:firstLineChars="200"/>
        <w:textAlignment w:val="auto"/>
        <w:rPr>
          <w:sz w:val="21"/>
          <w:szCs w:val="21"/>
        </w:rPr>
      </w:pPr>
      <w:r>
        <w:rPr>
          <w:sz w:val="21"/>
          <w:szCs w:val="21"/>
        </w:rPr>
        <w:t>侵权人实施妨碍行为与待证事实真伪不明的后果存在因果关系指如果侵权人所持有的证据不提供，则会造成权利人证明不能或证明困难而使案件事实真伪不明。这也说明，受妨碍的证据或证据方法具有不可替代性。</w:t>
      </w:r>
      <w:bookmarkStart w:id="57" w:name="_Toc14720"/>
    </w:p>
    <w:p w14:paraId="476001C4">
      <w:pPr>
        <w:keepNext w:val="0"/>
        <w:keepLines w:val="0"/>
        <w:pageBreakBefore w:val="0"/>
        <w:widowControl/>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华文楷体" w:hAnsi="华文楷体" w:eastAsia="华文楷体" w:cs="Times New Roman"/>
          <w:bCs w:val="0"/>
          <w:kern w:val="2"/>
          <w:sz w:val="24"/>
          <w:szCs w:val="24"/>
          <w:lang w:val="en-US" w:eastAsia="zh-CN" w:bidi="ar-SA"/>
        </w:rPr>
      </w:pPr>
      <w:r>
        <w:rPr>
          <w:rFonts w:hint="eastAsia" w:ascii="华文楷体" w:hAnsi="华文楷体" w:eastAsia="华文楷体" w:cs="Times New Roman"/>
          <w:bCs w:val="0"/>
          <w:kern w:val="2"/>
          <w:sz w:val="24"/>
          <w:szCs w:val="24"/>
          <w:lang w:val="en-US" w:eastAsia="zh-CN" w:bidi="ar-SA"/>
        </w:rPr>
        <w:t>（二）明确证明妨碍制度的法律后果</w:t>
      </w:r>
      <w:bookmarkEnd w:id="57"/>
    </w:p>
    <w:p w14:paraId="3A8F0B51">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适用证明妨碍制度的法律后果如上文所述，分为公法制裁与私法不利益，以下将分别表述：</w:t>
      </w:r>
    </w:p>
    <w:p w14:paraId="46E66EDD">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关于公法制裁，笔者认为可以从主观标准和惩戒方式两方面予以改进。主观标准上看，因公法制裁较为严厉，可仅适用于妨碍人故意实施妨碍行为导致待证事实真伪不明，并结合侵权规模和侵权方式予以判断。惩戒方式上看，目前规范仅将其限于罚款、拘留，罚款的经济性制裁在知识产权标的额越来越高的现状下震慑程度较低，而拘留又过于严厉难以适用，可以加入其他措施以调和。以市场监督管理严重违法失信名单为参考，将恶意妨碍举证行为纳入知识产权信用评价体系，或者建立“妨碍行为黑名单”共享机制，在行政许可、融资授信等领域实施联合惩戒。</w:t>
      </w:r>
    </w:p>
    <w:p w14:paraId="49F7E779">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关于私法不利益，可以建立“阶梯式”法律后果机制，借鉴美国的公平与制裁说</w:t>
      </w:r>
      <w:r>
        <w:rPr>
          <w:rStyle w:val="30"/>
          <w:sz w:val="21"/>
          <w:szCs w:val="21"/>
        </w:rPr>
        <w:footnoteReference w:id="30"/>
      </w:r>
      <w:r>
        <w:rPr>
          <w:sz w:val="21"/>
          <w:szCs w:val="21"/>
        </w:rPr>
        <w:t>，根据妨碍行为过错程度匹配法律效果。对于妨碍人故意实施毁灭证据的积极妨碍行为，法院可以直接认定权利人主张侵权获利</w:t>
      </w:r>
      <w:r>
        <w:rPr>
          <w:rFonts w:hint="eastAsia"/>
          <w:sz w:val="21"/>
          <w:szCs w:val="21"/>
        </w:rPr>
        <w:t>的数额</w:t>
      </w:r>
      <w:r>
        <w:rPr>
          <w:sz w:val="21"/>
          <w:szCs w:val="21"/>
        </w:rPr>
        <w:t>成立。</w:t>
      </w:r>
      <w:r>
        <w:rPr>
          <w:rFonts w:hint="eastAsia"/>
          <w:sz w:val="21"/>
          <w:szCs w:val="21"/>
        </w:rPr>
        <w:t>需要强调的是数字技术的智能化、场景化应用使得传统以“隐匿、销毁”为核心的证明妨碍形态，逐渐演变为“技术屏蔽”“算法对抗”等新型技术化妨碍样态，,譬如上文提到的“弹性公司侵权案”，侵权方远程更新软件并加密核心算法，导致无法固定侵权技术方案中的软件算法。此类行为不仅大幅增加法院通过专业技术鉴定发现妨碍行为的时间成本，其对司法程序的实质性阻碍更凸显行为的主观故意，应严格认定为故意的积极妨碍行为，进而适用最严厉的法律后果。</w:t>
      </w:r>
      <w:r>
        <w:rPr>
          <w:sz w:val="21"/>
          <w:szCs w:val="21"/>
        </w:rPr>
        <w:t>对于不作为或是过失的妨碍行为，法院可以在权利人所举示的初步证据的基础上对于侵权获利作出合理推定，这里需要强调损害赔偿的数额由法官综合考虑裁量得出，而不是直接以权利人主张金额判决，为了保证判决的公正，须配套强化裁判文书的释明义务，列明数据来源、调整幅度、调整理由、计算公式等情况。如果根据权利人所提交的初步证据能够证明侵权人确信无疑的侵权获利明显超过诉讼请求，应当全额支持权利人</w:t>
      </w:r>
      <w:r>
        <w:rPr>
          <w:rFonts w:hint="eastAsia"/>
          <w:sz w:val="21"/>
          <w:szCs w:val="21"/>
        </w:rPr>
        <w:t>的</w:t>
      </w:r>
      <w:r>
        <w:rPr>
          <w:sz w:val="21"/>
          <w:szCs w:val="21"/>
        </w:rPr>
        <w:t>诉讼请求。</w:t>
      </w:r>
      <w:r>
        <w:rPr>
          <w:rStyle w:val="30"/>
          <w:sz w:val="21"/>
          <w:szCs w:val="21"/>
        </w:rPr>
        <w:footnoteReference w:id="31"/>
      </w:r>
      <w:r>
        <w:rPr>
          <w:sz w:val="21"/>
          <w:szCs w:val="21"/>
        </w:rPr>
        <w:t>例如在“红日燃具案”中，权利人请求五被告连带赔偿损失5000万元，五被告无正当理由拒不提交财务账簿，或提交并不完整真实的财务账簿，构成证据妨碍。法院通过工作备忘以及年度报告虽无法确定具体侵权获利数额，但能明确获利远超5000万元，再结合权利人的实际损失和侵权规模，最终全额支持了权利人的诉求。</w:t>
      </w:r>
      <w:bookmarkStart w:id="58" w:name="_Toc13043"/>
    </w:p>
    <w:p w14:paraId="3D0057BF">
      <w:pPr>
        <w:keepNext w:val="0"/>
        <w:keepLines w:val="0"/>
        <w:pageBreakBefore w:val="0"/>
        <w:widowControl/>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华文楷体" w:hAnsi="华文楷体" w:eastAsia="华文楷体" w:cs="Times New Roman"/>
          <w:bCs w:val="0"/>
          <w:kern w:val="2"/>
          <w:sz w:val="24"/>
          <w:szCs w:val="24"/>
          <w:lang w:val="en-US" w:eastAsia="zh-CN" w:bidi="ar-SA"/>
        </w:rPr>
      </w:pPr>
      <w:r>
        <w:rPr>
          <w:rFonts w:hint="eastAsia" w:ascii="华文楷体" w:hAnsi="华文楷体" w:eastAsia="华文楷体" w:cs="Times New Roman"/>
          <w:bCs w:val="0"/>
          <w:kern w:val="2"/>
          <w:sz w:val="24"/>
          <w:szCs w:val="24"/>
          <w:lang w:val="en-US" w:eastAsia="zh-CN" w:bidi="ar-SA"/>
        </w:rPr>
        <w:t>（三）强化证明妨碍制度的程序保障</w:t>
      </w:r>
      <w:bookmarkEnd w:id="58"/>
    </w:p>
    <w:p w14:paraId="4570A6CF">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rFonts w:hint="eastAsia"/>
          <w:sz w:val="21"/>
          <w:szCs w:val="21"/>
        </w:rPr>
        <w:t>证明</w:t>
      </w:r>
      <w:r>
        <w:rPr>
          <w:sz w:val="21"/>
          <w:szCs w:val="21"/>
        </w:rPr>
        <w:t>妨碍制度具有补偿和惩罚的功能，会使妨碍人承担公法和私法上的不利后果，因此需要构建程序保障机制以平衡双方的利益，保证公正。结合外国实践，具体可以采取以下程序机制：1.形成“当事人申请+法院职权审查”的程序启动结构。《</w:t>
      </w:r>
      <w:r>
        <w:rPr>
          <w:rFonts w:hint="eastAsia"/>
          <w:sz w:val="21"/>
          <w:szCs w:val="21"/>
        </w:rPr>
        <w:t>民诉解释</w:t>
      </w:r>
      <w:r>
        <w:rPr>
          <w:sz w:val="21"/>
          <w:szCs w:val="21"/>
        </w:rPr>
        <w:t>》第112条规定，适用证明妨碍制度的当事人须在举证期限届满前</w:t>
      </w:r>
      <w:r>
        <w:rPr>
          <w:rFonts w:hint="eastAsia"/>
          <w:sz w:val="21"/>
          <w:szCs w:val="21"/>
        </w:rPr>
        <w:t>向</w:t>
      </w:r>
      <w:r>
        <w:rPr>
          <w:sz w:val="21"/>
          <w:szCs w:val="21"/>
        </w:rPr>
        <w:t>法院提出申请，法官不能依职权启动该程序。法院在收到申请后进行审查，借鉴日本《民事诉讼法》第223条第一款</w:t>
      </w:r>
      <w:r>
        <w:rPr>
          <w:rStyle w:val="30"/>
          <w:sz w:val="21"/>
          <w:szCs w:val="21"/>
        </w:rPr>
        <w:footnoteReference w:id="32"/>
      </w:r>
      <w:r>
        <w:rPr>
          <w:sz w:val="21"/>
          <w:szCs w:val="21"/>
        </w:rPr>
        <w:t>之规定，除认为不需要审查或无法确认是否有提交义务的部分外，法院可以命令侵权人提交该文件。2.知悉权。法官应对证明协力义务的履行方式以及违反义务的后果向当事人予以释明。</w:t>
      </w:r>
      <w:r>
        <w:rPr>
          <w:rStyle w:val="30"/>
          <w:sz w:val="21"/>
          <w:szCs w:val="21"/>
        </w:rPr>
        <w:footnoteReference w:id="33"/>
      </w:r>
      <w:r>
        <w:rPr>
          <w:sz w:val="21"/>
          <w:szCs w:val="21"/>
        </w:rPr>
        <w:t>同时，《TRIPS协定》第43条第二款</w:t>
      </w:r>
      <w:r>
        <w:rPr>
          <w:rStyle w:val="30"/>
          <w:sz w:val="21"/>
          <w:szCs w:val="21"/>
        </w:rPr>
        <w:footnoteReference w:id="34"/>
      </w:r>
      <w:r>
        <w:rPr>
          <w:sz w:val="21"/>
          <w:szCs w:val="21"/>
        </w:rPr>
        <w:t>提出，法院应向各当事方提供就证明妨碍的指控进行听证的机会。</w:t>
      </w:r>
      <w:r>
        <w:rPr>
          <w:rFonts w:hint="eastAsia"/>
          <w:sz w:val="21"/>
          <w:szCs w:val="21"/>
        </w:rPr>
        <w:t>我国对于事实证据类疑难复杂的知识产权侵权案件可增设听证环节。</w:t>
      </w:r>
      <w:r>
        <w:rPr>
          <w:sz w:val="21"/>
          <w:szCs w:val="21"/>
        </w:rPr>
        <w:t>3.申辩权。在法院对</w:t>
      </w:r>
      <w:r>
        <w:rPr>
          <w:rFonts w:hint="eastAsia"/>
          <w:sz w:val="21"/>
          <w:szCs w:val="21"/>
        </w:rPr>
        <w:t>当事人</w:t>
      </w:r>
      <w:r>
        <w:rPr>
          <w:sz w:val="21"/>
          <w:szCs w:val="21"/>
        </w:rPr>
        <w:t>课以不利后果之前，应给予其申辩的权利。此时，</w:t>
      </w:r>
      <w:r>
        <w:rPr>
          <w:rFonts w:hint="eastAsia"/>
          <w:sz w:val="21"/>
          <w:szCs w:val="21"/>
        </w:rPr>
        <w:t>当事人</w:t>
      </w:r>
      <w:r>
        <w:rPr>
          <w:sz w:val="21"/>
          <w:szCs w:val="21"/>
        </w:rPr>
        <w:t>可提出正当理由以排除证明妨碍制度的适用。对于商业秘密，司法均不认可其为正当理由，参考《TRIPS协定》第43条第一款</w:t>
      </w:r>
      <w:r>
        <w:rPr>
          <w:rStyle w:val="30"/>
          <w:sz w:val="21"/>
          <w:szCs w:val="21"/>
        </w:rPr>
        <w:footnoteReference w:id="35"/>
      </w:r>
      <w:r>
        <w:rPr>
          <w:sz w:val="21"/>
          <w:szCs w:val="21"/>
        </w:rPr>
        <w:t>规定，司法机关</w:t>
      </w:r>
      <w:r>
        <w:rPr>
          <w:rFonts w:hint="eastAsia"/>
          <w:sz w:val="21"/>
          <w:szCs w:val="21"/>
        </w:rPr>
        <w:t>责令对方当事人提供该证据时，在适当情形下可附加确保保密信息保护的条款。</w:t>
      </w:r>
      <w:r>
        <w:rPr>
          <w:sz w:val="21"/>
          <w:szCs w:val="21"/>
        </w:rPr>
        <w:t>对于商业秘密相关的证据，法院需采取保护措施，包括但不限于不公开质证、无关部分进行掩盖、要求权利人签署保密条款并提供担保等措施。</w:t>
      </w:r>
      <w:r>
        <w:rPr>
          <w:rStyle w:val="30"/>
          <w:sz w:val="21"/>
          <w:szCs w:val="21"/>
        </w:rPr>
        <w:footnoteReference w:id="36"/>
      </w:r>
      <w:r>
        <w:rPr>
          <w:rFonts w:hint="eastAsia"/>
          <w:sz w:val="21"/>
          <w:szCs w:val="21"/>
        </w:rPr>
        <w:t>鉴于此，我国应构建完善的秘密保护措施条款，以维护证据提供人的利益。</w:t>
      </w:r>
      <w:r>
        <w:rPr>
          <w:sz w:val="21"/>
          <w:szCs w:val="21"/>
        </w:rPr>
        <w:t>4.救济程序。参照日本《民事诉讼法》第223条第七款</w:t>
      </w:r>
      <w:r>
        <w:rPr>
          <w:rStyle w:val="30"/>
          <w:sz w:val="21"/>
          <w:szCs w:val="21"/>
        </w:rPr>
        <w:footnoteReference w:id="37"/>
      </w:r>
      <w:r>
        <w:rPr>
          <w:sz w:val="21"/>
          <w:szCs w:val="21"/>
        </w:rPr>
        <w:t>规定，当事人可以立即对要求出示文件的决定提出上诉，结合我国的民事诉讼程序，可以赋予当事人复议的权利。</w:t>
      </w:r>
      <w:bookmarkEnd w:id="51"/>
      <w:bookmarkEnd w:id="52"/>
      <w:bookmarkStart w:id="59" w:name="_Toc147672809"/>
    </w:p>
    <w:p w14:paraId="602F7674">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p>
    <w:p w14:paraId="1F2BC41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40" w:lineRule="auto"/>
        <w:textAlignment w:val="auto"/>
        <w:rPr>
          <w:rFonts w:hint="eastAsia" w:ascii="黑体" w:hAnsi="黑体" w:eastAsia="黑体" w:cs="Times New Roman"/>
          <w:kern w:val="2"/>
          <w:sz w:val="28"/>
          <w:szCs w:val="28"/>
          <w:lang w:val="en-US" w:eastAsia="zh-CN"/>
        </w:rPr>
      </w:pPr>
      <w:bookmarkStart w:id="60" w:name="_Toc28871"/>
      <w:r>
        <w:rPr>
          <w:rFonts w:hint="eastAsia" w:ascii="黑体" w:hAnsi="黑体" w:eastAsia="黑体" w:cs="Times New Roman"/>
          <w:kern w:val="2"/>
          <w:sz w:val="28"/>
          <w:szCs w:val="28"/>
          <w:lang w:val="en-US" w:eastAsia="zh-CN"/>
        </w:rPr>
        <w:t>结论</w:t>
      </w:r>
      <w:bookmarkEnd w:id="59"/>
      <w:bookmarkEnd w:id="60"/>
    </w:p>
    <w:p w14:paraId="2DC676BE">
      <w:pPr>
        <w:keepNext w:val="0"/>
        <w:keepLines w:val="0"/>
        <w:pageBreakBefore w:val="0"/>
        <w:widowControl/>
        <w:kinsoku/>
        <w:wordWrap/>
        <w:overflowPunct/>
        <w:topLinePunct w:val="0"/>
        <w:autoSpaceDE/>
        <w:autoSpaceDN/>
        <w:bidi w:val="0"/>
        <w:adjustRightInd w:val="0"/>
        <w:snapToGrid w:val="0"/>
        <w:spacing w:line="240" w:lineRule="auto"/>
        <w:ind w:firstLine="420" w:firstLineChars="200"/>
        <w:textAlignment w:val="auto"/>
        <w:rPr>
          <w:rFonts w:hint="eastAsia" w:ascii="宋体" w:hAnsi="宋体" w:cs="宋体"/>
          <w:sz w:val="18"/>
          <w:szCs w:val="18"/>
        </w:rPr>
      </w:pPr>
      <w:r>
        <w:rPr>
          <w:rFonts w:hint="eastAsia" w:ascii="宋体" w:hAnsi="宋体" w:cs="宋体"/>
          <w:sz w:val="21"/>
          <w:szCs w:val="21"/>
        </w:rPr>
        <w:t>数字科技在赋予知识产权保护新内涵的同时，也对证明妨碍制度的适用带来系统性挑战。证明妨碍制度作为破解知识产权损害赔偿侵权获利证明困境的程序法钥匙，因构成要件标准不一、法律后果不明及程序保障缺位的问题，尚未充分发挥其矫正诉讼失衡、激励证据披露的制度功能。通过要件分层、效果分级、程序衔接的制度完善，有利于激活该制度在知识产权损害赔偿诉讼中的适用，摆脱对法定赔偿的裁判依赖，健全知识产权保护体系，平衡当事人举证能力，维护司法公平正义。然而，需要强调的是，面对数智时代中电子数据易篡改、侵权获利计算模型复杂化等新型挑战，未来研究更需着眼于技术赋能下的制度革新。同时，随着全球数据跨境流动加剧，如何在国际知识产权纠纷中建立证明妨碍协同认定机制，以及针对人工智能生成内容侵权场景下的新型妨碍行为规制，也将成为理论界亟待突破的前沿课题。</w:t>
      </w:r>
      <w:bookmarkEnd w:id="7"/>
      <w:bookmarkEnd w:id="8"/>
      <w:bookmarkEnd w:id="9"/>
      <w:bookmarkEnd w:id="10"/>
      <w:bookmarkEnd w:id="11"/>
      <w:bookmarkEnd w:id="12"/>
    </w:p>
    <w:sectPr>
      <w:headerReference r:id="rId5" w:type="default"/>
      <w:footerReference r:id="rId7" w:type="default"/>
      <w:headerReference r:id="rId6" w:type="even"/>
      <w:footnotePr>
        <w:numFmt w:val="decimalEnclosedCircleChinese"/>
        <w:numRestart w:val="eachPage"/>
      </w:footnotePr>
      <w:type w:val="continuous"/>
      <w:pgSz w:w="11906" w:h="16838"/>
      <w:pgMar w:top="1985" w:right="1418" w:bottom="1418" w:left="1418" w:header="1418" w:footer="1134"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Palatino Linotype">
    <w:altName w:val="苹方-简"/>
    <w:panose1 w:val="02040502050505030304"/>
    <w:charset w:val="00"/>
    <w:family w:val="roman"/>
    <w:pitch w:val="default"/>
    <w:sig w:usb0="00000000" w:usb1="00000000" w:usb2="00000000" w:usb3="00000000" w:csb0="2000019F" w:csb1="00000000"/>
  </w:font>
  <w:font w:name="等线 Light">
    <w:altName w:val="汉仪中等线KW"/>
    <w:panose1 w:val="02010600030101010101"/>
    <w:charset w:val="86"/>
    <w:family w:val="auto"/>
    <w:pitch w:val="default"/>
    <w:sig w:usb0="00000000" w:usb1="00000000" w:usb2="00000016" w:usb3="00000000" w:csb0="0004000F" w:csb1="00000000"/>
  </w:font>
  <w:font w:name="华文仿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A00002BF" w:usb1="78CF7CFB" w:usb2="00000016" w:usb3="00000000" w:csb0="6006009F" w:csb1="DFD7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50BEE">
    <w:pPr>
      <w:pStyle w:val="15"/>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6">
    <w:p>
      <w:pPr>
        <w:spacing w:line="300" w:lineRule="auto"/>
      </w:pPr>
      <w:r>
        <w:separator/>
      </w:r>
    </w:p>
  </w:footnote>
  <w:footnote w:type="continuationSeparator" w:id="77">
    <w:p>
      <w:pPr>
        <w:spacing w:line="300" w:lineRule="auto"/>
      </w:pPr>
      <w:r>
        <w:continuationSeparator/>
      </w:r>
    </w:p>
  </w:footnote>
  <w:footnote w:id="0">
    <w:p w14:paraId="554259DF">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《商标法》第63条第</w:t>
      </w:r>
      <w:r>
        <w:rPr>
          <w:rFonts w:hint="default" w:ascii="Times New Roman" w:hAnsi="Times New Roman" w:eastAsia="仿宋" w:cs="Times New Roman"/>
          <w:lang w:val="en-US" w:eastAsia="zh-CN"/>
        </w:rPr>
        <w:t>2</w:t>
      </w:r>
      <w:r>
        <w:rPr>
          <w:rFonts w:hint="default" w:ascii="Times New Roman" w:hAnsi="Times New Roman" w:eastAsia="仿宋" w:cs="Times New Roman"/>
        </w:rPr>
        <w:t>款：“人民法院为确定赔偿数额，在权利人已经尽力举证，而与侵权行为相关的账簿、资料主要由侵权人掌握的情况下，可以责令侵权人提供与侵权行为相关的账簿、资料；侵权人不提供或者提供虚假的账簿、资料的，人民法院可以参考权利人的主张和提供的证据判定赔偿数额。”</w:t>
      </w:r>
    </w:p>
  </w:footnote>
  <w:footnote w:id="1">
    <w:p w14:paraId="2E6D0316">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专利解释（二）》第27条：“权利人因被侵权所受到的实际损失难以确定的，人民法院应当依照专利法第六十五条第一款的规定，要求权利人对侵权人因侵权所获得的利益进行举证；在权利人已经提供侵权人所获利益的初步证据，而与专利侵权行为相关的账簿、资料主要由侵权人掌握的情况下，人民法院可以责令侵权人提供该账簿、资料；侵权人无正当理由拒不提供或者提供虚假的账簿、资料的，人民法院可以根据权利人的主张和提供的证据认定侵权人因侵权所获得的利益。”</w:t>
      </w:r>
    </w:p>
  </w:footnote>
  <w:footnote w:id="2">
    <w:p w14:paraId="22D5BA14">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民诉解释》第112条：“书证在对方当事人控制之下的，承担举证证明责任的当事人可以在举证期限届满前书面申请人民法院责令对方当事人提交。申请理由成立的，人民法院应当责令对方当事人提交，因提交书证所产生的费用，由申请人负担。对方当事人无正当理由拒不提交的，人民法院可以认定申请人所主张的书证内容为真实。”</w:t>
      </w:r>
    </w:p>
  </w:footnote>
  <w:footnote w:id="3">
    <w:p w14:paraId="06DDF5BC">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玛特瑞尔莱斯公司与奔雷公司侵害计算机软件著作权纠纷案</w:t>
      </w:r>
      <w:r>
        <w:rPr>
          <w:rFonts w:hint="default" w:ascii="Times New Roman" w:hAnsi="Times New Roman" w:eastAsia="仿宋" w:cs="Times New Roman"/>
          <w:lang w:eastAsia="zh-CN"/>
        </w:rPr>
        <w:t>，</w:t>
      </w:r>
      <w:r>
        <w:rPr>
          <w:rFonts w:hint="default" w:ascii="Times New Roman" w:hAnsi="Times New Roman" w:eastAsia="仿宋" w:cs="Times New Roman"/>
        </w:rPr>
        <w:t>广州知识产权法院(2018)粤73民初3732号民事判决书。</w:t>
      </w:r>
    </w:p>
  </w:footnote>
  <w:footnote w:id="4">
    <w:p w14:paraId="3CD8543C">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奥胜公司与格力公司、晶东公司侵害实用新型专利权纠纷案</w:t>
      </w:r>
      <w:r>
        <w:rPr>
          <w:rFonts w:hint="default" w:ascii="Times New Roman" w:hAnsi="Times New Roman" w:eastAsia="仿宋" w:cs="Times New Roman"/>
          <w:lang w:eastAsia="zh-CN"/>
        </w:rPr>
        <w:t>，</w:t>
      </w:r>
      <w:r>
        <w:rPr>
          <w:rFonts w:hint="default" w:ascii="Times New Roman" w:hAnsi="Times New Roman" w:eastAsia="仿宋" w:cs="Times New Roman"/>
        </w:rPr>
        <w:t>广东省高级人民法院(2018)粤民终1132号民事判决书。</w:t>
      </w:r>
    </w:p>
  </w:footnote>
  <w:footnote w:id="5">
    <w:p w14:paraId="55A025A6">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红日燃具公司与智美电器公司等侵害商标权纠纷案</w:t>
      </w:r>
      <w:r>
        <w:rPr>
          <w:rFonts w:hint="default" w:ascii="Times New Roman" w:hAnsi="Times New Roman" w:eastAsia="仿宋" w:cs="Times New Roman"/>
          <w:lang w:eastAsia="zh-CN"/>
        </w:rPr>
        <w:t>，</w:t>
      </w:r>
      <w:r>
        <w:rPr>
          <w:rFonts w:hint="default" w:ascii="Times New Roman" w:hAnsi="Times New Roman" w:eastAsia="仿宋" w:cs="Times New Roman"/>
        </w:rPr>
        <w:t>广东省高级人民法院(2019)粤民终477号民事判决书。</w:t>
      </w:r>
    </w:p>
  </w:footnote>
  <w:footnote w:id="6">
    <w:p w14:paraId="766B7237">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佳诚公司与丰瑞龙翔公司等侵害商标权纠纷案</w:t>
      </w:r>
      <w:r>
        <w:rPr>
          <w:rFonts w:hint="default" w:ascii="Times New Roman" w:hAnsi="Times New Roman" w:eastAsia="仿宋" w:cs="Times New Roman"/>
          <w:lang w:eastAsia="zh-CN"/>
        </w:rPr>
        <w:t>，</w:t>
      </w:r>
      <w:r>
        <w:rPr>
          <w:rFonts w:hint="default" w:ascii="Times New Roman" w:hAnsi="Times New Roman" w:eastAsia="仿宋" w:cs="Times New Roman"/>
        </w:rPr>
        <w:t>北京知识产权法院 (2021)京73民终3946号民事判决书。</w:t>
      </w:r>
    </w:p>
  </w:footnote>
  <w:footnote w:id="7">
    <w:p w14:paraId="1C57AC27">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《民诉解释》第113条：“持有书证的当事人以妨碍对方当事人使用为目的，毁灭有关书证或者实施其他致使书证不能使用行为的，人民法院可以对其处以罚款、拘留。”</w:t>
      </w:r>
    </w:p>
  </w:footnote>
  <w:footnote w:id="8">
    <w:p w14:paraId="76B1E38D">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占善刚：《证明妨害论——以德国法为中心的考察》，载《中国法学》2010年第3期。</w:t>
      </w:r>
    </w:p>
  </w:footnote>
  <w:footnote w:id="9">
    <w:p w14:paraId="68874B3A">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姚志坚、柯胥宁：《知识产权诉讼中证明妨碍制度的适用与完善——以侵权损害赔偿认定为视角》，载《人民司法》2020年</w:t>
      </w:r>
      <w:r>
        <w:rPr>
          <w:rFonts w:hint="default" w:ascii="Times New Roman" w:hAnsi="Times New Roman" w:eastAsia="仿宋" w:cs="Times New Roman"/>
          <w:lang w:val="en-US" w:eastAsia="zh-CN"/>
        </w:rPr>
        <w:t>第</w:t>
      </w:r>
      <w:r>
        <w:rPr>
          <w:rFonts w:hint="default" w:ascii="Times New Roman" w:hAnsi="Times New Roman" w:eastAsia="仿宋" w:cs="Times New Roman"/>
        </w:rPr>
        <w:t>19期。</w:t>
      </w:r>
    </w:p>
  </w:footnote>
  <w:footnote w:id="10">
    <w:p w14:paraId="329BD309">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w:t>
      </w:r>
      <w:r>
        <w:rPr>
          <w:rFonts w:hint="default" w:ascii="Times New Roman" w:hAnsi="Times New Roman" w:eastAsia="仿宋" w:cs="Times New Roman"/>
          <w:b/>
          <w:bCs/>
          <w:i/>
          <w:iCs/>
        </w:rPr>
        <w:t>Federal Rules of Civil Procedure</w:t>
      </w:r>
      <w:r>
        <w:rPr>
          <w:rFonts w:hint="default" w:ascii="Times New Roman" w:hAnsi="Times New Roman" w:eastAsia="仿宋" w:cs="Times New Roman"/>
        </w:rPr>
        <w:t xml:space="preserve"> Rule26(c):“PROTECTIVE ORDERS. (1)... (D) forbidding inquiry into certain matters, or limiting the scope of disclosure or discovery to certain matters;...; (F) requiring that a deposition be sealed and opened only on court order; (G) requiring that a trade secret or other confidential research, development, or commercial information not be revealed or be revealed only in a specified way... ”</w:t>
      </w:r>
    </w:p>
  </w:footnote>
  <w:footnote w:id="11">
    <w:p w14:paraId="21FB2208">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中国政法大学诉讼法学研究院：《证明责任分配的基本法理》，</w:t>
      </w:r>
      <w:r>
        <w:rPr>
          <w:rFonts w:hint="default" w:ascii="Times New Roman" w:hAnsi="Times New Roman" w:eastAsia="仿宋" w:cs="Times New Roman"/>
          <w:lang w:val="en-US" w:eastAsia="zh-CN"/>
        </w:rPr>
        <w:t>载</w:t>
      </w:r>
      <w:r>
        <w:rPr>
          <w:rFonts w:hint="default" w:ascii="Times New Roman" w:hAnsi="Times New Roman" w:eastAsia="仿宋" w:cs="Times New Roman"/>
        </w:rPr>
        <w:t>https://www.procedurallaw.cn/info/1023/3410.htm。</w:t>
      </w:r>
    </w:p>
  </w:footnote>
  <w:footnote w:id="12">
    <w:p w14:paraId="306F299D">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丁天立：《“危险领域说”及对我国证明责任分配体系的思考 ——从罗森贝克“规范说”入手》，载《西安电子科技大学学报（社会科学版）》2018年第2期。</w:t>
      </w:r>
    </w:p>
  </w:footnote>
  <w:footnote w:id="13">
    <w:p w14:paraId="5B413A5A">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程书锋、佘朝阳：《论证明妨碍规则在知识产权诉讼中的适用与完善》，载《法苑》2018年第7期。</w:t>
      </w:r>
    </w:p>
  </w:footnote>
  <w:footnote w:id="14">
    <w:p w14:paraId="006B3AB6">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《民事诉讼法》第13条：“民事诉讼应当遵循诚信原则。当事人有权在法律规定的范围内处分自己的民事权利和诉讼权利。”</w:t>
      </w:r>
    </w:p>
  </w:footnote>
  <w:footnote w:id="15">
    <w:p w14:paraId="293E4DB8">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占善刚：《证明妨害论——以德国法为中心的考察》，载《中国法学》2010年第3期</w:t>
      </w:r>
      <w:r>
        <w:rPr>
          <w:rFonts w:hint="default" w:ascii="Times New Roman" w:hAnsi="Times New Roman" w:eastAsia="仿宋" w:cs="Times New Roman"/>
          <w:lang w:eastAsia="zh-CN"/>
        </w:rPr>
        <w:t>，第100-110页</w:t>
      </w:r>
      <w:r>
        <w:rPr>
          <w:rFonts w:hint="default" w:ascii="Times New Roman" w:hAnsi="Times New Roman" w:eastAsia="仿宋" w:cs="Times New Roman"/>
        </w:rPr>
        <w:t>。</w:t>
      </w:r>
    </w:p>
  </w:footnote>
  <w:footnote w:id="16">
    <w:p w14:paraId="65C911E6">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“CATIA”软件侵害计算机软件著作权纠纷案</w:t>
      </w:r>
      <w:r>
        <w:rPr>
          <w:rFonts w:hint="default" w:ascii="Times New Roman" w:hAnsi="Times New Roman" w:eastAsia="仿宋" w:cs="Times New Roman"/>
          <w:lang w:eastAsia="zh-CN"/>
        </w:rPr>
        <w:t>，</w:t>
      </w:r>
      <w:r>
        <w:rPr>
          <w:rFonts w:hint="default" w:ascii="Times New Roman" w:hAnsi="Times New Roman" w:eastAsia="仿宋" w:cs="Times New Roman"/>
        </w:rPr>
        <w:t>北京知识产权法院（2021）京73民初345号民事判决书。</w:t>
      </w:r>
    </w:p>
  </w:footnote>
  <w:footnote w:id="17">
    <w:p w14:paraId="490BCAFE">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海斯凯尔公司、弹性公司侵害发明专利权纠纷案</w:t>
      </w:r>
      <w:r>
        <w:rPr>
          <w:rFonts w:hint="default" w:ascii="Times New Roman" w:hAnsi="Times New Roman" w:eastAsia="仿宋" w:cs="Times New Roman"/>
          <w:lang w:eastAsia="zh-CN"/>
        </w:rPr>
        <w:t>，</w:t>
      </w:r>
      <w:r>
        <w:rPr>
          <w:rFonts w:hint="default" w:ascii="Times New Roman" w:hAnsi="Times New Roman" w:eastAsia="仿宋" w:cs="Times New Roman"/>
        </w:rPr>
        <w:t>最高人民法院(2019)最高法知民终21号民事判决书。</w:t>
      </w:r>
    </w:p>
  </w:footnote>
  <w:footnote w:id="18">
    <w:p w14:paraId="1F667120">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杜前：《全力构建数字化引领知识产权协同保护大格局》，</w:t>
      </w:r>
      <w:r>
        <w:rPr>
          <w:rFonts w:hint="default" w:ascii="Times New Roman" w:hAnsi="Times New Roman" w:eastAsia="仿宋" w:cs="Times New Roman"/>
          <w:lang w:val="en-US" w:eastAsia="zh-CN"/>
        </w:rPr>
        <w:t>载</w:t>
      </w:r>
      <w:r>
        <w:rPr>
          <w:rFonts w:hint="default" w:ascii="Times New Roman" w:hAnsi="Times New Roman" w:eastAsia="仿宋" w:cs="Times New Roman"/>
        </w:rPr>
        <w:t>https://www.chinacourt.org/article/detail/2022/11/id/6997040.shtml。</w:t>
      </w:r>
    </w:p>
  </w:footnote>
  <w:footnote w:id="19">
    <w:p w14:paraId="18B7BEDF">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小糸车灯公司、星宇车灯公司侵害发明专利权纠纷案</w:t>
      </w:r>
      <w:r>
        <w:rPr>
          <w:rFonts w:hint="default" w:ascii="Times New Roman" w:hAnsi="Times New Roman" w:eastAsia="仿宋" w:cs="Times New Roman"/>
          <w:lang w:eastAsia="zh-CN"/>
        </w:rPr>
        <w:t>，</w:t>
      </w:r>
      <w:r>
        <w:rPr>
          <w:rFonts w:hint="default" w:ascii="Times New Roman" w:hAnsi="Times New Roman" w:eastAsia="仿宋" w:cs="Times New Roman"/>
        </w:rPr>
        <w:t>上海市高级人民法院(2017)沪民终207号民事判决书。</w:t>
      </w:r>
    </w:p>
  </w:footnote>
  <w:footnote w:id="20">
    <w:p w14:paraId="6297EA75">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詹映：《我国知识产权侵权损害赔偿司法现状再调查与再思考——基于我国11984件知识产权侵权司法判例的深度分析》，载《法律科学（西北政法大学学报）》2020年第1期。</w:t>
      </w:r>
    </w:p>
  </w:footnote>
  <w:footnote w:id="21">
    <w:p w14:paraId="3788CE2D">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《最高人民法院关于全面加强知识产权司法保护的意见》（法发[2020]11号）第十二条。</w:t>
      </w:r>
    </w:p>
  </w:footnote>
  <w:footnote w:id="22">
    <w:p w14:paraId="2C27E57E">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《民事诉讼法》第67条第</w:t>
      </w:r>
      <w:r>
        <w:rPr>
          <w:rFonts w:hint="default" w:ascii="Times New Roman" w:hAnsi="Times New Roman" w:eastAsia="仿宋" w:cs="Times New Roman"/>
          <w:lang w:val="en-US" w:eastAsia="zh-CN"/>
        </w:rPr>
        <w:t>2</w:t>
      </w:r>
      <w:r>
        <w:rPr>
          <w:rFonts w:hint="default" w:ascii="Times New Roman" w:hAnsi="Times New Roman" w:eastAsia="仿宋" w:cs="Times New Roman"/>
        </w:rPr>
        <w:t>款：“当事人及其诉讼代理人因客观原因不能自行收集的证据，或者人民法院认为审理案件需要的证据，人民法院应当调查收集。”</w:t>
      </w:r>
    </w:p>
  </w:footnote>
  <w:footnote w:id="23">
    <w:p w14:paraId="70164982">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《民事诉讼法》第70条第</w:t>
      </w:r>
      <w:r>
        <w:rPr>
          <w:rFonts w:hint="default" w:ascii="Times New Roman" w:hAnsi="Times New Roman" w:eastAsia="仿宋" w:cs="Times New Roman"/>
          <w:lang w:val="en-US" w:eastAsia="zh-CN"/>
        </w:rPr>
        <w:t>1</w:t>
      </w:r>
      <w:r>
        <w:rPr>
          <w:rFonts w:hint="default" w:ascii="Times New Roman" w:hAnsi="Times New Roman" w:eastAsia="仿宋" w:cs="Times New Roman"/>
        </w:rPr>
        <w:t>款：“人民法院有权向有关单位和个人调查取证，有关单位和个人不得拒绝。”</w:t>
      </w:r>
    </w:p>
  </w:footnote>
  <w:footnote w:id="24">
    <w:p w14:paraId="4382D8E1">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吴俐、杨馥源：《“认识—道德两分理论”下的举证妨碍制度程序建构—以知识产权侵权诉讼为视角》，载《证据科学》2023年第5期。</w:t>
      </w:r>
    </w:p>
  </w:footnote>
  <w:footnote w:id="25">
    <w:p w14:paraId="740D3634">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毕玉谦：《关于创设民事诉讼证明妨碍制度的基本视野》，载《证据科学》2010年第</w:t>
      </w:r>
      <w:r>
        <w:rPr>
          <w:rFonts w:hint="default" w:ascii="Times New Roman" w:hAnsi="Times New Roman" w:eastAsia="仿宋" w:cs="Times New Roman"/>
          <w:lang w:val="en-US" w:eastAsia="zh-CN"/>
        </w:rPr>
        <w:t>5期</w:t>
      </w:r>
      <w:r>
        <w:rPr>
          <w:rFonts w:hint="default" w:ascii="Times New Roman" w:hAnsi="Times New Roman" w:eastAsia="仿宋" w:cs="Times New Roman"/>
        </w:rPr>
        <w:t>。</w:t>
      </w:r>
    </w:p>
  </w:footnote>
  <w:footnote w:id="26">
    <w:p w14:paraId="4C223385">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包冰锋：《实体与程序之调和：证明妨碍的客观要件探究》，载《证据科学》2013年第</w:t>
      </w:r>
      <w:r>
        <w:rPr>
          <w:rFonts w:hint="default" w:ascii="Times New Roman" w:hAnsi="Times New Roman" w:eastAsia="仿宋" w:cs="Times New Roman"/>
          <w:lang w:val="en-US" w:eastAsia="zh-CN"/>
        </w:rPr>
        <w:t>6期</w:t>
      </w:r>
      <w:r>
        <w:rPr>
          <w:rFonts w:hint="default" w:ascii="Times New Roman" w:hAnsi="Times New Roman" w:eastAsia="仿宋" w:cs="Times New Roman"/>
        </w:rPr>
        <w:t>。</w:t>
      </w:r>
    </w:p>
  </w:footnote>
  <w:footnote w:id="27">
    <w:p w14:paraId="5AED098F">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毕玉谦：《关于创设民事诉讼证明妨碍制度的基本视野》，载《证据科学》2010年第</w:t>
      </w:r>
      <w:r>
        <w:rPr>
          <w:rFonts w:hint="default" w:ascii="Times New Roman" w:hAnsi="Times New Roman" w:eastAsia="仿宋" w:cs="Times New Roman"/>
          <w:lang w:val="en-US" w:eastAsia="zh-CN"/>
        </w:rPr>
        <w:t>5期</w:t>
      </w:r>
      <w:r>
        <w:rPr>
          <w:rFonts w:hint="default" w:ascii="Times New Roman" w:hAnsi="Times New Roman" w:eastAsia="仿宋" w:cs="Times New Roman"/>
        </w:rPr>
        <w:t>。</w:t>
      </w:r>
    </w:p>
  </w:footnote>
  <w:footnote w:id="28">
    <w:p w14:paraId="5447F432">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吴俐、杨馥源：《“认识—道德两分理论”下的举证妨碍制度程序建构—以知识产权侵权诉讼为视角》，载《证据科学》2023年第5期。</w:t>
      </w:r>
    </w:p>
  </w:footnote>
  <w:footnote w:id="29">
    <w:p w14:paraId="159AF150">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梁伟、褚衍文：《证据妨碍排除规则适用异化的矫正——基于知识产权案件中侵权人获利降格证成的分析》，载《山东法官培训学院学报》2020年第4期。</w:t>
      </w:r>
    </w:p>
  </w:footnote>
  <w:footnote w:id="30">
    <w:p w14:paraId="15B00D3E">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美国法院以“公平与制裁”为基础来思考证明妨碍的法律效果其法律效果由重至轻依序为：直接作出终局判决、排除妨碍者的证据提出、给予陪审团不利推定的指示、命令妨碍者负担费用。</w:t>
      </w:r>
    </w:p>
  </w:footnote>
  <w:footnote w:id="31">
    <w:p w14:paraId="701D0965">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梁伟、褚衍文：《证据妨碍排除规则适用异化的矫正——基于知识产权案件中侵权人获利降格证成的分析》，载《山东法官培训学院学报》2020年第4期。</w:t>
      </w:r>
    </w:p>
  </w:footnote>
  <w:footnote w:id="32">
    <w:p w14:paraId="1914F734">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w:t>
      </w:r>
      <w:r>
        <w:rPr>
          <w:rFonts w:hint="default" w:ascii="Times New Roman" w:hAnsi="Times New Roman" w:eastAsia="仿宋" w:cs="Times New Roman"/>
          <w:lang w:eastAsia="ja-JP"/>
        </w:rPr>
        <w:t>日本《民事诉讼法》第223条第一款：“裁判所は、文書提出命令の申立てを理由があると認めるときは、決定で、文書の所持者に対し、その提出を命ずる。この場合において、文書に取り調べる必要がないと認める部分又は提出の義務があると認めることができない部分があるときは、その部分を除いて、提出を命ずることができる。</w:t>
      </w:r>
      <w:r>
        <w:rPr>
          <w:rFonts w:hint="default" w:ascii="Times New Roman" w:hAnsi="Times New Roman" w:eastAsia="仿宋" w:cs="Times New Roman"/>
        </w:rPr>
        <w:t>”</w:t>
      </w:r>
    </w:p>
  </w:footnote>
  <w:footnote w:id="33">
    <w:p w14:paraId="5430D846">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参见邓昭君、余洪春：《论证明妨碍规则在知识产权侵权诉讼中的适用》，载《全国法院第25届学术讨论会获奖论文集：公正司法与行政法实施问题研究（上册）》。</w:t>
      </w:r>
    </w:p>
  </w:footnote>
  <w:footnote w:id="34">
    <w:p w14:paraId="58223CCD">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w:t>
      </w:r>
      <w:r>
        <w:rPr>
          <w:rFonts w:hint="default" w:ascii="Times New Roman" w:hAnsi="Times New Roman" w:eastAsia="仿宋" w:cs="Times New Roman"/>
          <w:b/>
          <w:bCs/>
          <w:i/>
          <w:iCs/>
        </w:rPr>
        <w:t>TRIPS Agreemet</w:t>
      </w:r>
      <w:r>
        <w:rPr>
          <w:rFonts w:hint="default" w:ascii="Times New Roman" w:hAnsi="Times New Roman" w:eastAsia="仿宋" w:cs="Times New Roman"/>
        </w:rPr>
        <w:t xml:space="preserve"> Article 43:“2．... a Member may accord judicial authorities the authority to make preliminary and final determinations, affirmative or negative, on the basis of the information presented to them, including the complaint or the allegation presented by the party adversely affected by the denial of access to information, subject to providing the parties an opportunity to be heard on the allegations or evidence.”</w:t>
      </w:r>
    </w:p>
  </w:footnote>
  <w:footnote w:id="35">
    <w:p w14:paraId="170859DD">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w:t>
      </w:r>
      <w:r>
        <w:rPr>
          <w:rFonts w:hint="default" w:ascii="Times New Roman" w:hAnsi="Times New Roman" w:eastAsia="仿宋" w:cs="Times New Roman"/>
          <w:b/>
          <w:bCs/>
          <w:i/>
          <w:iCs/>
        </w:rPr>
        <w:t>TRIPS Agreement</w:t>
      </w:r>
      <w:r>
        <w:rPr>
          <w:rFonts w:hint="default" w:ascii="Times New Roman" w:hAnsi="Times New Roman" w:eastAsia="仿宋" w:cs="Times New Roman"/>
        </w:rPr>
        <w:t xml:space="preserve"> Article 43:“1．The judicial authorities shall have the authority, where a party has presented reasonably available evidence sufficient to support its claims and has specified evidence relevant to substantiation of its claims which lies in the control of the opposing party, to order that this evidence be produced by the opposing party, subject in appropriate cases to conditions which ensure the protection of confidential information.”</w:t>
      </w:r>
    </w:p>
  </w:footnote>
  <w:footnote w:id="36">
    <w:p w14:paraId="5DAC0EB2">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刘晓：《证明妨碍规则在确定知识产权损害赔偿中的适用》，载《知识产权》2017年第2期。</w:t>
      </w:r>
    </w:p>
  </w:footnote>
  <w:footnote w:id="37">
    <w:p w14:paraId="4E99194E">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w:t>
      </w:r>
      <w:r>
        <w:rPr>
          <w:rFonts w:hint="default" w:ascii="Times New Roman" w:hAnsi="Times New Roman" w:eastAsia="仿宋" w:cs="Times New Roman"/>
          <w:lang w:eastAsia="ja-JP"/>
        </w:rPr>
        <w:t>日本《民事诉讼法》第223条第七款：“文書提出命令の申立てについての決定に対しては、即時抗告をすることができる。</w:t>
      </w:r>
      <w:r>
        <w:rPr>
          <w:rFonts w:hint="default" w:ascii="Times New Roman" w:hAnsi="Times New Roman" w:eastAsia="仿宋" w:cs="Times New Roma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CAFF6">
    <w:pPr>
      <w:pStyle w:val="16"/>
      <w:pBdr>
        <w:bottom w:val="none" w:color="auto" w:sz="0" w:space="1"/>
      </w:pBdr>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18C90">
    <w:pPr>
      <w:pStyle w:val="16"/>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D15E2E"/>
    <w:multiLevelType w:val="singleLevel"/>
    <w:tmpl w:val="D7D15E2E"/>
    <w:lvl w:ilvl="0" w:tentative="0">
      <w:start w:val="2"/>
      <w:numFmt w:val="chineseCounting"/>
      <w:suff w:val="nothing"/>
      <w:lvlText w:val="%1、"/>
      <w:lvlJc w:val="left"/>
      <w:rPr>
        <w:rFonts w:hint="eastAsia"/>
      </w:rPr>
    </w:lvl>
  </w:abstractNum>
  <w:abstractNum w:abstractNumId="1">
    <w:nsid w:val="E3B914B2"/>
    <w:multiLevelType w:val="singleLevel"/>
    <w:tmpl w:val="E3B914B2"/>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VerticalSpacing w:val="156"/>
  <w:noPunctuationKerning w:val="1"/>
  <w:characterSpacingControl w:val="compressPunctuation"/>
  <w:footnotePr>
    <w:numFmt w:val="decimalEnclosedCircleChinese"/>
    <w:numRestart w:val="eachPage"/>
    <w:footnote w:id="76"/>
    <w:footnote w:id="77"/>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MzZGYxMWZmYjQ0ZDk2NTUzOTc1NjA5MjE3M2QzYzIifQ=="/>
  </w:docVars>
  <w:rsids>
    <w:rsidRoot w:val="00172A27"/>
    <w:rsid w:val="00054ADF"/>
    <w:rsid w:val="0006399F"/>
    <w:rsid w:val="0008285D"/>
    <w:rsid w:val="000C2116"/>
    <w:rsid w:val="00117C1B"/>
    <w:rsid w:val="00127380"/>
    <w:rsid w:val="00172A27"/>
    <w:rsid w:val="0017676D"/>
    <w:rsid w:val="001B451D"/>
    <w:rsid w:val="001B7C87"/>
    <w:rsid w:val="001E46BD"/>
    <w:rsid w:val="001E5DF7"/>
    <w:rsid w:val="001F1C68"/>
    <w:rsid w:val="00203A28"/>
    <w:rsid w:val="00212C80"/>
    <w:rsid w:val="00263AD3"/>
    <w:rsid w:val="00271024"/>
    <w:rsid w:val="00281CD5"/>
    <w:rsid w:val="00287957"/>
    <w:rsid w:val="002C2013"/>
    <w:rsid w:val="002D089D"/>
    <w:rsid w:val="002F0C72"/>
    <w:rsid w:val="003356C1"/>
    <w:rsid w:val="00351079"/>
    <w:rsid w:val="00353AC7"/>
    <w:rsid w:val="003611A6"/>
    <w:rsid w:val="003936C2"/>
    <w:rsid w:val="003F45F2"/>
    <w:rsid w:val="004307FE"/>
    <w:rsid w:val="00441541"/>
    <w:rsid w:val="0048104B"/>
    <w:rsid w:val="004B6565"/>
    <w:rsid w:val="004E0247"/>
    <w:rsid w:val="004E2099"/>
    <w:rsid w:val="0051480F"/>
    <w:rsid w:val="0052081F"/>
    <w:rsid w:val="005738BF"/>
    <w:rsid w:val="005B67C2"/>
    <w:rsid w:val="005C414B"/>
    <w:rsid w:val="005D0EC5"/>
    <w:rsid w:val="005F2F40"/>
    <w:rsid w:val="00602BF4"/>
    <w:rsid w:val="006144D2"/>
    <w:rsid w:val="00621EB2"/>
    <w:rsid w:val="00627895"/>
    <w:rsid w:val="00642806"/>
    <w:rsid w:val="00643F3F"/>
    <w:rsid w:val="0064525C"/>
    <w:rsid w:val="0066482B"/>
    <w:rsid w:val="00667046"/>
    <w:rsid w:val="00691706"/>
    <w:rsid w:val="006A7596"/>
    <w:rsid w:val="006C3717"/>
    <w:rsid w:val="00704336"/>
    <w:rsid w:val="00737189"/>
    <w:rsid w:val="00747FF8"/>
    <w:rsid w:val="007D4C00"/>
    <w:rsid w:val="007D5990"/>
    <w:rsid w:val="007E562E"/>
    <w:rsid w:val="007F04F5"/>
    <w:rsid w:val="007F15BA"/>
    <w:rsid w:val="00816063"/>
    <w:rsid w:val="00825507"/>
    <w:rsid w:val="00833058"/>
    <w:rsid w:val="00834949"/>
    <w:rsid w:val="0086409D"/>
    <w:rsid w:val="0087540C"/>
    <w:rsid w:val="00892F51"/>
    <w:rsid w:val="008F6796"/>
    <w:rsid w:val="0090114E"/>
    <w:rsid w:val="009061EA"/>
    <w:rsid w:val="00923A88"/>
    <w:rsid w:val="0092697C"/>
    <w:rsid w:val="00931673"/>
    <w:rsid w:val="0093616A"/>
    <w:rsid w:val="00955DAA"/>
    <w:rsid w:val="00961BDC"/>
    <w:rsid w:val="00964767"/>
    <w:rsid w:val="00993DF2"/>
    <w:rsid w:val="009B3E87"/>
    <w:rsid w:val="009D2F3A"/>
    <w:rsid w:val="009E4EFD"/>
    <w:rsid w:val="00A100C1"/>
    <w:rsid w:val="00A14797"/>
    <w:rsid w:val="00A2042C"/>
    <w:rsid w:val="00A278D1"/>
    <w:rsid w:val="00A66863"/>
    <w:rsid w:val="00A7283F"/>
    <w:rsid w:val="00A87D5B"/>
    <w:rsid w:val="00AA2D6E"/>
    <w:rsid w:val="00B172C1"/>
    <w:rsid w:val="00B36B09"/>
    <w:rsid w:val="00B37F61"/>
    <w:rsid w:val="00B50ECF"/>
    <w:rsid w:val="00B621A4"/>
    <w:rsid w:val="00B94252"/>
    <w:rsid w:val="00B962AA"/>
    <w:rsid w:val="00C04847"/>
    <w:rsid w:val="00C11188"/>
    <w:rsid w:val="00C35FE7"/>
    <w:rsid w:val="00C40A05"/>
    <w:rsid w:val="00C9509C"/>
    <w:rsid w:val="00CD5228"/>
    <w:rsid w:val="00CF3C71"/>
    <w:rsid w:val="00CF5E13"/>
    <w:rsid w:val="00D06FC5"/>
    <w:rsid w:val="00D13E9E"/>
    <w:rsid w:val="00D53437"/>
    <w:rsid w:val="00D55C07"/>
    <w:rsid w:val="00D86138"/>
    <w:rsid w:val="00DA23B6"/>
    <w:rsid w:val="00DC73CC"/>
    <w:rsid w:val="00DD4E78"/>
    <w:rsid w:val="00DF0006"/>
    <w:rsid w:val="00E03B81"/>
    <w:rsid w:val="00E33583"/>
    <w:rsid w:val="00E41581"/>
    <w:rsid w:val="00E4328F"/>
    <w:rsid w:val="00E618B4"/>
    <w:rsid w:val="00E82305"/>
    <w:rsid w:val="00EB45CD"/>
    <w:rsid w:val="00F050B2"/>
    <w:rsid w:val="00F67B99"/>
    <w:rsid w:val="00F76729"/>
    <w:rsid w:val="00F76F2A"/>
    <w:rsid w:val="00F96F6F"/>
    <w:rsid w:val="00FA0CC3"/>
    <w:rsid w:val="00FB0B99"/>
    <w:rsid w:val="00FB27C9"/>
    <w:rsid w:val="00FB6D9F"/>
    <w:rsid w:val="00FC1A75"/>
    <w:rsid w:val="00FC1B9A"/>
    <w:rsid w:val="00FC6507"/>
    <w:rsid w:val="00FD49C0"/>
    <w:rsid w:val="00FD5717"/>
    <w:rsid w:val="00FE2519"/>
    <w:rsid w:val="00FE2BE7"/>
    <w:rsid w:val="01E0373D"/>
    <w:rsid w:val="020B09BA"/>
    <w:rsid w:val="021357FC"/>
    <w:rsid w:val="02422C43"/>
    <w:rsid w:val="02647ECA"/>
    <w:rsid w:val="02664203"/>
    <w:rsid w:val="0281211B"/>
    <w:rsid w:val="02900686"/>
    <w:rsid w:val="02A1111E"/>
    <w:rsid w:val="03491264"/>
    <w:rsid w:val="039E11BA"/>
    <w:rsid w:val="03A044BE"/>
    <w:rsid w:val="03C9092D"/>
    <w:rsid w:val="048675DE"/>
    <w:rsid w:val="04D6781E"/>
    <w:rsid w:val="055109A7"/>
    <w:rsid w:val="057C377D"/>
    <w:rsid w:val="05AA5171"/>
    <w:rsid w:val="05C75F42"/>
    <w:rsid w:val="06163F09"/>
    <w:rsid w:val="06421D0E"/>
    <w:rsid w:val="066F6E3E"/>
    <w:rsid w:val="069F2A8C"/>
    <w:rsid w:val="06C8264F"/>
    <w:rsid w:val="071A324D"/>
    <w:rsid w:val="075C2E06"/>
    <w:rsid w:val="077157EF"/>
    <w:rsid w:val="078B5EF9"/>
    <w:rsid w:val="078F296A"/>
    <w:rsid w:val="07A019A5"/>
    <w:rsid w:val="082C640D"/>
    <w:rsid w:val="086C7AF5"/>
    <w:rsid w:val="087B7D1C"/>
    <w:rsid w:val="09153CCC"/>
    <w:rsid w:val="09627663"/>
    <w:rsid w:val="099948FD"/>
    <w:rsid w:val="0A5534F9"/>
    <w:rsid w:val="0A6959BB"/>
    <w:rsid w:val="0A7740C9"/>
    <w:rsid w:val="0A930304"/>
    <w:rsid w:val="0AE53B72"/>
    <w:rsid w:val="0B606A6A"/>
    <w:rsid w:val="0B680A2B"/>
    <w:rsid w:val="0B692D35"/>
    <w:rsid w:val="0B981DD7"/>
    <w:rsid w:val="0BA37536"/>
    <w:rsid w:val="0BB95E99"/>
    <w:rsid w:val="0BC745F6"/>
    <w:rsid w:val="0BD54EF4"/>
    <w:rsid w:val="0BE91DB4"/>
    <w:rsid w:val="0C6F2CD2"/>
    <w:rsid w:val="0C71390F"/>
    <w:rsid w:val="0CF66292"/>
    <w:rsid w:val="0D157F80"/>
    <w:rsid w:val="0D3F57BC"/>
    <w:rsid w:val="0DD34156"/>
    <w:rsid w:val="0DEA7A91"/>
    <w:rsid w:val="0DF1414E"/>
    <w:rsid w:val="0DF30354"/>
    <w:rsid w:val="0E3C03C2"/>
    <w:rsid w:val="0EBD50F7"/>
    <w:rsid w:val="0EEB74B8"/>
    <w:rsid w:val="0F5272D6"/>
    <w:rsid w:val="0F5A6866"/>
    <w:rsid w:val="0F87344A"/>
    <w:rsid w:val="0F9B7B9B"/>
    <w:rsid w:val="0FE2548A"/>
    <w:rsid w:val="100827DD"/>
    <w:rsid w:val="104308FE"/>
    <w:rsid w:val="10545A22"/>
    <w:rsid w:val="10831CC4"/>
    <w:rsid w:val="113A38F7"/>
    <w:rsid w:val="116062EE"/>
    <w:rsid w:val="11760DAE"/>
    <w:rsid w:val="11D5049D"/>
    <w:rsid w:val="120C464E"/>
    <w:rsid w:val="124B0875"/>
    <w:rsid w:val="124C7989"/>
    <w:rsid w:val="124E3154"/>
    <w:rsid w:val="126006AE"/>
    <w:rsid w:val="128624D3"/>
    <w:rsid w:val="129A331F"/>
    <w:rsid w:val="12AC0070"/>
    <w:rsid w:val="130A23C8"/>
    <w:rsid w:val="138A3509"/>
    <w:rsid w:val="13E75117"/>
    <w:rsid w:val="140E413A"/>
    <w:rsid w:val="141C0605"/>
    <w:rsid w:val="143D2059"/>
    <w:rsid w:val="144E1C09"/>
    <w:rsid w:val="14574AE4"/>
    <w:rsid w:val="147321EF"/>
    <w:rsid w:val="149503B7"/>
    <w:rsid w:val="14B922F8"/>
    <w:rsid w:val="14C12F5A"/>
    <w:rsid w:val="14C21C2E"/>
    <w:rsid w:val="14E135FC"/>
    <w:rsid w:val="15657D89"/>
    <w:rsid w:val="15BA334B"/>
    <w:rsid w:val="15DF41E8"/>
    <w:rsid w:val="160114A8"/>
    <w:rsid w:val="164065A8"/>
    <w:rsid w:val="16AC39FC"/>
    <w:rsid w:val="16C607F4"/>
    <w:rsid w:val="16DF2816"/>
    <w:rsid w:val="16F201E6"/>
    <w:rsid w:val="17667DE9"/>
    <w:rsid w:val="17795BB3"/>
    <w:rsid w:val="177E6004"/>
    <w:rsid w:val="179764FD"/>
    <w:rsid w:val="17977B40"/>
    <w:rsid w:val="181066D2"/>
    <w:rsid w:val="1837186C"/>
    <w:rsid w:val="19073C39"/>
    <w:rsid w:val="19134904"/>
    <w:rsid w:val="19141FA1"/>
    <w:rsid w:val="19566825"/>
    <w:rsid w:val="19CC6629"/>
    <w:rsid w:val="1A0C111B"/>
    <w:rsid w:val="1A635FA2"/>
    <w:rsid w:val="1AF37BE5"/>
    <w:rsid w:val="1B1E70B9"/>
    <w:rsid w:val="1B335B7A"/>
    <w:rsid w:val="1B917195"/>
    <w:rsid w:val="1BF8447F"/>
    <w:rsid w:val="1C4F24C6"/>
    <w:rsid w:val="1C5F3FB5"/>
    <w:rsid w:val="1CAC1FDA"/>
    <w:rsid w:val="1CE1063D"/>
    <w:rsid w:val="1CFC1FA5"/>
    <w:rsid w:val="1D5D0608"/>
    <w:rsid w:val="1D6628F1"/>
    <w:rsid w:val="1D8212ED"/>
    <w:rsid w:val="1DF937BD"/>
    <w:rsid w:val="1E036392"/>
    <w:rsid w:val="1E805C34"/>
    <w:rsid w:val="1EF41433"/>
    <w:rsid w:val="1F374545"/>
    <w:rsid w:val="1F4378E1"/>
    <w:rsid w:val="1F7C63FB"/>
    <w:rsid w:val="1F8510E4"/>
    <w:rsid w:val="1F980D5B"/>
    <w:rsid w:val="1FEB3DC6"/>
    <w:rsid w:val="20275BBF"/>
    <w:rsid w:val="20542891"/>
    <w:rsid w:val="20546A8D"/>
    <w:rsid w:val="20644803"/>
    <w:rsid w:val="2093568E"/>
    <w:rsid w:val="209E5297"/>
    <w:rsid w:val="20AA73FD"/>
    <w:rsid w:val="20B55AD9"/>
    <w:rsid w:val="210714BC"/>
    <w:rsid w:val="212E3725"/>
    <w:rsid w:val="213E6377"/>
    <w:rsid w:val="21546C0C"/>
    <w:rsid w:val="21C12CBC"/>
    <w:rsid w:val="21F726B1"/>
    <w:rsid w:val="223278BD"/>
    <w:rsid w:val="22821F0D"/>
    <w:rsid w:val="22981651"/>
    <w:rsid w:val="22C86FF0"/>
    <w:rsid w:val="22D0247C"/>
    <w:rsid w:val="231E1CD4"/>
    <w:rsid w:val="232E4FE8"/>
    <w:rsid w:val="23810484"/>
    <w:rsid w:val="238A7B46"/>
    <w:rsid w:val="23961EEA"/>
    <w:rsid w:val="23A979DB"/>
    <w:rsid w:val="23E12CD1"/>
    <w:rsid w:val="23F24EDE"/>
    <w:rsid w:val="240E783E"/>
    <w:rsid w:val="243948BB"/>
    <w:rsid w:val="243C43AB"/>
    <w:rsid w:val="245E1552"/>
    <w:rsid w:val="24925E82"/>
    <w:rsid w:val="24D24916"/>
    <w:rsid w:val="25186E4A"/>
    <w:rsid w:val="251C2C9A"/>
    <w:rsid w:val="25675458"/>
    <w:rsid w:val="25806EEA"/>
    <w:rsid w:val="25953D7A"/>
    <w:rsid w:val="25960251"/>
    <w:rsid w:val="25E44CFA"/>
    <w:rsid w:val="26245ECC"/>
    <w:rsid w:val="262617CB"/>
    <w:rsid w:val="26CF7759"/>
    <w:rsid w:val="26F910CD"/>
    <w:rsid w:val="276F4069"/>
    <w:rsid w:val="27BE1E2E"/>
    <w:rsid w:val="28104B4B"/>
    <w:rsid w:val="2820140A"/>
    <w:rsid w:val="28342692"/>
    <w:rsid w:val="289E5635"/>
    <w:rsid w:val="28D948BF"/>
    <w:rsid w:val="28E82D54"/>
    <w:rsid w:val="28FE60D3"/>
    <w:rsid w:val="29126403"/>
    <w:rsid w:val="2964687E"/>
    <w:rsid w:val="29892174"/>
    <w:rsid w:val="29A30A29"/>
    <w:rsid w:val="29B71121"/>
    <w:rsid w:val="29EE074C"/>
    <w:rsid w:val="2AA131BA"/>
    <w:rsid w:val="2AE55364"/>
    <w:rsid w:val="2B037653"/>
    <w:rsid w:val="2B0A0D5F"/>
    <w:rsid w:val="2B3F63FE"/>
    <w:rsid w:val="2B604E23"/>
    <w:rsid w:val="2B634C80"/>
    <w:rsid w:val="2B6F32B8"/>
    <w:rsid w:val="2B82746B"/>
    <w:rsid w:val="2B947CB1"/>
    <w:rsid w:val="2BAC5646"/>
    <w:rsid w:val="2BB4516F"/>
    <w:rsid w:val="2BEB910D"/>
    <w:rsid w:val="2C2B05CE"/>
    <w:rsid w:val="2C522201"/>
    <w:rsid w:val="2CDE6947"/>
    <w:rsid w:val="2CFA571C"/>
    <w:rsid w:val="2D16719A"/>
    <w:rsid w:val="2D4876D4"/>
    <w:rsid w:val="2D524C40"/>
    <w:rsid w:val="2D830CD8"/>
    <w:rsid w:val="2E150DC0"/>
    <w:rsid w:val="2E456552"/>
    <w:rsid w:val="2E56250D"/>
    <w:rsid w:val="2EC5231C"/>
    <w:rsid w:val="2F111914"/>
    <w:rsid w:val="2F722249"/>
    <w:rsid w:val="2FA40BDC"/>
    <w:rsid w:val="2FC3218B"/>
    <w:rsid w:val="2FCB35A6"/>
    <w:rsid w:val="304379E9"/>
    <w:rsid w:val="30FB77A2"/>
    <w:rsid w:val="310A26DA"/>
    <w:rsid w:val="310F15A4"/>
    <w:rsid w:val="31421F12"/>
    <w:rsid w:val="314F71B4"/>
    <w:rsid w:val="31603DCF"/>
    <w:rsid w:val="31723B02"/>
    <w:rsid w:val="31D27F1B"/>
    <w:rsid w:val="31DC7816"/>
    <w:rsid w:val="31E526F6"/>
    <w:rsid w:val="325F4087"/>
    <w:rsid w:val="32A46D70"/>
    <w:rsid w:val="32BE0D6B"/>
    <w:rsid w:val="32E9136D"/>
    <w:rsid w:val="331035D3"/>
    <w:rsid w:val="334C5F81"/>
    <w:rsid w:val="341C1B03"/>
    <w:rsid w:val="342E6A26"/>
    <w:rsid w:val="3467402E"/>
    <w:rsid w:val="352D43F0"/>
    <w:rsid w:val="355754E9"/>
    <w:rsid w:val="356279EA"/>
    <w:rsid w:val="35B44A00"/>
    <w:rsid w:val="35CB12B0"/>
    <w:rsid w:val="36104370"/>
    <w:rsid w:val="36526DA9"/>
    <w:rsid w:val="368D470C"/>
    <w:rsid w:val="369F4565"/>
    <w:rsid w:val="36A253EA"/>
    <w:rsid w:val="36EA5EE9"/>
    <w:rsid w:val="36F86858"/>
    <w:rsid w:val="373B6744"/>
    <w:rsid w:val="375A4E1C"/>
    <w:rsid w:val="37FD2868"/>
    <w:rsid w:val="38885CAA"/>
    <w:rsid w:val="38B20EA7"/>
    <w:rsid w:val="38B7566D"/>
    <w:rsid w:val="38B92D4A"/>
    <w:rsid w:val="39391CB1"/>
    <w:rsid w:val="3953646B"/>
    <w:rsid w:val="396D6DE6"/>
    <w:rsid w:val="39700A2B"/>
    <w:rsid w:val="39CE564E"/>
    <w:rsid w:val="39E408DB"/>
    <w:rsid w:val="39E906DA"/>
    <w:rsid w:val="3A4122C4"/>
    <w:rsid w:val="3AA64BD7"/>
    <w:rsid w:val="3AA80595"/>
    <w:rsid w:val="3B9A0E65"/>
    <w:rsid w:val="3BAA4AA0"/>
    <w:rsid w:val="3C0B7121"/>
    <w:rsid w:val="3C687FDC"/>
    <w:rsid w:val="3D066FD7"/>
    <w:rsid w:val="3D601A4C"/>
    <w:rsid w:val="3DB66B25"/>
    <w:rsid w:val="3DBD32DF"/>
    <w:rsid w:val="3DC15226"/>
    <w:rsid w:val="3E431680"/>
    <w:rsid w:val="3E7825FB"/>
    <w:rsid w:val="3E8B1D5F"/>
    <w:rsid w:val="3ECF5B38"/>
    <w:rsid w:val="3EE665D6"/>
    <w:rsid w:val="3F0D5953"/>
    <w:rsid w:val="3F134345"/>
    <w:rsid w:val="3F5B3839"/>
    <w:rsid w:val="3FA27361"/>
    <w:rsid w:val="402E32EA"/>
    <w:rsid w:val="40512B35"/>
    <w:rsid w:val="405A5E8D"/>
    <w:rsid w:val="40C17435"/>
    <w:rsid w:val="410D4406"/>
    <w:rsid w:val="410F4ECA"/>
    <w:rsid w:val="41412BA9"/>
    <w:rsid w:val="41FD2F74"/>
    <w:rsid w:val="420A5691"/>
    <w:rsid w:val="42165DE4"/>
    <w:rsid w:val="428C60A6"/>
    <w:rsid w:val="42C31C49"/>
    <w:rsid w:val="42D924E6"/>
    <w:rsid w:val="439E42E3"/>
    <w:rsid w:val="43DA456B"/>
    <w:rsid w:val="43F17FA3"/>
    <w:rsid w:val="443A04B0"/>
    <w:rsid w:val="445E37BF"/>
    <w:rsid w:val="446879DC"/>
    <w:rsid w:val="450258D0"/>
    <w:rsid w:val="454F661D"/>
    <w:rsid w:val="455A284A"/>
    <w:rsid w:val="45777A95"/>
    <w:rsid w:val="464078D3"/>
    <w:rsid w:val="464473C4"/>
    <w:rsid w:val="46470C62"/>
    <w:rsid w:val="464E1FF0"/>
    <w:rsid w:val="466C3AD6"/>
    <w:rsid w:val="46B203C5"/>
    <w:rsid w:val="46C44060"/>
    <w:rsid w:val="46F32B98"/>
    <w:rsid w:val="470E5D4E"/>
    <w:rsid w:val="47170634"/>
    <w:rsid w:val="471C5ACA"/>
    <w:rsid w:val="471F573B"/>
    <w:rsid w:val="473311E6"/>
    <w:rsid w:val="47684E6B"/>
    <w:rsid w:val="47BF54AD"/>
    <w:rsid w:val="48311BC9"/>
    <w:rsid w:val="489E15AC"/>
    <w:rsid w:val="48B16866"/>
    <w:rsid w:val="48BD51EE"/>
    <w:rsid w:val="48DD3AFF"/>
    <w:rsid w:val="48FC1132"/>
    <w:rsid w:val="493431BA"/>
    <w:rsid w:val="497E0E3E"/>
    <w:rsid w:val="49B653D8"/>
    <w:rsid w:val="49DF78D9"/>
    <w:rsid w:val="4A1714B4"/>
    <w:rsid w:val="4A1B668D"/>
    <w:rsid w:val="4A471230"/>
    <w:rsid w:val="4B1547B8"/>
    <w:rsid w:val="4B3B68BB"/>
    <w:rsid w:val="4B457524"/>
    <w:rsid w:val="4B6B5BD4"/>
    <w:rsid w:val="4BA86BE9"/>
    <w:rsid w:val="4BBE19C6"/>
    <w:rsid w:val="4C126DD1"/>
    <w:rsid w:val="4C701880"/>
    <w:rsid w:val="4C8020EF"/>
    <w:rsid w:val="4C87625C"/>
    <w:rsid w:val="4C9C6EA9"/>
    <w:rsid w:val="4CB5363B"/>
    <w:rsid w:val="4CC51821"/>
    <w:rsid w:val="4CF03E01"/>
    <w:rsid w:val="4D0553D3"/>
    <w:rsid w:val="4D0A29E9"/>
    <w:rsid w:val="4D371A30"/>
    <w:rsid w:val="4D4D4E2A"/>
    <w:rsid w:val="4D553C64"/>
    <w:rsid w:val="4D8E361A"/>
    <w:rsid w:val="4DAE7EA0"/>
    <w:rsid w:val="4E067654"/>
    <w:rsid w:val="4E593C7C"/>
    <w:rsid w:val="4EAD1B4A"/>
    <w:rsid w:val="4ECB0CEE"/>
    <w:rsid w:val="4ED9755E"/>
    <w:rsid w:val="4F0A5CE6"/>
    <w:rsid w:val="4F3E2AD2"/>
    <w:rsid w:val="4F57695E"/>
    <w:rsid w:val="4F5F41E6"/>
    <w:rsid w:val="4FE41A5D"/>
    <w:rsid w:val="4FE614EB"/>
    <w:rsid w:val="4FFF1FA6"/>
    <w:rsid w:val="505639DC"/>
    <w:rsid w:val="50630D8E"/>
    <w:rsid w:val="508A5295"/>
    <w:rsid w:val="50BA213D"/>
    <w:rsid w:val="50E53AD1"/>
    <w:rsid w:val="51183927"/>
    <w:rsid w:val="512A5408"/>
    <w:rsid w:val="515A30C3"/>
    <w:rsid w:val="52691F60"/>
    <w:rsid w:val="52865CAB"/>
    <w:rsid w:val="52B753C1"/>
    <w:rsid w:val="52C93A80"/>
    <w:rsid w:val="52FC4B82"/>
    <w:rsid w:val="52FC51F9"/>
    <w:rsid w:val="53FC5E76"/>
    <w:rsid w:val="540B4634"/>
    <w:rsid w:val="543B5AD3"/>
    <w:rsid w:val="54895B1F"/>
    <w:rsid w:val="54A159E1"/>
    <w:rsid w:val="54DB6B01"/>
    <w:rsid w:val="54EF63C5"/>
    <w:rsid w:val="550505A5"/>
    <w:rsid w:val="550735B3"/>
    <w:rsid w:val="552278C6"/>
    <w:rsid w:val="55240A37"/>
    <w:rsid w:val="552C79A0"/>
    <w:rsid w:val="554967A4"/>
    <w:rsid w:val="56020B08"/>
    <w:rsid w:val="563D3E2F"/>
    <w:rsid w:val="56764C4B"/>
    <w:rsid w:val="56B27270"/>
    <w:rsid w:val="56B51C18"/>
    <w:rsid w:val="56F564ED"/>
    <w:rsid w:val="57091B7C"/>
    <w:rsid w:val="570E431B"/>
    <w:rsid w:val="574324C7"/>
    <w:rsid w:val="574B083E"/>
    <w:rsid w:val="576E556B"/>
    <w:rsid w:val="57CC735D"/>
    <w:rsid w:val="57E502DB"/>
    <w:rsid w:val="57F14816"/>
    <w:rsid w:val="584811B2"/>
    <w:rsid w:val="58AB6E2E"/>
    <w:rsid w:val="58AE4304"/>
    <w:rsid w:val="592A0F50"/>
    <w:rsid w:val="59611BE3"/>
    <w:rsid w:val="59C84BF6"/>
    <w:rsid w:val="59CF4D9E"/>
    <w:rsid w:val="59E940B2"/>
    <w:rsid w:val="59FD7EC3"/>
    <w:rsid w:val="5A0536FE"/>
    <w:rsid w:val="5A3800CB"/>
    <w:rsid w:val="5A6C0F09"/>
    <w:rsid w:val="5AC64668"/>
    <w:rsid w:val="5AD86650"/>
    <w:rsid w:val="5B7200D7"/>
    <w:rsid w:val="5B926DC1"/>
    <w:rsid w:val="5B995664"/>
    <w:rsid w:val="5BBA6DDD"/>
    <w:rsid w:val="5BFB00CD"/>
    <w:rsid w:val="5C2F5FC8"/>
    <w:rsid w:val="5C440699"/>
    <w:rsid w:val="5C8266C5"/>
    <w:rsid w:val="5CAE513F"/>
    <w:rsid w:val="5CB85FBE"/>
    <w:rsid w:val="5CF91FA7"/>
    <w:rsid w:val="5D1C3A20"/>
    <w:rsid w:val="5D245401"/>
    <w:rsid w:val="5D2548A6"/>
    <w:rsid w:val="5D5302D9"/>
    <w:rsid w:val="5D535CE6"/>
    <w:rsid w:val="5D577585"/>
    <w:rsid w:val="5D6E14C5"/>
    <w:rsid w:val="5DA455F8"/>
    <w:rsid w:val="5DEC23C3"/>
    <w:rsid w:val="5DED10A9"/>
    <w:rsid w:val="5E2A2EEB"/>
    <w:rsid w:val="5E603FBE"/>
    <w:rsid w:val="5E9C660C"/>
    <w:rsid w:val="5ECF09A3"/>
    <w:rsid w:val="5F025C16"/>
    <w:rsid w:val="5F250396"/>
    <w:rsid w:val="5F396AB1"/>
    <w:rsid w:val="5F8262F5"/>
    <w:rsid w:val="5F997B4E"/>
    <w:rsid w:val="5F9D43C5"/>
    <w:rsid w:val="5FEC2A61"/>
    <w:rsid w:val="601F3433"/>
    <w:rsid w:val="602F2A3B"/>
    <w:rsid w:val="605669FE"/>
    <w:rsid w:val="61276855"/>
    <w:rsid w:val="61720E31"/>
    <w:rsid w:val="617E77D6"/>
    <w:rsid w:val="618741B1"/>
    <w:rsid w:val="61AD5947"/>
    <w:rsid w:val="61B23180"/>
    <w:rsid w:val="61C60084"/>
    <w:rsid w:val="61C844CE"/>
    <w:rsid w:val="61F2191F"/>
    <w:rsid w:val="61FD4232"/>
    <w:rsid w:val="62E010C3"/>
    <w:rsid w:val="63073ACF"/>
    <w:rsid w:val="63891784"/>
    <w:rsid w:val="638A36AC"/>
    <w:rsid w:val="63B459AC"/>
    <w:rsid w:val="63D41FBE"/>
    <w:rsid w:val="63DF611C"/>
    <w:rsid w:val="640D0D2C"/>
    <w:rsid w:val="64451F6F"/>
    <w:rsid w:val="6484216A"/>
    <w:rsid w:val="64D836A1"/>
    <w:rsid w:val="6518727F"/>
    <w:rsid w:val="65605444"/>
    <w:rsid w:val="6596595D"/>
    <w:rsid w:val="65B01F28"/>
    <w:rsid w:val="66242160"/>
    <w:rsid w:val="66665B94"/>
    <w:rsid w:val="66B6356E"/>
    <w:rsid w:val="67193AFD"/>
    <w:rsid w:val="673D5A3D"/>
    <w:rsid w:val="67FC026D"/>
    <w:rsid w:val="682067BE"/>
    <w:rsid w:val="68220E77"/>
    <w:rsid w:val="68914293"/>
    <w:rsid w:val="68A11FFC"/>
    <w:rsid w:val="68F2151E"/>
    <w:rsid w:val="69033366"/>
    <w:rsid w:val="690C3919"/>
    <w:rsid w:val="690D440A"/>
    <w:rsid w:val="690F6C6C"/>
    <w:rsid w:val="69321F0F"/>
    <w:rsid w:val="69542793"/>
    <w:rsid w:val="6A5D1F52"/>
    <w:rsid w:val="6A9777FF"/>
    <w:rsid w:val="6AAC01F5"/>
    <w:rsid w:val="6AB201EF"/>
    <w:rsid w:val="6AB53B3C"/>
    <w:rsid w:val="6AC139F6"/>
    <w:rsid w:val="6AC955F0"/>
    <w:rsid w:val="6AE113BD"/>
    <w:rsid w:val="6B014FD4"/>
    <w:rsid w:val="6B9156FC"/>
    <w:rsid w:val="6BAC3EA4"/>
    <w:rsid w:val="6BB07BDD"/>
    <w:rsid w:val="6BEB76C5"/>
    <w:rsid w:val="6C335C00"/>
    <w:rsid w:val="6C7B61D2"/>
    <w:rsid w:val="6CA60EDB"/>
    <w:rsid w:val="6CB65EFE"/>
    <w:rsid w:val="6CB953EE"/>
    <w:rsid w:val="6D080570"/>
    <w:rsid w:val="6D275125"/>
    <w:rsid w:val="6D803F34"/>
    <w:rsid w:val="6DD85A03"/>
    <w:rsid w:val="6DE77D5E"/>
    <w:rsid w:val="6E112B07"/>
    <w:rsid w:val="6E1874B3"/>
    <w:rsid w:val="6E2039CB"/>
    <w:rsid w:val="6E597400"/>
    <w:rsid w:val="6F652C76"/>
    <w:rsid w:val="6F926877"/>
    <w:rsid w:val="6FAA3E8C"/>
    <w:rsid w:val="6FEE1FCA"/>
    <w:rsid w:val="70074E3A"/>
    <w:rsid w:val="700F553F"/>
    <w:rsid w:val="702675D1"/>
    <w:rsid w:val="702D44F5"/>
    <w:rsid w:val="70513B2A"/>
    <w:rsid w:val="707029DF"/>
    <w:rsid w:val="7079101D"/>
    <w:rsid w:val="707E1F3B"/>
    <w:rsid w:val="709C1767"/>
    <w:rsid w:val="710F493B"/>
    <w:rsid w:val="716A3489"/>
    <w:rsid w:val="719646C8"/>
    <w:rsid w:val="71B04924"/>
    <w:rsid w:val="71EB495D"/>
    <w:rsid w:val="71FF045B"/>
    <w:rsid w:val="721359C2"/>
    <w:rsid w:val="72B8066E"/>
    <w:rsid w:val="72D37256"/>
    <w:rsid w:val="732A3162"/>
    <w:rsid w:val="733A72D5"/>
    <w:rsid w:val="73510302"/>
    <w:rsid w:val="73622E23"/>
    <w:rsid w:val="736C6736"/>
    <w:rsid w:val="73AB01D2"/>
    <w:rsid w:val="73FA50E1"/>
    <w:rsid w:val="74AD7A06"/>
    <w:rsid w:val="74B41A9A"/>
    <w:rsid w:val="74C23A26"/>
    <w:rsid w:val="74F96989"/>
    <w:rsid w:val="751E5B7D"/>
    <w:rsid w:val="752D24D8"/>
    <w:rsid w:val="75873FED"/>
    <w:rsid w:val="759929D8"/>
    <w:rsid w:val="75E25458"/>
    <w:rsid w:val="75F063ED"/>
    <w:rsid w:val="75F145C2"/>
    <w:rsid w:val="76084EDF"/>
    <w:rsid w:val="761262E7"/>
    <w:rsid w:val="766B2AE4"/>
    <w:rsid w:val="76727FA7"/>
    <w:rsid w:val="76B32F87"/>
    <w:rsid w:val="76C267F5"/>
    <w:rsid w:val="76EF025E"/>
    <w:rsid w:val="76FF41D8"/>
    <w:rsid w:val="772F012E"/>
    <w:rsid w:val="77313252"/>
    <w:rsid w:val="775238B2"/>
    <w:rsid w:val="77585F7B"/>
    <w:rsid w:val="77A47413"/>
    <w:rsid w:val="77AD276B"/>
    <w:rsid w:val="77B70EF4"/>
    <w:rsid w:val="77D15824"/>
    <w:rsid w:val="7854215B"/>
    <w:rsid w:val="787B1AD2"/>
    <w:rsid w:val="78A67525"/>
    <w:rsid w:val="78B74F24"/>
    <w:rsid w:val="78FB5758"/>
    <w:rsid w:val="79050385"/>
    <w:rsid w:val="79A100AE"/>
    <w:rsid w:val="7A5275FA"/>
    <w:rsid w:val="7AB636E5"/>
    <w:rsid w:val="7AE52230"/>
    <w:rsid w:val="7B1D4B83"/>
    <w:rsid w:val="7B38059E"/>
    <w:rsid w:val="7B3B1177"/>
    <w:rsid w:val="7B4B4647"/>
    <w:rsid w:val="7B8174E4"/>
    <w:rsid w:val="7BBC5583"/>
    <w:rsid w:val="7BC7279A"/>
    <w:rsid w:val="7BD5750A"/>
    <w:rsid w:val="7C213870"/>
    <w:rsid w:val="7C6545B6"/>
    <w:rsid w:val="7C6B6751"/>
    <w:rsid w:val="7C835504"/>
    <w:rsid w:val="7D0127AA"/>
    <w:rsid w:val="7D1A6A70"/>
    <w:rsid w:val="7D721BB5"/>
    <w:rsid w:val="7D7F63B7"/>
    <w:rsid w:val="7D825A8D"/>
    <w:rsid w:val="7D9046C1"/>
    <w:rsid w:val="7E595A04"/>
    <w:rsid w:val="7E6A2D3B"/>
    <w:rsid w:val="7E890792"/>
    <w:rsid w:val="7EAD3051"/>
    <w:rsid w:val="7EB73ECF"/>
    <w:rsid w:val="7F01339C"/>
    <w:rsid w:val="7F080EAF"/>
    <w:rsid w:val="7F2E4585"/>
    <w:rsid w:val="7F583026"/>
    <w:rsid w:val="7FA12732"/>
    <w:rsid w:val="7FA52290"/>
    <w:rsid w:val="7FD54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link w:val="31"/>
    <w:qFormat/>
    <w:uiPriority w:val="0"/>
    <w:pPr>
      <w:keepNext/>
      <w:keepLines/>
      <w:spacing w:before="150" w:beforeLines="150" w:after="150" w:afterLines="150" w:line="360" w:lineRule="auto"/>
      <w:ind w:firstLine="480" w:firstLineChars="200"/>
      <w:outlineLvl w:val="0"/>
    </w:pPr>
    <w:rPr>
      <w:rFonts w:ascii="黑体" w:hAnsi="黑体" w:eastAsia="黑体" w:cs="宋体"/>
      <w:bCs/>
      <w:kern w:val="44"/>
      <w:sz w:val="30"/>
      <w:szCs w:val="30"/>
    </w:rPr>
  </w:style>
  <w:style w:type="paragraph" w:styleId="3">
    <w:name w:val="heading 2"/>
    <w:basedOn w:val="1"/>
    <w:next w:val="1"/>
    <w:link w:val="32"/>
    <w:qFormat/>
    <w:uiPriority w:val="0"/>
    <w:pPr>
      <w:keepNext/>
      <w:keepLines/>
      <w:spacing w:before="100" w:beforeLines="100" w:after="100" w:afterLines="100" w:line="360" w:lineRule="auto"/>
      <w:ind w:firstLine="480" w:firstLineChars="200"/>
      <w:outlineLvl w:val="1"/>
    </w:pPr>
    <w:rPr>
      <w:rFonts w:ascii="黑体" w:hAnsi="黑体" w:eastAsia="黑体" w:cs="宋体"/>
      <w:bCs/>
      <w:sz w:val="28"/>
      <w:szCs w:val="28"/>
    </w:rPr>
  </w:style>
  <w:style w:type="paragraph" w:styleId="4">
    <w:name w:val="heading 3"/>
    <w:basedOn w:val="1"/>
    <w:next w:val="1"/>
    <w:qFormat/>
    <w:uiPriority w:val="0"/>
    <w:pPr>
      <w:keepNext/>
      <w:keepLines/>
      <w:spacing w:before="50" w:beforeLines="50" w:after="50" w:afterLines="50" w:line="360" w:lineRule="auto"/>
      <w:ind w:firstLine="480" w:firstLineChars="200"/>
      <w:outlineLvl w:val="2"/>
    </w:pPr>
    <w:rPr>
      <w:rFonts w:ascii="黑体" w:hAnsi="黑体" w:eastAsia="黑体" w:cs="宋体"/>
      <w:bCs/>
      <w:sz w:val="28"/>
      <w:szCs w:val="32"/>
    </w:rPr>
  </w:style>
  <w:style w:type="paragraph" w:styleId="5">
    <w:name w:val="heading 4"/>
    <w:basedOn w:val="1"/>
    <w:next w:val="1"/>
    <w:qFormat/>
    <w:uiPriority w:val="0"/>
    <w:pPr>
      <w:keepNext/>
      <w:keepLines/>
      <w:spacing w:before="50" w:beforeLines="50" w:after="50" w:afterLines="50" w:line="360" w:lineRule="auto"/>
      <w:ind w:firstLine="480" w:firstLineChars="200"/>
      <w:outlineLvl w:val="3"/>
    </w:pPr>
    <w:rPr>
      <w:rFonts w:ascii="Arial" w:hAnsi="Arial"/>
    </w:rPr>
  </w:style>
  <w:style w:type="character" w:default="1" w:styleId="26">
    <w:name w:val="Default Paragraph Font"/>
    <w:semiHidden/>
    <w:unhideWhenUsed/>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tabs>
        <w:tab w:val="clear" w:pos="377"/>
      </w:tabs>
      <w:ind w:left="1440"/>
      <w:jc w:val="left"/>
    </w:pPr>
    <w:rPr>
      <w:rFonts w:ascii="等线" w:eastAsia="等线"/>
      <w:sz w:val="18"/>
      <w:szCs w:val="18"/>
    </w:rPr>
  </w:style>
  <w:style w:type="paragraph" w:styleId="7">
    <w:name w:val="caption"/>
    <w:basedOn w:val="1"/>
    <w:next w:val="1"/>
    <w:semiHidden/>
    <w:unhideWhenUsed/>
    <w:qFormat/>
    <w:uiPriority w:val="0"/>
    <w:rPr>
      <w:rFonts w:ascii="Arial" w:hAnsi="Arial" w:eastAsia="黑体"/>
      <w:sz w:val="20"/>
    </w:rPr>
  </w:style>
  <w:style w:type="paragraph" w:styleId="8">
    <w:name w:val="annotation text"/>
    <w:basedOn w:val="1"/>
    <w:qFormat/>
    <w:uiPriority w:val="0"/>
    <w:pPr>
      <w:widowControl w:val="0"/>
      <w:jc w:val="left"/>
    </w:pPr>
    <w:rPr>
      <w:kern w:val="2"/>
      <w:sz w:val="21"/>
    </w:rPr>
  </w:style>
  <w:style w:type="paragraph" w:styleId="9">
    <w:name w:val="Body Text Indent"/>
    <w:link w:val="33"/>
    <w:qFormat/>
    <w:uiPriority w:val="0"/>
    <w:pPr>
      <w:spacing w:after="120"/>
      <w:ind w:left="420" w:leftChars="200"/>
    </w:pPr>
    <w:rPr>
      <w:rFonts w:ascii="Times New Roman" w:hAnsi="Times New Roman" w:eastAsia="宋体" w:cs="Times New Roman"/>
      <w:kern w:val="2"/>
      <w:sz w:val="21"/>
      <w:szCs w:val="24"/>
      <w:lang w:val="en-US" w:eastAsia="zh-CN" w:bidi="ar-SA"/>
    </w:rPr>
  </w:style>
  <w:style w:type="paragraph" w:styleId="10">
    <w:name w:val="toc 5"/>
    <w:basedOn w:val="1"/>
    <w:next w:val="1"/>
    <w:semiHidden/>
    <w:qFormat/>
    <w:uiPriority w:val="0"/>
    <w:pPr>
      <w:tabs>
        <w:tab w:val="clear" w:pos="377"/>
      </w:tabs>
      <w:ind w:left="960"/>
      <w:jc w:val="left"/>
    </w:pPr>
    <w:rPr>
      <w:rFonts w:ascii="等线" w:eastAsia="等线"/>
      <w:sz w:val="18"/>
      <w:szCs w:val="18"/>
    </w:rPr>
  </w:style>
  <w:style w:type="paragraph" w:styleId="11">
    <w:name w:val="toc 3"/>
    <w:basedOn w:val="1"/>
    <w:next w:val="1"/>
    <w:qFormat/>
    <w:uiPriority w:val="39"/>
    <w:pPr>
      <w:tabs>
        <w:tab w:val="clear" w:pos="377"/>
      </w:tabs>
      <w:ind w:left="480"/>
      <w:jc w:val="left"/>
    </w:pPr>
    <w:rPr>
      <w:rFonts w:ascii="等线"/>
      <w:iCs/>
      <w:szCs w:val="20"/>
    </w:rPr>
  </w:style>
  <w:style w:type="paragraph" w:styleId="12">
    <w:name w:val="Plain Text"/>
    <w:basedOn w:val="1"/>
    <w:link w:val="34"/>
    <w:qFormat/>
    <w:uiPriority w:val="0"/>
    <w:pPr>
      <w:widowControl w:val="0"/>
      <w:tabs>
        <w:tab w:val="clear" w:pos="377"/>
      </w:tabs>
      <w:spacing w:line="240" w:lineRule="auto"/>
    </w:pPr>
    <w:rPr>
      <w:rFonts w:ascii="宋体" w:hAnsi="Courier New" w:cs="Courier New"/>
      <w:kern w:val="2"/>
      <w:sz w:val="21"/>
      <w:szCs w:val="21"/>
    </w:rPr>
  </w:style>
  <w:style w:type="paragraph" w:styleId="13">
    <w:name w:val="toc 8"/>
    <w:basedOn w:val="1"/>
    <w:next w:val="1"/>
    <w:semiHidden/>
    <w:qFormat/>
    <w:uiPriority w:val="0"/>
    <w:pPr>
      <w:tabs>
        <w:tab w:val="clear" w:pos="377"/>
      </w:tabs>
      <w:ind w:left="1680"/>
      <w:jc w:val="left"/>
    </w:pPr>
    <w:rPr>
      <w:rFonts w:ascii="等线" w:eastAsia="等线"/>
      <w:sz w:val="18"/>
      <w:szCs w:val="18"/>
    </w:rPr>
  </w:style>
  <w:style w:type="paragraph" w:styleId="14">
    <w:name w:val="Balloon Text"/>
    <w:basedOn w:val="1"/>
    <w:link w:val="35"/>
    <w:qFormat/>
    <w:uiPriority w:val="0"/>
    <w:pPr>
      <w:spacing w:line="240" w:lineRule="auto"/>
    </w:pPr>
    <w:rPr>
      <w:sz w:val="18"/>
      <w:szCs w:val="18"/>
    </w:rPr>
  </w:style>
  <w:style w:type="paragraph" w:styleId="15">
    <w:name w:val="footer"/>
    <w:basedOn w:val="1"/>
    <w:link w:val="36"/>
    <w:qFormat/>
    <w:uiPriority w:val="99"/>
    <w:pPr>
      <w:tabs>
        <w:tab w:val="center" w:pos="4153"/>
        <w:tab w:val="right" w:pos="8306"/>
        <w:tab w:val="clear" w:pos="377"/>
      </w:tabs>
      <w:snapToGrid w:val="0"/>
      <w:spacing w:line="240" w:lineRule="auto"/>
      <w:jc w:val="left"/>
    </w:pPr>
    <w:rPr>
      <w:sz w:val="18"/>
      <w:szCs w:val="18"/>
    </w:rPr>
  </w:style>
  <w:style w:type="paragraph" w:styleId="16">
    <w:name w:val="header"/>
    <w:basedOn w:val="1"/>
    <w:qFormat/>
    <w:uiPriority w:val="0"/>
    <w:pPr>
      <w:pBdr>
        <w:bottom w:val="single" w:color="auto" w:sz="6" w:space="1"/>
      </w:pBdr>
      <w:tabs>
        <w:tab w:val="center" w:pos="4153"/>
        <w:tab w:val="right" w:pos="8306"/>
        <w:tab w:val="clear" w:pos="377"/>
      </w:tabs>
      <w:snapToGrid w:val="0"/>
      <w:spacing w:line="240" w:lineRule="auto"/>
      <w:jc w:val="center"/>
    </w:pPr>
    <w:rPr>
      <w:sz w:val="18"/>
      <w:szCs w:val="18"/>
    </w:rPr>
  </w:style>
  <w:style w:type="paragraph" w:styleId="17">
    <w:name w:val="toc 1"/>
    <w:basedOn w:val="1"/>
    <w:next w:val="1"/>
    <w:qFormat/>
    <w:uiPriority w:val="39"/>
    <w:pPr>
      <w:tabs>
        <w:tab w:val="clear" w:pos="377"/>
      </w:tabs>
      <w:spacing w:before="120" w:after="120"/>
      <w:jc w:val="left"/>
    </w:pPr>
    <w:rPr>
      <w:rFonts w:ascii="等线"/>
      <w:b/>
      <w:bCs/>
      <w:caps/>
      <w:szCs w:val="20"/>
    </w:rPr>
  </w:style>
  <w:style w:type="paragraph" w:styleId="18">
    <w:name w:val="toc 4"/>
    <w:basedOn w:val="1"/>
    <w:next w:val="1"/>
    <w:semiHidden/>
    <w:qFormat/>
    <w:uiPriority w:val="0"/>
    <w:pPr>
      <w:tabs>
        <w:tab w:val="clear" w:pos="377"/>
      </w:tabs>
      <w:ind w:left="720"/>
      <w:jc w:val="left"/>
    </w:pPr>
    <w:rPr>
      <w:rFonts w:ascii="等线" w:eastAsia="等线"/>
      <w:sz w:val="18"/>
      <w:szCs w:val="18"/>
    </w:rPr>
  </w:style>
  <w:style w:type="paragraph" w:styleId="19">
    <w:name w:val="footnote text"/>
    <w:basedOn w:val="1"/>
    <w:qFormat/>
    <w:uiPriority w:val="0"/>
    <w:pPr>
      <w:widowControl w:val="0"/>
      <w:snapToGrid w:val="0"/>
      <w:jc w:val="left"/>
    </w:pPr>
    <w:rPr>
      <w:kern w:val="2"/>
      <w:sz w:val="18"/>
      <w:szCs w:val="18"/>
    </w:rPr>
  </w:style>
  <w:style w:type="paragraph" w:styleId="20">
    <w:name w:val="toc 6"/>
    <w:basedOn w:val="1"/>
    <w:next w:val="1"/>
    <w:semiHidden/>
    <w:qFormat/>
    <w:uiPriority w:val="0"/>
    <w:pPr>
      <w:tabs>
        <w:tab w:val="clear" w:pos="377"/>
      </w:tabs>
      <w:ind w:left="1200"/>
      <w:jc w:val="left"/>
    </w:pPr>
    <w:rPr>
      <w:rFonts w:ascii="等线" w:eastAsia="等线"/>
      <w:sz w:val="18"/>
      <w:szCs w:val="18"/>
    </w:rPr>
  </w:style>
  <w:style w:type="paragraph" w:styleId="21">
    <w:name w:val="toc 2"/>
    <w:basedOn w:val="1"/>
    <w:next w:val="1"/>
    <w:qFormat/>
    <w:uiPriority w:val="39"/>
    <w:pPr>
      <w:tabs>
        <w:tab w:val="clear" w:pos="377"/>
      </w:tabs>
      <w:ind w:left="240"/>
      <w:jc w:val="left"/>
    </w:pPr>
    <w:rPr>
      <w:rFonts w:ascii="等线"/>
      <w:smallCaps/>
      <w:szCs w:val="20"/>
    </w:rPr>
  </w:style>
  <w:style w:type="paragraph" w:styleId="22">
    <w:name w:val="toc 9"/>
    <w:basedOn w:val="1"/>
    <w:next w:val="1"/>
    <w:semiHidden/>
    <w:qFormat/>
    <w:uiPriority w:val="0"/>
    <w:pPr>
      <w:tabs>
        <w:tab w:val="clear" w:pos="377"/>
      </w:tabs>
      <w:ind w:left="1920"/>
      <w:jc w:val="left"/>
    </w:pPr>
    <w:rPr>
      <w:rFonts w:ascii="等线" w:eastAsia="等线"/>
      <w:sz w:val="18"/>
      <w:szCs w:val="18"/>
    </w:rPr>
  </w:style>
  <w:style w:type="paragraph" w:styleId="23">
    <w:name w:val="Normal (Web)"/>
    <w:basedOn w:val="1"/>
    <w:qFormat/>
    <w:uiPriority w:val="0"/>
    <w:pPr>
      <w:tabs>
        <w:tab w:val="clear" w:pos="377"/>
      </w:tabs>
      <w:spacing w:before="100" w:beforeAutospacing="1" w:after="100" w:afterAutospacing="1" w:line="240" w:lineRule="auto"/>
      <w:jc w:val="left"/>
    </w:pPr>
    <w:rPr>
      <w:rFonts w:ascii="宋体" w:hAnsi="宋体" w:cs="宋体"/>
    </w:rPr>
  </w:style>
  <w:style w:type="table" w:styleId="25">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7">
    <w:name w:val="page number"/>
    <w:qFormat/>
    <w:uiPriority w:val="0"/>
  </w:style>
  <w:style w:type="character" w:styleId="28">
    <w:name w:val="Hyperlink"/>
    <w:qFormat/>
    <w:uiPriority w:val="99"/>
    <w:rPr>
      <w:color w:val="0000FF"/>
      <w:u w:val="single"/>
    </w:rPr>
  </w:style>
  <w:style w:type="character" w:styleId="29">
    <w:name w:val="annotation reference"/>
    <w:qFormat/>
    <w:uiPriority w:val="0"/>
    <w:rPr>
      <w:sz w:val="21"/>
      <w:szCs w:val="21"/>
    </w:rPr>
  </w:style>
  <w:style w:type="character" w:styleId="30">
    <w:name w:val="footnote reference"/>
    <w:basedOn w:val="26"/>
    <w:qFormat/>
    <w:uiPriority w:val="0"/>
    <w:rPr>
      <w:vertAlign w:val="superscript"/>
    </w:rPr>
  </w:style>
  <w:style w:type="character" w:customStyle="1" w:styleId="31">
    <w:name w:val="标题 1 字符"/>
    <w:link w:val="2"/>
    <w:qFormat/>
    <w:uiPriority w:val="0"/>
    <w:rPr>
      <w:rFonts w:ascii="黑体" w:hAnsi="黑体" w:eastAsia="黑体" w:cs="宋体"/>
      <w:bCs/>
      <w:kern w:val="44"/>
      <w:sz w:val="30"/>
      <w:szCs w:val="30"/>
    </w:rPr>
  </w:style>
  <w:style w:type="character" w:customStyle="1" w:styleId="32">
    <w:name w:val="标题 2 字符"/>
    <w:link w:val="3"/>
    <w:qFormat/>
    <w:uiPriority w:val="0"/>
    <w:rPr>
      <w:rFonts w:ascii="黑体" w:hAnsi="黑体" w:eastAsia="黑体" w:cs="宋体"/>
      <w:bCs/>
      <w:sz w:val="28"/>
      <w:szCs w:val="28"/>
    </w:rPr>
  </w:style>
  <w:style w:type="character" w:customStyle="1" w:styleId="33">
    <w:name w:val="正文文本缩进 字符"/>
    <w:link w:val="9"/>
    <w:qFormat/>
    <w:uiPriority w:val="0"/>
    <w:rPr>
      <w:rFonts w:ascii="Times New Roman" w:hAnsi="Times New Roman" w:eastAsia="宋体" w:cs="Times New Roman"/>
      <w:kern w:val="2"/>
      <w:sz w:val="21"/>
      <w:szCs w:val="24"/>
      <w:lang w:val="en-US" w:eastAsia="zh-CN" w:bidi="ar-SA"/>
    </w:rPr>
  </w:style>
  <w:style w:type="character" w:customStyle="1" w:styleId="34">
    <w:name w:val="纯文本 字符"/>
    <w:link w:val="12"/>
    <w:qFormat/>
    <w:uiPriority w:val="0"/>
    <w:rPr>
      <w:rFonts w:ascii="宋体" w:hAnsi="Courier New" w:cs="Courier New"/>
      <w:kern w:val="2"/>
      <w:sz w:val="21"/>
      <w:szCs w:val="21"/>
    </w:rPr>
  </w:style>
  <w:style w:type="character" w:customStyle="1" w:styleId="35">
    <w:name w:val="批注框文本 字符"/>
    <w:link w:val="14"/>
    <w:qFormat/>
    <w:uiPriority w:val="0"/>
    <w:rPr>
      <w:sz w:val="18"/>
      <w:szCs w:val="18"/>
    </w:rPr>
  </w:style>
  <w:style w:type="character" w:customStyle="1" w:styleId="36">
    <w:name w:val="页脚 字符"/>
    <w:link w:val="15"/>
    <w:qFormat/>
    <w:uiPriority w:val="99"/>
    <w:rPr>
      <w:sz w:val="18"/>
      <w:szCs w:val="18"/>
    </w:rPr>
  </w:style>
  <w:style w:type="paragraph" w:customStyle="1" w:styleId="37">
    <w:name w:val="_Style 2"/>
    <w:qFormat/>
    <w:uiPriority w:val="99"/>
    <w:pPr>
      <w:widowControl w:val="0"/>
      <w:spacing w:line="400" w:lineRule="exact"/>
      <w:ind w:firstLine="420" w:firstLineChars="200"/>
      <w:jc w:val="both"/>
    </w:pPr>
    <w:rPr>
      <w:rFonts w:ascii="Times New Roman" w:hAnsi="Times New Roman" w:eastAsia="宋体" w:cs="Times New Roman"/>
      <w:kern w:val="2"/>
      <w:sz w:val="24"/>
      <w:szCs w:val="24"/>
      <w:lang w:val="en-US" w:eastAsia="zh-CN" w:bidi="ar-SA"/>
    </w:rPr>
  </w:style>
  <w:style w:type="paragraph" w:customStyle="1" w:styleId="38">
    <w:name w:val="MDPI_5.1_figure_caption"/>
    <w:qFormat/>
    <w:uiPriority w:val="0"/>
    <w:pPr>
      <w:adjustRightInd w:val="0"/>
      <w:snapToGrid w:val="0"/>
      <w:spacing w:before="120" w:after="240" w:line="260" w:lineRule="atLeast"/>
      <w:ind w:left="425" w:right="425"/>
      <w:jc w:val="both"/>
    </w:pPr>
    <w:rPr>
      <w:rFonts w:ascii="Palatino Linotype" w:hAnsi="Palatino Linotype" w:eastAsia="Times New Roman" w:cs="Times New Roman"/>
      <w:color w:val="000000"/>
      <w:sz w:val="18"/>
      <w:lang w:val="en-US" w:eastAsia="de-DE" w:bidi="en-US"/>
    </w:rPr>
  </w:style>
  <w:style w:type="paragraph" w:customStyle="1" w:styleId="39">
    <w:name w:val="WPSOffice手动目录 1"/>
    <w:qFormat/>
    <w:uiPriority w:val="0"/>
    <w:rPr>
      <w:rFonts w:ascii="Times New Roman" w:hAnsi="Times New Roman" w:eastAsia="宋体" w:cs="Times New Roman"/>
      <w:lang w:val="en-US" w:eastAsia="zh-CN" w:bidi="ar-SA"/>
    </w:rPr>
  </w:style>
  <w:style w:type="paragraph" w:customStyle="1" w:styleId="40">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1">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42">
    <w:name w:val="TOC 标题1"/>
    <w:basedOn w:val="2"/>
    <w:next w:val="1"/>
    <w:qFormat/>
    <w:uiPriority w:val="39"/>
    <w:pPr>
      <w:tabs>
        <w:tab w:val="clear" w:pos="377"/>
      </w:tabs>
      <w:spacing w:before="240" w:beforeLines="0" w:after="0" w:afterLines="0" w:line="259" w:lineRule="auto"/>
      <w:ind w:firstLine="0" w:firstLineChars="0"/>
      <w:jc w:val="left"/>
      <w:outlineLvl w:val="9"/>
    </w:pPr>
    <w:rPr>
      <w:rFonts w:ascii="等线 Light" w:hAnsi="等线 Light" w:eastAsia="等线 Light" w:cs="Times New Roman"/>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9EF5789B-7574-4FC8-809C-4AF84AE02660}">
  <ds:schemaRefs/>
</ds:datastoreItem>
</file>

<file path=docProps/app.xml><?xml version="1.0" encoding="utf-8"?>
<Properties xmlns="http://schemas.openxmlformats.org/officeDocument/2006/extended-properties" xmlns:vt="http://schemas.openxmlformats.org/officeDocument/2006/docPropsVTypes">
  <Template>Normal.dotm</Template>
  <Company>swupl</Company>
  <Pages>8</Pages>
  <Words>3411</Words>
  <Characters>3423</Characters>
  <Lines>76</Lines>
  <Paragraphs>21</Paragraphs>
  <TotalTime>8</TotalTime>
  <ScaleCrop>false</ScaleCrop>
  <LinksUpToDate>false</LinksUpToDate>
  <CharactersWithSpaces>3425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2023-10-08T09:24:00Z</dcterms:created>
  <dc:creator>软件仓库</dc:creator>
  <cp:lastModifiedBy>张芮铭</cp:lastModifiedBy>
  <cp:lastPrinted>2023-10-09T12:58:00Z</cp:lastPrinted>
  <dcterms:modified xsi:type="dcterms:W3CDTF">2026-04-01T11:01:42Z</dcterms:modified>
  <dc:title>中图分类号：（四号楷体加黑）         密    级： （四号楷体加黑）</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F986CE54503C4E64A44E737EF8ECA02E_13</vt:lpwstr>
  </property>
  <property fmtid="{D5CDD505-2E9C-101B-9397-08002B2CF9AE}" pid="4" name="KSOTemplateDocerSaveRecord">
    <vt:lpwstr>eyJoZGlkIjoiYTA0MTQxMTdhZjQ0MmU2ZjhiMWI2ZTUzZDhjMjFjODYiLCJ1c2VySWQiOiIxMzU2MDY5NDg5In0=</vt:lpwstr>
  </property>
</Properties>
</file>