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76D93">
      <w:pPr>
        <w:jc w:val="center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140363C4">
      <w:pPr>
        <w:rPr>
          <w:sz w:val="24"/>
        </w:rPr>
      </w:pPr>
      <w:r>
        <w:rPr>
          <w:rFonts w:hint="eastAsia"/>
          <w:sz w:val="24"/>
        </w:rPr>
        <w:t>论文题目：科学·民主·依法：我国地方数据立法原则的检视与适用</w:t>
      </w:r>
    </w:p>
    <w:p w14:paraId="6117207E">
      <w:pPr>
        <w:rPr>
          <w:rFonts w:hint="eastAsia" w:eastAsia="宋体"/>
          <w:sz w:val="24"/>
          <w:lang w:val="en-US" w:eastAsia="zh-CN"/>
        </w:rPr>
      </w:pPr>
      <w:r>
        <w:rPr>
          <w:rFonts w:hint="eastAsia"/>
          <w:sz w:val="24"/>
        </w:rPr>
        <w:t xml:space="preserve">论文作者：                                  学生编辑： </w:t>
      </w:r>
      <w:r>
        <w:rPr>
          <w:rFonts w:hint="eastAsia"/>
          <w:sz w:val="24"/>
          <w:lang w:val="en-US" w:eastAsia="zh-CN"/>
        </w:rPr>
        <w:t>秦思乐</w:t>
      </w:r>
    </w:p>
    <w:tbl>
      <w:tblPr>
        <w:tblStyle w:val="4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4E28F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649" w:type="dxa"/>
          </w:tcPr>
          <w:p w14:paraId="4F46728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5CA3903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09E131AE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1F3B988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4C58703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77D554F4">
            <w:pPr>
              <w:rPr>
                <w:b/>
                <w:sz w:val="18"/>
                <w:szCs w:val="18"/>
              </w:rPr>
            </w:pPr>
          </w:p>
        </w:tc>
      </w:tr>
      <w:tr w14:paraId="6C24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49" w:type="dxa"/>
            <w:vMerge w:val="restart"/>
          </w:tcPr>
          <w:p w14:paraId="153A6073">
            <w:pPr>
              <w:jc w:val="center"/>
              <w:rPr>
                <w:sz w:val="18"/>
                <w:szCs w:val="18"/>
              </w:rPr>
            </w:pPr>
          </w:p>
          <w:p w14:paraId="7B92CBB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499EA85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6ADD3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3589363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BF1894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2C2D97C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331F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49" w:type="dxa"/>
            <w:vMerge w:val="continue"/>
          </w:tcPr>
          <w:p w14:paraId="54F5C04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2DD841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72201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2EA961F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6EF2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48BA9C1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A0380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353DD5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336041E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0ECD2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7E8E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649" w:type="dxa"/>
            <w:vMerge w:val="restart"/>
          </w:tcPr>
          <w:p w14:paraId="609448AB">
            <w:pPr>
              <w:rPr>
                <w:b/>
                <w:sz w:val="18"/>
                <w:szCs w:val="18"/>
              </w:rPr>
            </w:pPr>
          </w:p>
          <w:p w14:paraId="33B4BD3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37CC7C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3AE2E5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2D809F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A68BCD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F21AF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2A5DF17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71064098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C359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5E1436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488BA8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0D9274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15C4D39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3AF5366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59E2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49" w:type="dxa"/>
            <w:vMerge w:val="continue"/>
          </w:tcPr>
          <w:p w14:paraId="5E189AF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FD37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45AC3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4EDA27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1B7E5DD7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F7F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restart"/>
          </w:tcPr>
          <w:p w14:paraId="6919CB18">
            <w:pPr>
              <w:rPr>
                <w:b/>
                <w:sz w:val="18"/>
                <w:szCs w:val="18"/>
              </w:rPr>
            </w:pPr>
          </w:p>
          <w:p w14:paraId="1D9133F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6683087B">
            <w:pPr>
              <w:jc w:val="center"/>
              <w:rPr>
                <w:sz w:val="18"/>
                <w:szCs w:val="18"/>
              </w:rPr>
            </w:pPr>
          </w:p>
          <w:p w14:paraId="4BE945A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F21F1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644939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826376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1D28142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2599FCAD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13B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724EFEB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8E7B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42BD44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207A4F6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0F44E615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514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3F0EE70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9C2FCD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86BC95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2A1899C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0CD11C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3C6D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42CD65C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CC6442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327E1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551C08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2F9149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01EE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2F7C1DA3">
            <w:pPr>
              <w:jc w:val="center"/>
              <w:rPr>
                <w:b/>
                <w:sz w:val="18"/>
                <w:szCs w:val="18"/>
              </w:rPr>
            </w:pPr>
          </w:p>
          <w:p w14:paraId="4789CD3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0C923FA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1A18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C9F542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76CD41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511EB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1B8533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13B3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649" w:type="dxa"/>
            <w:vMerge w:val="continue"/>
          </w:tcPr>
          <w:p w14:paraId="1C5650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66AE1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57B4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68AE7D5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090A751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C27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49" w:type="dxa"/>
            <w:vMerge w:val="restart"/>
          </w:tcPr>
          <w:p w14:paraId="07B0F29F">
            <w:pPr>
              <w:jc w:val="center"/>
              <w:rPr>
                <w:b/>
                <w:sz w:val="18"/>
                <w:szCs w:val="18"/>
              </w:rPr>
            </w:pPr>
          </w:p>
          <w:p w14:paraId="2A58632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1BE09B2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12ACBB5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079B33A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681A232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F4A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649" w:type="dxa"/>
            <w:vMerge w:val="continue"/>
          </w:tcPr>
          <w:p w14:paraId="37EB8A2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2204C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C31B1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697EAE1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3BE946B4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3ABF8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5C3442F2">
            <w:pPr>
              <w:jc w:val="center"/>
              <w:rPr>
                <w:b/>
                <w:sz w:val="18"/>
                <w:szCs w:val="18"/>
              </w:rPr>
            </w:pPr>
          </w:p>
          <w:p w14:paraId="5BF915A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7DC09C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13D1B7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053B4C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264AABC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19ADC7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458C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604583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5E318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42B0FB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305B39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C7B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E1D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4" w:hRule="atLeast"/>
        </w:trPr>
        <w:tc>
          <w:tcPr>
            <w:tcW w:w="649" w:type="dxa"/>
            <w:vMerge w:val="continue"/>
          </w:tcPr>
          <w:p w14:paraId="0C6A95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06FC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71DB5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29CC4FC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BB71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64C6B05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5676C6B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  <w:bookmarkStart w:id="0" w:name="_GoBack"/>
            <w:r>
              <w:rPr>
                <w:rFonts w:hint="eastAsia"/>
                <w:sz w:val="18"/>
                <w:szCs w:val="18"/>
                <w:lang w:val="en-US" w:eastAsia="zh-CN"/>
              </w:rPr>
              <w:t>0</w:t>
            </w:r>
            <w:bookmarkEnd w:id="0"/>
          </w:p>
        </w:tc>
      </w:tr>
      <w:tr w14:paraId="3D86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B4FFB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6678A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退稿</w:t>
            </w:r>
          </w:p>
        </w:tc>
      </w:tr>
      <w:tr w14:paraId="021F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5B5181E4">
            <w:pPr>
              <w:jc w:val="center"/>
              <w:rPr>
                <w:sz w:val="18"/>
                <w:szCs w:val="18"/>
              </w:rPr>
            </w:pPr>
          </w:p>
          <w:p w14:paraId="13507755">
            <w:pPr>
              <w:jc w:val="center"/>
              <w:rPr>
                <w:sz w:val="18"/>
                <w:szCs w:val="18"/>
              </w:rPr>
            </w:pPr>
          </w:p>
          <w:p w14:paraId="15738E8F">
            <w:pPr>
              <w:jc w:val="center"/>
              <w:rPr>
                <w:sz w:val="18"/>
                <w:szCs w:val="18"/>
              </w:rPr>
            </w:pPr>
          </w:p>
          <w:p w14:paraId="24F3347D">
            <w:pPr>
              <w:jc w:val="center"/>
              <w:rPr>
                <w:sz w:val="18"/>
                <w:szCs w:val="18"/>
              </w:rPr>
            </w:pPr>
          </w:p>
          <w:p w14:paraId="01CBE083">
            <w:pPr>
              <w:jc w:val="center"/>
              <w:rPr>
                <w:sz w:val="18"/>
                <w:szCs w:val="18"/>
              </w:rPr>
            </w:pPr>
          </w:p>
          <w:p w14:paraId="50A855CC">
            <w:pPr>
              <w:jc w:val="center"/>
              <w:rPr>
                <w:sz w:val="18"/>
                <w:szCs w:val="18"/>
              </w:rPr>
            </w:pPr>
          </w:p>
          <w:p w14:paraId="72291768">
            <w:pPr>
              <w:jc w:val="center"/>
              <w:rPr>
                <w:sz w:val="18"/>
                <w:szCs w:val="18"/>
              </w:rPr>
            </w:pPr>
          </w:p>
          <w:p w14:paraId="54F099B5">
            <w:pPr>
              <w:jc w:val="center"/>
              <w:rPr>
                <w:sz w:val="18"/>
                <w:szCs w:val="18"/>
              </w:rPr>
            </w:pPr>
          </w:p>
          <w:p w14:paraId="59FD113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669BB9CE">
            <w:pPr>
              <w:keepNext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425" w:leftChars="0" w:hanging="425" w:firstLineChars="0"/>
              <w:textAlignment w:val="auto"/>
            </w:pPr>
            <w:r>
              <w:t>形式</w:t>
            </w:r>
            <w:r>
              <w:rPr>
                <w:rFonts w:hint="eastAsia"/>
                <w:lang w:val="en-US" w:eastAsia="zh-CN"/>
              </w:rPr>
              <w:t>方面</w:t>
            </w:r>
            <w:r>
              <w:t>，未</w:t>
            </w:r>
            <w:r>
              <w:rPr>
                <w:rFonts w:hint="eastAsia"/>
                <w:lang w:val="en-US" w:eastAsia="zh-CN"/>
              </w:rPr>
              <w:t>遵循</w:t>
            </w:r>
            <w:r>
              <w:t>匿名审稿规范，稿件中出现详细作者信息、项目信息</w:t>
            </w:r>
            <w:r>
              <w:rPr>
                <w:rFonts w:hint="eastAsia"/>
                <w:lang w:eastAsia="zh-CN"/>
              </w:rPr>
              <w:t>。</w:t>
            </w:r>
          </w:p>
          <w:p w14:paraId="78005894">
            <w:pPr>
              <w:keepNext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425" w:leftChars="0" w:hanging="425" w:firstLineChars="0"/>
              <w:textAlignment w:val="auto"/>
            </w:pPr>
            <w:r>
              <w:t>标题</w:t>
            </w:r>
            <w:r>
              <w:rPr>
                <w:rFonts w:hint="eastAsia"/>
                <w:lang w:val="en-US" w:eastAsia="zh-CN"/>
              </w:rPr>
              <w:t>方面</w:t>
            </w:r>
            <w:r>
              <w:t>，</w:t>
            </w:r>
            <w:r>
              <w:rPr>
                <w:rFonts w:hint="eastAsia"/>
                <w:lang w:eastAsia="zh-CN"/>
              </w:rPr>
              <w:t>“</w:t>
            </w:r>
            <w:r>
              <w:t>科学·民主·依法</w:t>
            </w:r>
            <w:r>
              <w:rPr>
                <w:rFonts w:hint="eastAsia"/>
                <w:lang w:eastAsia="zh-CN"/>
              </w:rPr>
              <w:t>”</w:t>
            </w:r>
            <w:r>
              <w:t>采取圆点间隔，是否规范，可商榷。</w:t>
            </w:r>
          </w:p>
          <w:p w14:paraId="6886CF61">
            <w:pPr>
              <w:keepNext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425" w:leftChars="0" w:hanging="425" w:firstLineChars="0"/>
              <w:textAlignment w:val="auto"/>
            </w:pPr>
            <w:r>
              <w:t>创新性</w:t>
            </w:r>
            <w:r>
              <w:rPr>
                <w:rFonts w:hint="eastAsia"/>
                <w:lang w:val="en-US" w:eastAsia="zh-CN"/>
              </w:rPr>
              <w:t>方面</w:t>
            </w:r>
            <w:r>
              <w:t>，科学立法、民主立法、依法立法，是《立法法》规定的宏观指导原则，它们适用于任何领域的立法。把数据立法装进这个框里，形式整洁，但实质性论证不足。</w:t>
            </w:r>
          </w:p>
          <w:p w14:paraId="20A086E6">
            <w:pPr>
              <w:keepNext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425" w:leftChars="0" w:hanging="425" w:firstLineChars="0"/>
              <w:textAlignment w:val="auto"/>
            </w:pPr>
            <w:r>
              <w:t>结构</w:t>
            </w:r>
            <w:r>
              <w:rPr>
                <w:rFonts w:hint="eastAsia"/>
                <w:lang w:val="en-US" w:eastAsia="zh-CN"/>
              </w:rPr>
              <w:t>方面</w:t>
            </w:r>
            <w:r>
              <w:t>，科学立法、民主立法、依法立法，三者之间的关系是什么，在数据领域遵循这一框架的必要性和局限性是什么，具体在本文的逻辑框架中处于什么关系，有待厘清。目前，三者的出现只是并联，未见串联。</w:t>
            </w:r>
            <w:r>
              <w:rPr>
                <w:rFonts w:hint="eastAsia"/>
              </w:rPr>
              <w:t>文章缺乏一以贯之的问题意识作为锚点</w:t>
            </w:r>
            <w:r>
              <w:rPr>
                <w:rFonts w:hint="eastAsia"/>
                <w:lang w:eastAsia="zh-CN"/>
              </w:rPr>
              <w:t>。</w:t>
            </w:r>
          </w:p>
          <w:p w14:paraId="20966DF6">
            <w:pPr>
              <w:keepNext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425" w:leftChars="0" w:hanging="425" w:firstLineChars="0"/>
              <w:textAlignment w:val="auto"/>
            </w:pPr>
            <w:r>
              <w:t>论证方面，</w:t>
            </w:r>
            <w:r>
              <w:rPr>
                <w:rFonts w:hint="eastAsia"/>
                <w:lang w:val="en-US" w:eastAsia="zh-CN"/>
              </w:rPr>
              <w:t>第一，</w:t>
            </w:r>
            <w:r>
              <w:t>例如，民主立法层面，关于为何公众对数据立法参与呈现消极态势，不是法学问题，更像是政治学、社会学或传播学的实证问题。文章虽有集体行动困境等理论的引入，但篇幅不多，总体缺少原创性突破。</w:t>
            </w:r>
            <w:r>
              <w:rPr>
                <w:rFonts w:hint="eastAsia"/>
                <w:lang w:val="en-US" w:eastAsia="zh-CN"/>
              </w:rPr>
              <w:t>第二，</w:t>
            </w:r>
            <w:r>
              <w:t>作者有意识地引入社会控制、中华民族共同体意识、集体行动困境等多元理论，以期深化论证，其学术视野值得肯定。然而，文章在理论运用上略显庞杂，多元理论的并置有时显得零散或跳跃，未能完全融合成一个统一的分析框架，理论之间缺乏系统整合。同时，部分理论未能完全内化为论证的有机组成部分，理论阐述与具体的立法原则指导、制度设计之间结合度有待提升。例如，在民主立法部分，从</w:t>
            </w:r>
            <w:r>
              <w:rPr>
                <w:rFonts w:hint="eastAsia"/>
                <w:lang w:eastAsia="zh-CN"/>
              </w:rPr>
              <w:t>“</w:t>
            </w:r>
            <w:r>
              <w:t>集体行动困境</w:t>
            </w:r>
            <w:r>
              <w:rPr>
                <w:rFonts w:hint="eastAsia"/>
                <w:lang w:eastAsia="zh-CN"/>
              </w:rPr>
              <w:t>”</w:t>
            </w:r>
            <w:r>
              <w:t>到</w:t>
            </w:r>
            <w:r>
              <w:rPr>
                <w:rFonts w:hint="eastAsia"/>
                <w:lang w:eastAsia="zh-CN"/>
              </w:rPr>
              <w:t>“</w:t>
            </w:r>
            <w:r>
              <w:t>社会控制</w:t>
            </w:r>
            <w:r>
              <w:rPr>
                <w:rFonts w:hint="eastAsia"/>
                <w:lang w:eastAsia="zh-CN"/>
              </w:rPr>
              <w:t>”</w:t>
            </w:r>
            <w:r>
              <w:t>（社会学理论），突然跳到了</w:t>
            </w:r>
            <w:r>
              <w:rPr>
                <w:rFonts w:hint="eastAsia"/>
                <w:lang w:eastAsia="zh-CN"/>
              </w:rPr>
              <w:t>“</w:t>
            </w:r>
            <w:r>
              <w:t>中华民族共同体意识</w:t>
            </w:r>
            <w:r>
              <w:rPr>
                <w:rFonts w:hint="eastAsia"/>
                <w:lang w:eastAsia="zh-CN"/>
              </w:rPr>
              <w:t>”</w:t>
            </w:r>
            <w:r>
              <w:t>（政治学/民族学概念），容易使读者产生困惑。</w:t>
            </w:r>
            <w:r>
              <w:rPr>
                <w:rFonts w:hint="eastAsia"/>
                <w:lang w:val="en-US" w:eastAsia="zh-CN"/>
              </w:rPr>
              <w:t>此外，有时存在为了拓展理论而脱离主线的情况。</w:t>
            </w:r>
          </w:p>
          <w:p w14:paraId="3A08E402">
            <w:pPr>
              <w:keepNext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="0" w:afterAutospacing="1"/>
              <w:ind w:left="425" w:leftChars="0" w:hanging="425" w:firstLineChars="0"/>
              <w:textAlignment w:val="auto"/>
              <w:rPr>
                <w:sz w:val="18"/>
                <w:szCs w:val="18"/>
              </w:rPr>
            </w:pPr>
            <w:r>
              <w:t>结论方面，将法制统一的复杂价值判断，简化为条文重复率的百分比，在方法论上缺乏法理基础与实证支撑。立法质量是复杂的质性问题，无法被简化为机械的数学指标。创新空间与重复率有无必然联系，可商榷。区间的确立依据也值得商榷，样本选择的代表性和科学性待论证。</w:t>
            </w:r>
          </w:p>
        </w:tc>
      </w:tr>
    </w:tbl>
    <w:p w14:paraId="7624B1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255BEA"/>
    <w:multiLevelType w:val="singleLevel"/>
    <w:tmpl w:val="CE255B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F8"/>
    <w:rsid w:val="00BB4F5D"/>
    <w:rsid w:val="00C17DEA"/>
    <w:rsid w:val="00C2247E"/>
    <w:rsid w:val="00C749F8"/>
    <w:rsid w:val="00CF60D9"/>
    <w:rsid w:val="00DD4CD6"/>
    <w:rsid w:val="2220128B"/>
    <w:rsid w:val="443F41B2"/>
    <w:rsid w:val="4B425EF7"/>
    <w:rsid w:val="7AC4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530</Words>
  <Characters>586</Characters>
  <Lines>5</Lines>
  <Paragraphs>1</Paragraphs>
  <TotalTime>8</TotalTime>
  <ScaleCrop>false</ScaleCrop>
  <LinksUpToDate>false</LinksUpToDate>
  <CharactersWithSpaces>621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2024-01-10T00:17:00Z</dcterms:created>
  <dc:creator>admin</dc:creator>
  <cp:lastModifiedBy>一树花开</cp:lastModifiedBy>
  <dcterms:modified xsi:type="dcterms:W3CDTF">2026-04-04T04:16:43Z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8A3592F3A5854B09B6334720E843ACC8_13</vt:lpwstr>
  </property>
  <property fmtid="{D5CDD505-2E9C-101B-9397-08002B2CF9AE}" pid="4" name="KSOTemplateDocerSaveRecord">
    <vt:lpwstr>eyJoZGlkIjoiZWNkMTU2ZmJmMmUxMzIxYzMwOTc1YjE2MGRlODYwMDEiLCJ1c2VySWQiOiI0NjczMTU1OTEifQ==</vt:lpwstr>
  </property>
</Properties>
</file>