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ink/ink1.xml" ContentType="application/inkml+xml"/>
  <Override PartName="/word/ink/ink2.xml" ContentType="application/inkml+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170B50">
      <w:pPr>
        <w:keepNext w:val="0"/>
        <w:keepLines w:val="0"/>
        <w:pageBreakBefore w:val="0"/>
        <w:widowControl w:val="0"/>
        <w:kinsoku/>
        <w:wordWrap/>
        <w:overflowPunct/>
        <w:topLinePunct w:val="0"/>
        <w:autoSpaceDE/>
        <w:autoSpaceDN/>
        <w:bidi w:val="0"/>
        <w:adjustRightInd/>
        <w:snapToGrid/>
        <w:spacing w:line="480" w:lineRule="auto"/>
        <w:jc w:val="center"/>
        <w:textAlignment w:val="auto"/>
        <w:outlineLvl w:val="0"/>
        <w:rPr>
          <w:rFonts w:hint="eastAsia"/>
          <w:b w:val="0"/>
          <w:bCs w:val="0"/>
          <w:color w:val="auto"/>
          <w:sz w:val="24"/>
          <w:szCs w:val="32"/>
          <w:lang w:val="en-US" w:eastAsia="zh-CN"/>
        </w:rPr>
      </w:pPr>
      <w:r>
        <w:rPr>
          <w:rFonts w:hint="eastAsia"/>
          <w:b/>
          <w:bCs/>
          <w:color w:val="auto"/>
          <w:sz w:val="36"/>
          <w:szCs w:val="44"/>
          <w:lang w:val="en-US" w:eastAsia="zh-CN"/>
        </w:rPr>
        <w:t>科学·民主·依法：</w:t>
      </w:r>
      <w:r>
        <w:rPr>
          <w:rFonts w:hint="default"/>
          <w:b/>
          <w:bCs/>
          <w:color w:val="auto"/>
          <w:sz w:val="36"/>
          <w:szCs w:val="44"/>
          <w:lang w:val="en-US" w:eastAsia="zh-CN"/>
        </w:rPr>
        <w:t>我国地方数据立法</w:t>
      </w:r>
      <w:r>
        <w:rPr>
          <w:rFonts w:hint="eastAsia"/>
          <w:b/>
          <w:bCs/>
          <w:color w:val="auto"/>
          <w:sz w:val="36"/>
          <w:szCs w:val="44"/>
          <w:lang w:val="en-US" w:eastAsia="zh-CN"/>
        </w:rPr>
        <w:t>原则的检视</w:t>
      </w:r>
      <w:r>
        <w:rPr>
          <w:rFonts w:hint="default"/>
          <w:b/>
          <w:bCs/>
          <w:color w:val="auto"/>
          <w:sz w:val="36"/>
          <w:szCs w:val="44"/>
          <w:lang w:val="en-US" w:eastAsia="zh-CN"/>
        </w:rPr>
        <w:t>与</w:t>
      </w:r>
      <w:r>
        <w:rPr>
          <w:rFonts w:hint="eastAsia"/>
          <w:b/>
          <w:bCs/>
          <w:color w:val="auto"/>
          <w:sz w:val="36"/>
          <w:szCs w:val="44"/>
          <w:lang w:val="en-US" w:eastAsia="zh-CN"/>
        </w:rPr>
        <w:t>适用</w:t>
      </w:r>
    </w:p>
    <w:p w14:paraId="3C346405">
      <w:pPr>
        <w:keepNext w:val="0"/>
        <w:pageBreakBefore w:val="0"/>
        <w:kinsoku/>
        <w:wordWrap/>
        <w:overflowPunct/>
        <w:topLinePunct w:val="0"/>
        <w:autoSpaceDE/>
        <w:autoSpaceDN/>
        <w:bidi w:val="0"/>
        <w:adjustRightInd/>
        <w:snapToGrid w:val="0"/>
        <w:spacing w:line="360" w:lineRule="auto"/>
        <w:jc w:val="center"/>
        <w:textAlignment w:val="auto"/>
        <w:outlineLvl w:val="0"/>
        <w:rPr>
          <w:rFonts w:hint="eastAsia"/>
          <w:b w:val="0"/>
          <w:bCs w:val="0"/>
          <w:color w:val="auto"/>
          <w:sz w:val="24"/>
          <w:szCs w:val="32"/>
          <w:lang w:val="en-US" w:eastAsia="zh-CN"/>
        </w:rPr>
      </w:pPr>
    </w:p>
    <w:p w14:paraId="26470682">
      <w:pPr>
        <w:keepNext w:val="0"/>
        <w:pageBreakBefore w:val="0"/>
        <w:kinsoku/>
        <w:wordWrap/>
        <w:overflowPunct/>
        <w:topLinePunct w:val="0"/>
        <w:autoSpaceDE/>
        <w:autoSpaceDN/>
        <w:bidi w:val="0"/>
        <w:adjustRightInd/>
        <w:snapToGrid w:val="0"/>
        <w:spacing w:line="360" w:lineRule="auto"/>
        <w:jc w:val="center"/>
        <w:textAlignment w:val="auto"/>
        <w:outlineLvl w:val="0"/>
        <w:rPr>
          <w:rFonts w:hint="default"/>
          <w:b w:val="0"/>
          <w:bCs w:val="0"/>
          <w:color w:val="auto"/>
          <w:sz w:val="24"/>
          <w:szCs w:val="32"/>
          <w:lang w:val="en-US" w:eastAsia="zh-CN"/>
        </w:rPr>
      </w:pPr>
      <w:r>
        <w:rPr>
          <w:rFonts w:hint="eastAsia"/>
          <w:b w:val="0"/>
          <w:bCs w:val="0"/>
          <w:color w:val="auto"/>
          <w:sz w:val="24"/>
          <w:szCs w:val="32"/>
          <w:lang w:val="en-US" w:eastAsia="zh-CN"/>
        </w:rPr>
        <w:t>何厚仪</w:t>
      </w:r>
    </w:p>
    <w:p w14:paraId="4DACA5B1">
      <w:pPr>
        <w:keepNext w:val="0"/>
        <w:pageBreakBefore w:val="0"/>
        <w:kinsoku/>
        <w:wordWrap/>
        <w:overflowPunct/>
        <w:topLinePunct w:val="0"/>
        <w:autoSpaceDE/>
        <w:autoSpaceDN/>
        <w:bidi w:val="0"/>
        <w:adjustRightInd/>
        <w:snapToGrid w:val="0"/>
        <w:spacing w:line="360" w:lineRule="auto"/>
        <w:ind w:firstLine="480" w:firstLineChars="200"/>
        <w:textAlignment w:val="auto"/>
        <w:rPr>
          <w:rFonts w:ascii="宋体" w:hAnsi="宋体" w:eastAsia="宋体" w:cs="宋体"/>
          <w:color w:val="auto"/>
          <w:sz w:val="24"/>
          <w:highlight w:val="yellow"/>
        </w:rPr>
      </w:pPr>
      <w:bookmarkStart w:id="2" w:name="_GoBack"/>
      <w:bookmarkEnd w:id="2"/>
    </w:p>
    <w:p w14:paraId="3B96FCDF">
      <w:pPr>
        <w:keepNext w:val="0"/>
        <w:pageBreakBefore w:val="0"/>
        <w:kinsoku/>
        <w:wordWrap/>
        <w:overflowPunct/>
        <w:topLinePunct w:val="0"/>
        <w:autoSpaceDE/>
        <w:autoSpaceDN/>
        <w:bidi w:val="0"/>
        <w:adjustRightInd/>
        <w:snapToGrid w:val="0"/>
        <w:spacing w:line="360" w:lineRule="auto"/>
        <w:ind w:firstLine="482" w:firstLineChars="200"/>
        <w:textAlignment w:val="auto"/>
        <w:rPr>
          <w:rFonts w:hint="eastAsia" w:ascii="宋体" w:hAnsi="宋体" w:eastAsia="宋体" w:cs="宋体"/>
          <w:b/>
          <w:bCs/>
          <w:color w:val="auto"/>
          <w:sz w:val="24"/>
          <w:lang w:val="en-US" w:eastAsia="zh-CN"/>
        </w:rPr>
      </w:pPr>
    </w:p>
    <w:p w14:paraId="3419C4C5">
      <w:pPr>
        <w:keepNext w:val="0"/>
        <w:pageBreakBefore w:val="0"/>
        <w:kinsoku/>
        <w:wordWrap/>
        <w:overflowPunct/>
        <w:topLinePunct w:val="0"/>
        <w:autoSpaceDE/>
        <w:autoSpaceDN/>
        <w:bidi w:val="0"/>
        <w:adjustRightInd/>
        <w:snapToGrid w:val="0"/>
        <w:spacing w:line="360" w:lineRule="auto"/>
        <w:ind w:firstLine="482" w:firstLineChars="200"/>
        <w:textAlignment w:val="auto"/>
        <w:rPr>
          <w:rFonts w:hint="eastAsia" w:ascii="宋体" w:hAnsi="宋体" w:eastAsia="宋体" w:cs="宋体"/>
          <w:b/>
          <w:bCs/>
          <w:color w:val="auto"/>
          <w:sz w:val="24"/>
        </w:rPr>
      </w:pPr>
      <w:r>
        <w:rPr>
          <w:rFonts w:hint="eastAsia" w:ascii="宋体" w:hAnsi="宋体" w:eastAsia="宋体" w:cs="宋体"/>
          <w:b/>
          <w:bCs/>
          <w:color w:val="auto"/>
          <w:sz w:val="24"/>
          <w:lang w:val="en-US" w:eastAsia="zh-CN"/>
        </w:rPr>
        <w:t>摘要：</w:t>
      </w:r>
      <w:r>
        <w:rPr>
          <w:rFonts w:hint="eastAsia" w:ascii="宋体" w:hAnsi="宋体" w:eastAsia="宋体" w:cs="宋体"/>
          <w:color w:val="auto"/>
          <w:sz w:val="24"/>
          <w:lang w:val="en-US" w:eastAsia="zh-CN"/>
        </w:rPr>
        <w:t>地方层面数据立法至今面临立法原则研究的理论空场。由立法学基本逻辑观之，地方数据立法与其他法律部门的立法基本原则具备同构性，前者的制定、实施同样需遵循科学立法、民主立法、依法立法的</w:t>
      </w:r>
      <w:r>
        <w:rPr>
          <w:rFonts w:hint="eastAsia" w:ascii="宋体" w:hAnsi="宋体" w:eastAsia="宋体" w:cs="宋体"/>
          <w:color w:val="auto"/>
          <w:sz w:val="24"/>
          <w:lang w:val="en-US" w:eastAsia="zh-CN"/>
        </w:rPr>
        <w:t>普适性立法原则</w:t>
      </w:r>
      <w:r>
        <w:rPr>
          <w:rFonts w:hint="eastAsia" w:ascii="宋体" w:hAnsi="宋体" w:eastAsia="宋体" w:cs="宋体"/>
          <w:color w:val="auto"/>
          <w:sz w:val="24"/>
          <w:lang w:val="en-US" w:eastAsia="zh-CN"/>
        </w:rPr>
        <w:t>。在具体适用场景中，该原则体系衍生的核心矛盾集中体现为三个维度：在科学立法上，地方数据立法面临如何确定适配本地数据治理需求的立法模式“选择困难”；在民主立法上，社会公众陷于地方数据立法参与意愿低迷与参与效能低下的奥尔森困境；在依法立法上，地方数据立法“地方性”特质彰显不足进而酿成同质化严重的“平庸之恶”。尚未完成数据立法创制的地方立法机关可尝试跳出非此即彼的思维定式，根据客观条件的转移，灵活适用“准分散”的数据立法模式；以“社会控制”机制为媒介，以激励机制为起点，从根源上提高地方数据立法的公众参与积极性；在保持法制统一与地方创新双重价值适度张力的基础上，将地方数据</w:t>
      </w:r>
      <w:r>
        <w:rPr>
          <w:rFonts w:hint="eastAsia" w:ascii="宋体" w:hAnsi="宋体" w:eastAsia="宋体" w:cs="宋体"/>
          <w:color w:val="auto"/>
          <w:sz w:val="24"/>
          <w:lang w:val="en-US" w:eastAsia="zh-CN"/>
        </w:rPr>
        <w:t>立法条文重复率量化在</w:t>
      </w:r>
      <w:r>
        <w:rPr>
          <w:rFonts w:hint="eastAsia" w:ascii="Times New Roman" w:hAnsi="Times New Roman" w:eastAsia="宋体" w:cs="Times New Roman"/>
          <w:color w:val="auto"/>
          <w:sz w:val="24"/>
          <w:lang w:val="en-US" w:eastAsia="zh-CN"/>
        </w:rPr>
        <w:t xml:space="preserve">3.3% - </w:t>
      </w:r>
      <w:r>
        <w:rPr>
          <w:rFonts w:hint="default" w:ascii="Times New Roman" w:hAnsi="Times New Roman" w:eastAsia="宋体" w:cs="Times New Roman"/>
          <w:color w:val="auto"/>
          <w:sz w:val="24"/>
          <w:lang w:val="en-US" w:eastAsia="zh-CN"/>
        </w:rPr>
        <w:t>12.2 %</w:t>
      </w:r>
      <w:r>
        <w:rPr>
          <w:rFonts w:hint="eastAsia" w:ascii="宋体" w:hAnsi="宋体" w:eastAsia="宋体" w:cs="宋体"/>
          <w:color w:val="auto"/>
          <w:sz w:val="24"/>
          <w:lang w:val="en-US" w:eastAsia="zh-CN"/>
        </w:rPr>
        <w:t>的合理区间。</w:t>
      </w:r>
    </w:p>
    <w:p w14:paraId="26190703">
      <w:pPr>
        <w:keepNext w:val="0"/>
        <w:pageBreakBefore w:val="0"/>
        <w:kinsoku/>
        <w:wordWrap/>
        <w:overflowPunct/>
        <w:topLinePunct w:val="0"/>
        <w:autoSpaceDE/>
        <w:autoSpaceDN/>
        <w:bidi w:val="0"/>
        <w:adjustRightInd/>
        <w:snapToGrid w:val="0"/>
        <w:spacing w:line="360" w:lineRule="auto"/>
        <w:ind w:firstLine="482" w:firstLineChars="200"/>
        <w:textAlignment w:val="auto"/>
        <w:rPr>
          <w:rFonts w:hint="eastAsia" w:ascii="宋体" w:hAnsi="宋体" w:eastAsia="宋体" w:cs="宋体"/>
          <w:color w:val="auto"/>
          <w:sz w:val="24"/>
          <w:lang w:val="en-US" w:eastAsia="zh-CN"/>
        </w:rPr>
      </w:pPr>
      <w:r>
        <w:rPr>
          <w:rFonts w:hint="eastAsia" w:ascii="宋体" w:hAnsi="宋体" w:eastAsia="宋体" w:cs="宋体"/>
          <w:b/>
          <w:bCs/>
          <w:color w:val="auto"/>
          <w:sz w:val="24"/>
          <w:lang w:val="en-US" w:eastAsia="zh-CN"/>
        </w:rPr>
        <w:t>关键词：</w:t>
      </w:r>
      <w:r>
        <w:rPr>
          <w:rFonts w:hint="eastAsia" w:ascii="宋体" w:hAnsi="宋体" w:eastAsia="宋体" w:cs="宋体"/>
          <w:color w:val="auto"/>
          <w:sz w:val="24"/>
          <w:lang w:val="en-US" w:eastAsia="zh-CN"/>
        </w:rPr>
        <w:t>地方</w:t>
      </w:r>
      <w:r>
        <w:rPr>
          <w:rFonts w:hint="eastAsia" w:ascii="宋体" w:hAnsi="宋体" w:eastAsia="宋体" w:cs="宋体"/>
          <w:color w:val="auto"/>
          <w:sz w:val="24"/>
        </w:rPr>
        <w:t>数据</w:t>
      </w:r>
      <w:r>
        <w:rPr>
          <w:rFonts w:hint="eastAsia" w:ascii="宋体" w:hAnsi="宋体" w:eastAsia="宋体" w:cs="宋体"/>
          <w:color w:val="auto"/>
          <w:sz w:val="24"/>
          <w:lang w:val="en-US" w:eastAsia="zh-CN"/>
        </w:rPr>
        <w:t>立法</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立法原则</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准</w:t>
      </w:r>
      <w:r>
        <w:rPr>
          <w:rFonts w:hint="eastAsia" w:ascii="宋体" w:hAnsi="宋体" w:eastAsia="宋体" w:cs="宋体"/>
          <w:color w:val="auto"/>
          <w:sz w:val="24"/>
        </w:rPr>
        <w:t>分散</w:t>
      </w:r>
      <w:r>
        <w:rPr>
          <w:rFonts w:hint="eastAsia" w:ascii="宋体" w:hAnsi="宋体" w:eastAsia="宋体" w:cs="宋体"/>
          <w:color w:val="auto"/>
          <w:sz w:val="24"/>
          <w:lang w:eastAsia="zh-CN"/>
        </w:rPr>
        <w:t>”</w:t>
      </w:r>
      <w:r>
        <w:rPr>
          <w:rFonts w:hint="eastAsia" w:ascii="宋体" w:hAnsi="宋体" w:eastAsia="宋体" w:cs="宋体"/>
          <w:color w:val="auto"/>
          <w:sz w:val="24"/>
        </w:rPr>
        <w:t>立法</w:t>
      </w:r>
      <w:r>
        <w:rPr>
          <w:rFonts w:hint="eastAsia" w:ascii="宋体" w:hAnsi="宋体" w:eastAsia="宋体" w:cs="宋体"/>
          <w:color w:val="auto"/>
          <w:sz w:val="24"/>
          <w:lang w:val="en-US" w:eastAsia="zh-CN"/>
        </w:rPr>
        <w:t>模式</w:t>
      </w:r>
      <w:r>
        <w:rPr>
          <w:rFonts w:hint="eastAsia" w:ascii="宋体" w:hAnsi="宋体" w:eastAsia="宋体" w:cs="宋体"/>
          <w:color w:val="auto"/>
          <w:sz w:val="24"/>
        </w:rPr>
        <w:t>；</w:t>
      </w:r>
      <w:r>
        <w:rPr>
          <w:rFonts w:hint="eastAsia" w:ascii="宋体" w:hAnsi="宋体" w:eastAsia="宋体" w:cs="宋体"/>
          <w:color w:val="auto"/>
          <w:sz w:val="24"/>
          <w:lang w:val="en-US" w:eastAsia="zh-CN"/>
        </w:rPr>
        <w:t>立法重复率</w:t>
      </w:r>
    </w:p>
    <w:p w14:paraId="73DE101C">
      <w:pPr>
        <w:keepNext w:val="0"/>
        <w:pageBreakBefore w:val="0"/>
        <w:kinsoku/>
        <w:wordWrap/>
        <w:overflowPunct/>
        <w:topLinePunct w:val="0"/>
        <w:autoSpaceDE/>
        <w:autoSpaceDN/>
        <w:bidi w:val="0"/>
        <w:adjustRightInd/>
        <w:snapToGrid w:val="0"/>
        <w:spacing w:line="360" w:lineRule="auto"/>
        <w:ind w:firstLine="482" w:firstLineChars="200"/>
        <w:textAlignment w:val="auto"/>
        <w:rPr>
          <w:rFonts w:hint="eastAsia" w:ascii="宋体" w:hAnsi="宋体" w:eastAsia="宋体" w:cs="宋体"/>
          <w:color w:val="auto"/>
          <w:sz w:val="24"/>
          <w:lang w:val="en-US" w:eastAsia="zh-CN"/>
        </w:rPr>
      </w:pPr>
      <w:r>
        <w:rPr>
          <w:rFonts w:hint="eastAsia" w:ascii="宋体" w:hAnsi="宋体" w:eastAsia="宋体" w:cs="宋体"/>
          <w:b/>
          <w:bCs/>
          <w:color w:val="auto"/>
          <w:sz w:val="24"/>
          <w:lang w:val="en-US" w:eastAsia="zh-CN"/>
        </w:rPr>
        <w:t>基金项目</w:t>
      </w:r>
      <w:r>
        <w:rPr>
          <w:rFonts w:hint="eastAsia" w:ascii="宋体" w:hAnsi="宋体" w:eastAsia="宋体" w:cs="宋体"/>
          <w:color w:val="auto"/>
          <w:sz w:val="24"/>
          <w:lang w:val="en-US" w:eastAsia="zh-CN"/>
        </w:rPr>
        <w:t>：2024年新疆大学优秀博士生创新项目“数据安全理论与实践问题研究”（XJU2024BS026）研究成果。</w:t>
      </w:r>
    </w:p>
    <w:p w14:paraId="41D549D3">
      <w:pPr>
        <w:keepNext w:val="0"/>
        <w:pageBreakBefore w:val="0"/>
        <w:kinsoku/>
        <w:wordWrap/>
        <w:overflowPunct/>
        <w:topLinePunct w:val="0"/>
        <w:autoSpaceDE/>
        <w:autoSpaceDN/>
        <w:bidi w:val="0"/>
        <w:adjustRightInd/>
        <w:snapToGrid w:val="0"/>
        <w:spacing w:line="360" w:lineRule="auto"/>
        <w:ind w:firstLine="482" w:firstLineChars="200"/>
        <w:textAlignment w:val="auto"/>
        <w:rPr>
          <w:rFonts w:hint="default" w:ascii="宋体" w:hAnsi="宋体" w:eastAsia="宋体" w:cs="宋体"/>
          <w:color w:val="auto"/>
          <w:sz w:val="24"/>
          <w:lang w:val="en-US" w:eastAsia="zh-CN"/>
        </w:rPr>
      </w:pPr>
      <w:r>
        <w:rPr>
          <w:rFonts w:hint="eastAsia" w:ascii="宋体" w:hAnsi="宋体" w:eastAsia="宋体" w:cs="宋体"/>
          <w:b/>
          <w:bCs/>
          <w:color w:val="auto"/>
          <w:sz w:val="24"/>
          <w:lang w:val="en-US" w:eastAsia="zh-CN"/>
        </w:rPr>
        <w:t>作者</w:t>
      </w:r>
      <w:r>
        <w:rPr>
          <w:rFonts w:hint="eastAsia" w:ascii="宋体" w:hAnsi="宋体" w:cs="宋体"/>
          <w:b/>
          <w:bCs/>
          <w:color w:val="auto"/>
          <w:sz w:val="24"/>
          <w:lang w:val="en-US" w:eastAsia="zh-CN"/>
        </w:rPr>
        <w:t>信息</w:t>
      </w:r>
      <w:r>
        <w:rPr>
          <w:rFonts w:hint="eastAsia" w:ascii="宋体" w:hAnsi="宋体" w:eastAsia="宋体" w:cs="宋体"/>
          <w:color w:val="auto"/>
          <w:sz w:val="24"/>
          <w:lang w:val="en-US" w:eastAsia="zh-CN"/>
        </w:rPr>
        <w:t>：何厚仪，新疆大学法学院</w:t>
      </w:r>
      <w:r>
        <w:rPr>
          <w:rFonts w:hint="eastAsia" w:ascii="宋体" w:hAnsi="宋体" w:cs="宋体"/>
          <w:color w:val="auto"/>
          <w:sz w:val="24"/>
          <w:lang w:val="en-US" w:eastAsia="zh-CN"/>
        </w:rPr>
        <w:t>2022级</w:t>
      </w:r>
      <w:r>
        <w:rPr>
          <w:rFonts w:hint="eastAsia" w:ascii="宋体" w:hAnsi="宋体" w:eastAsia="宋体" w:cs="宋体"/>
          <w:color w:val="auto"/>
          <w:sz w:val="24"/>
          <w:lang w:val="en-US" w:eastAsia="zh-CN"/>
        </w:rPr>
        <w:t>博士研究生，武汉大学法学院</w:t>
      </w:r>
      <w:r>
        <w:rPr>
          <w:rFonts w:hint="eastAsia" w:ascii="宋体" w:hAnsi="宋体" w:cs="宋体"/>
          <w:color w:val="auto"/>
          <w:sz w:val="24"/>
          <w:lang w:val="en-US" w:eastAsia="zh-CN"/>
        </w:rPr>
        <w:t>2023级</w:t>
      </w:r>
      <w:r>
        <w:rPr>
          <w:rFonts w:hint="eastAsia" w:ascii="宋体" w:hAnsi="宋体" w:eastAsia="宋体" w:cs="宋体"/>
          <w:color w:val="auto"/>
          <w:sz w:val="24"/>
          <w:lang w:val="en-US" w:eastAsia="zh-CN"/>
        </w:rPr>
        <w:t>联合培养博士研究生</w:t>
      </w:r>
      <w:r>
        <w:rPr>
          <w:rFonts w:hint="eastAsia" w:ascii="宋体" w:hAnsi="宋体" w:cs="宋体"/>
          <w:color w:val="auto"/>
          <w:sz w:val="24"/>
          <w:lang w:val="en-US" w:eastAsia="zh-CN"/>
        </w:rPr>
        <w:t>。</w:t>
      </w:r>
    </w:p>
    <w:p w14:paraId="1BA43065">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lang w:val="en-US" w:eastAsia="zh-CN"/>
        </w:rPr>
      </w:pPr>
    </w:p>
    <w:p w14:paraId="1EE5E5A1">
      <w:pPr>
        <w:keepNext w:val="0"/>
        <w:keepLines w:val="0"/>
        <w:pageBreakBefore w:val="0"/>
        <w:widowControl w:val="0"/>
        <w:kinsoku/>
        <w:wordWrap/>
        <w:overflowPunct/>
        <w:topLinePunct w:val="0"/>
        <w:autoSpaceDE/>
        <w:autoSpaceDN/>
        <w:bidi w:val="0"/>
        <w:adjustRightInd/>
        <w:snapToGrid w:val="0"/>
        <w:spacing w:line="360" w:lineRule="auto"/>
        <w:jc w:val="both"/>
        <w:textAlignment w:val="auto"/>
        <w:outlineLvl w:val="0"/>
        <w:rPr>
          <w:rFonts w:hint="eastAsia" w:ascii="黑体" w:hAnsi="黑体" w:eastAsia="黑体" w:cs="黑体"/>
          <w:color w:val="auto"/>
          <w:sz w:val="28"/>
          <w:szCs w:val="28"/>
          <w:lang w:val="en-US" w:eastAsia="zh-CN"/>
        </w:rPr>
      </w:pPr>
    </w:p>
    <w:p w14:paraId="494A9E31">
      <w:pPr>
        <w:keepNext w:val="0"/>
        <w:keepLines w:val="0"/>
        <w:pageBreakBefore w:val="0"/>
        <w:widowControl w:val="0"/>
        <w:kinsoku/>
        <w:wordWrap/>
        <w:overflowPunct/>
        <w:topLinePunct w:val="0"/>
        <w:autoSpaceDE/>
        <w:autoSpaceDN/>
        <w:bidi w:val="0"/>
        <w:adjustRightInd/>
        <w:snapToGrid w:val="0"/>
        <w:spacing w:line="360" w:lineRule="auto"/>
        <w:jc w:val="both"/>
        <w:textAlignment w:val="auto"/>
        <w:outlineLvl w:val="0"/>
        <w:rPr>
          <w:rFonts w:hint="eastAsia" w:ascii="黑体" w:hAnsi="黑体" w:eastAsia="黑体" w:cs="黑体"/>
          <w:color w:val="auto"/>
          <w:sz w:val="28"/>
          <w:szCs w:val="28"/>
          <w:lang w:val="en-US" w:eastAsia="zh-CN"/>
        </w:rPr>
      </w:pPr>
    </w:p>
    <w:p w14:paraId="3E060C90">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0"/>
        <w:rPr>
          <w:rFonts w:hint="eastAsia" w:ascii="黑体" w:hAnsi="黑体" w:eastAsia="黑体" w:cs="黑体"/>
          <w:color w:val="auto"/>
          <w:sz w:val="28"/>
          <w:szCs w:val="28"/>
          <w:lang w:val="en-US" w:eastAsia="zh-CN"/>
        </w:rPr>
      </w:pPr>
    </w:p>
    <w:p w14:paraId="40463D56">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0"/>
        <w:rPr>
          <w:rFonts w:hint="eastAsia" w:ascii="黑体" w:hAnsi="黑体" w:eastAsia="黑体" w:cs="黑体"/>
          <w:color w:val="auto"/>
          <w:sz w:val="28"/>
          <w:szCs w:val="28"/>
          <w:lang w:val="en-US" w:eastAsia="zh-CN"/>
        </w:rPr>
      </w:pPr>
    </w:p>
    <w:p w14:paraId="5AB1E59E">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0"/>
        <w:rPr>
          <w:rFonts w:hint="default"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t>一、问题的提出</w:t>
      </w:r>
    </w:p>
    <w:p w14:paraId="12A02E4D">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rPr>
      </w:pPr>
      <w:r>
        <w:rPr>
          <w:rFonts w:hint="eastAsia" w:ascii="宋体" w:hAnsi="宋体" w:eastAsia="宋体" w:cs="宋体"/>
          <w:color w:val="auto"/>
          <w:sz w:val="24"/>
          <w:lang w:val="en-US" w:eastAsia="zh-CN"/>
        </w:rPr>
        <w:t>大数据时代，高质量的地方数据立法成为国家治理体系和治理能力现代化的重要组成部分。检视</w:t>
      </w:r>
      <w:r>
        <w:rPr>
          <w:rFonts w:hint="eastAsia" w:ascii="宋体" w:hAnsi="宋体" w:eastAsia="宋体" w:cs="宋体"/>
          <w:color w:val="auto"/>
          <w:sz w:val="24"/>
        </w:rPr>
        <w:t>我国地方数据立法研究现状，不乏聚焦特定数据类型</w:t>
      </w:r>
      <w:r>
        <w:rPr>
          <w:rFonts w:hint="eastAsia" w:ascii="宋体" w:hAnsi="宋体" w:eastAsia="宋体" w:cs="宋体"/>
          <w:color w:val="auto"/>
          <w:sz w:val="24"/>
          <w:lang w:eastAsia="zh-CN"/>
        </w:rPr>
        <w:t>的</w:t>
      </w:r>
      <w:r>
        <w:rPr>
          <w:rFonts w:hint="eastAsia" w:ascii="宋体" w:hAnsi="宋体" w:eastAsia="宋体" w:cs="宋体"/>
          <w:color w:val="auto"/>
          <w:sz w:val="24"/>
        </w:rPr>
        <w:t>地方立法类型化研究，例如公共数据与政务数据等</w:t>
      </w:r>
      <w:r>
        <w:rPr>
          <w:rFonts w:hint="eastAsia" w:ascii="宋体" w:hAnsi="宋体" w:eastAsia="宋体" w:cs="宋体"/>
          <w:color w:val="auto"/>
          <w:sz w:val="24"/>
          <w:lang w:eastAsia="zh-CN"/>
        </w:rPr>
        <w:t>；</w:t>
      </w:r>
      <w:r>
        <w:rPr>
          <w:rStyle w:val="17"/>
          <w:rFonts w:hint="default" w:ascii="Calibri" w:hAnsi="Calibri" w:eastAsia="宋体" w:cs="Calibri"/>
          <w:color w:val="auto"/>
          <w:sz w:val="24"/>
          <w:szCs w:val="24"/>
        </w:rPr>
        <w:footnoteReference w:id="0"/>
      </w:r>
      <w:r>
        <w:rPr>
          <w:rFonts w:hint="eastAsia" w:ascii="宋体" w:hAnsi="宋体" w:eastAsia="宋体" w:cs="宋体"/>
          <w:color w:val="auto"/>
          <w:sz w:val="24"/>
        </w:rPr>
        <w:t>有根据数据生命不同周期</w:t>
      </w:r>
      <w:r>
        <w:rPr>
          <w:rFonts w:hint="eastAsia" w:ascii="宋体" w:hAnsi="宋体" w:eastAsia="宋体" w:cs="宋体"/>
          <w:color w:val="auto"/>
          <w:sz w:val="24"/>
          <w:lang w:eastAsia="zh-CN"/>
        </w:rPr>
        <w:t>做</w:t>
      </w:r>
      <w:r>
        <w:rPr>
          <w:rFonts w:hint="eastAsia" w:ascii="宋体" w:hAnsi="宋体" w:eastAsia="宋体" w:cs="宋体"/>
          <w:color w:val="auto"/>
          <w:sz w:val="24"/>
        </w:rPr>
        <w:t>差异化分析的，例如数据收集、共享与管理等流程</w:t>
      </w:r>
      <w:r>
        <w:rPr>
          <w:rFonts w:hint="eastAsia" w:ascii="宋体" w:hAnsi="宋体" w:eastAsia="宋体" w:cs="宋体"/>
          <w:color w:val="auto"/>
          <w:sz w:val="24"/>
          <w:lang w:eastAsia="zh-CN"/>
        </w:rPr>
        <w:t>；</w:t>
      </w:r>
      <w:r>
        <w:rPr>
          <w:rStyle w:val="17"/>
          <w:rFonts w:ascii="Calibri" w:hAnsi="Calibri" w:eastAsia="宋体" w:cs="Calibri"/>
          <w:color w:val="auto"/>
          <w:sz w:val="24"/>
          <w:szCs w:val="24"/>
        </w:rPr>
        <w:footnoteReference w:id="1"/>
      </w:r>
      <w:r>
        <w:rPr>
          <w:rFonts w:hint="eastAsia" w:ascii="宋体" w:hAnsi="宋体" w:eastAsia="宋体" w:cs="宋体"/>
          <w:color w:val="auto"/>
          <w:sz w:val="24"/>
        </w:rPr>
        <w:t>有关于数据权属的地方立法策略分析的，即从地方立法视角建构与界分数据财产权的多元主体客体与权利</w:t>
      </w:r>
      <w:r>
        <w:rPr>
          <w:rFonts w:hint="eastAsia" w:ascii="宋体" w:hAnsi="宋体" w:eastAsia="宋体" w:cs="宋体"/>
          <w:color w:val="auto"/>
          <w:sz w:val="24"/>
          <w:lang w:eastAsia="zh-CN"/>
        </w:rPr>
        <w:t>内容；</w:t>
      </w:r>
      <w:r>
        <w:rPr>
          <w:rStyle w:val="17"/>
          <w:rFonts w:hint="default" w:ascii="Calibri" w:hAnsi="Calibri" w:eastAsia="宋体" w:cs="Calibri"/>
          <w:color w:val="auto"/>
          <w:sz w:val="24"/>
          <w:szCs w:val="24"/>
          <w:lang w:val="en-US" w:eastAsia="zh-CN"/>
        </w:rPr>
        <w:footnoteReference w:id="2"/>
      </w:r>
      <w:r>
        <w:rPr>
          <w:rFonts w:hint="eastAsia" w:ascii="宋体" w:hAnsi="宋体" w:eastAsia="宋体" w:cs="宋体"/>
          <w:color w:val="auto"/>
          <w:sz w:val="24"/>
        </w:rPr>
        <w:t>还有针对部分地方（主要是数字经济发达地区）数据立法的体例、结构与规范内容展开分析的。</w:t>
      </w:r>
      <w:r>
        <w:rPr>
          <w:rStyle w:val="17"/>
          <w:rFonts w:hint="default" w:ascii="Calibri" w:hAnsi="Calibri" w:eastAsia="宋体" w:cs="Calibri"/>
          <w:color w:val="auto"/>
          <w:sz w:val="24"/>
        </w:rPr>
        <w:footnoteReference w:id="3"/>
      </w:r>
      <w:r>
        <w:rPr>
          <w:rFonts w:hint="eastAsia" w:ascii="宋体" w:hAnsi="宋体" w:eastAsia="宋体" w:cs="宋体"/>
          <w:color w:val="auto"/>
          <w:sz w:val="24"/>
        </w:rPr>
        <w:t>总体而言，上述研究本质上都是涉及数据立法的某一具象。而对于指导地方立法主体进行新兴领域立法（大数据）创制活动最为基础性和本源性的、集中体现规范的基本立场和价值取向的</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以及</w:t>
      </w:r>
      <w:r>
        <w:rPr>
          <w:rFonts w:hint="eastAsia" w:ascii="宋体" w:hAnsi="宋体" w:eastAsia="宋体" w:cs="宋体"/>
          <w:color w:val="auto"/>
          <w:sz w:val="24"/>
        </w:rPr>
        <w:t>提炼于我国广泛地方立法实践经验总结的“</w:t>
      </w:r>
      <w:r>
        <w:rPr>
          <w:rFonts w:hint="eastAsia" w:ascii="宋体" w:hAnsi="宋体" w:eastAsia="宋体" w:cs="宋体"/>
          <w:color w:val="auto"/>
          <w:sz w:val="24"/>
          <w:lang w:val="en-US" w:eastAsia="zh-CN"/>
        </w:rPr>
        <w:t>立法原则</w:t>
      </w:r>
      <w:r>
        <w:rPr>
          <w:rFonts w:ascii="宋体" w:hAnsi="宋体" w:eastAsia="宋体" w:cs="宋体"/>
          <w:color w:val="auto"/>
          <w:sz w:val="24"/>
        </w:rPr>
        <w:t>”</w:t>
      </w:r>
      <w:r>
        <w:rPr>
          <w:rFonts w:hint="eastAsia" w:ascii="宋体" w:hAnsi="宋体" w:eastAsia="宋体" w:cs="宋体"/>
          <w:color w:val="auto"/>
          <w:sz w:val="24"/>
          <w:lang w:val="en-US" w:eastAsia="zh-CN"/>
        </w:rPr>
        <w:t>却</w:t>
      </w:r>
      <w:r>
        <w:rPr>
          <w:rFonts w:hint="eastAsia" w:ascii="宋体" w:hAnsi="宋体" w:eastAsia="宋体" w:cs="宋体"/>
          <w:color w:val="auto"/>
          <w:sz w:val="24"/>
        </w:rPr>
        <w:t>鲜有提及。</w:t>
      </w:r>
    </w:p>
    <w:p w14:paraId="49850A13">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黑体" w:hAnsi="黑体" w:eastAsia="黑体" w:cs="黑体"/>
          <w:color w:val="auto"/>
          <w:sz w:val="28"/>
          <w:szCs w:val="28"/>
          <w:lang w:val="en-US" w:eastAsia="zh-CN"/>
        </w:rPr>
      </w:pPr>
      <w:r>
        <w:rPr>
          <w:rFonts w:hint="eastAsia" w:ascii="宋体" w:hAnsi="宋体" w:eastAsia="宋体" w:cs="宋体"/>
          <w:color w:val="auto"/>
          <w:sz w:val="24"/>
          <w:lang w:val="en-US" w:eastAsia="zh-CN"/>
        </w:rPr>
        <w:t>关于地方立法应当采取何种立法原则，存在诸多讨论，经过各地方多年的积极探索与实践，我国《立法法》确定了科学立法、民主立法、依法立法三项基本原则。鉴于上述原则在界定上具有较高的宏观性与包容性，本文据此将这三项原则在地方数据立法场域中所面临的具体实践问题，提炼为三个核心维度加以审视：第一，在科学立法层面，当前地方数据立法普遍采用的“集中”与“分散”二元模式，是否仍足以回应数据治理实践中日益复杂的制度需求？第二，在民主立法层面，何以在大数据技术已构建起社会成员普遍联结的背景下，社会公众对数据立法的参与仍呈现消极态势？第三，在依法立法层面，地方数据立法应如何妥善处理“法制统一”与“地方创新”之间的张力，并在立法权限范围内实现地方自主性的规范表达？基于此，本文以尚未完成省级数据立法的地区为视角，立足于科学立法、民主立法、依法立法三大原则，就正在或将来开展的数据立法活动提出系统性构想，以期纾解立法原则在地方实践过程中出现的功能失灵问题。</w:t>
      </w:r>
    </w:p>
    <w:p w14:paraId="73DDF4FF">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0"/>
        <w:rPr>
          <w:rFonts w:hint="eastAsia" w:ascii="黑体" w:hAnsi="黑体" w:eastAsia="黑体" w:cs="黑体"/>
          <w:color w:val="auto"/>
          <w:sz w:val="28"/>
          <w:szCs w:val="28"/>
          <w:lang w:val="en-US" w:eastAsia="zh-CN"/>
        </w:rPr>
      </w:pPr>
    </w:p>
    <w:p w14:paraId="7C1D47F7">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0"/>
        <w:rPr>
          <w:rFonts w:hint="eastAsia"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t>二、科学立法：地方数据立法的“准分散”模式</w:t>
      </w:r>
    </w:p>
    <w:p w14:paraId="3144600C">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outlineLvl w:val="9"/>
        <w:rPr>
          <w:rFonts w:hint="eastAsia" w:ascii="黑体" w:hAnsi="黑体" w:eastAsia="黑体" w:cs="黑体"/>
          <w:color w:val="auto"/>
          <w:sz w:val="28"/>
          <w:szCs w:val="28"/>
          <w:lang w:val="en-US" w:eastAsia="zh-CN"/>
        </w:rPr>
      </w:pPr>
      <w:r>
        <w:rPr>
          <w:rFonts w:hint="eastAsia" w:ascii="宋体" w:hAnsi="宋体" w:eastAsia="宋体" w:cs="宋体"/>
          <w:color w:val="auto"/>
          <w:sz w:val="24"/>
          <w:lang w:val="en-US" w:eastAsia="zh-CN"/>
        </w:rPr>
        <w:t>立法模式的选择并不意味着立法主体可以随心所欲，而是意味着立法主体在权衡利弊的前提下，对他认为最能够实现其立法意图的模式作出抉择的可能性。</w:t>
      </w:r>
      <w:r>
        <w:rPr>
          <w:rFonts w:hint="eastAsia" w:ascii="宋体" w:hAnsi="宋体" w:eastAsia="宋体" w:cs="宋体"/>
          <w:color w:val="auto"/>
          <w:sz w:val="24"/>
        </w:rPr>
        <w:t>立法模式的适用与科学立法直接相关，后者是</w:t>
      </w:r>
      <w:r>
        <w:rPr>
          <w:rFonts w:hint="eastAsia" w:ascii="宋体" w:hAnsi="宋体" w:eastAsia="宋体" w:cs="宋体"/>
          <w:color w:val="auto"/>
          <w:sz w:val="24"/>
          <w:lang w:val="en-US" w:eastAsia="zh-CN"/>
        </w:rPr>
        <w:t>实现立法者意图</w:t>
      </w:r>
      <w:r>
        <w:rPr>
          <w:rFonts w:hint="eastAsia" w:ascii="宋体" w:hAnsi="宋体" w:eastAsia="宋体" w:cs="宋体"/>
          <w:color w:val="auto"/>
          <w:sz w:val="24"/>
        </w:rPr>
        <w:t>的</w:t>
      </w:r>
      <w:r>
        <w:rPr>
          <w:rFonts w:hint="eastAsia" w:ascii="宋体" w:hAnsi="宋体" w:eastAsia="宋体" w:cs="宋体"/>
          <w:color w:val="auto"/>
          <w:sz w:val="24"/>
          <w:lang w:val="en-US" w:eastAsia="zh-CN"/>
        </w:rPr>
        <w:t>基本</w:t>
      </w:r>
      <w:r>
        <w:rPr>
          <w:rFonts w:hint="eastAsia" w:ascii="宋体" w:hAnsi="宋体" w:eastAsia="宋体" w:cs="宋体"/>
          <w:color w:val="auto"/>
          <w:sz w:val="24"/>
        </w:rPr>
        <w:t>途径。</w:t>
      </w:r>
    </w:p>
    <w:p w14:paraId="10376E40">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outlineLvl w:val="1"/>
        <w:rPr>
          <w:rFonts w:hint="default" w:ascii="黑体" w:hAnsi="黑体" w:eastAsia="黑体" w:cs="黑体"/>
          <w:b w:val="0"/>
          <w:bCs w:val="0"/>
          <w:color w:val="auto"/>
          <w:sz w:val="24"/>
          <w:lang w:val="en-US" w:eastAsia="zh-CN"/>
        </w:rPr>
      </w:pPr>
      <w:r>
        <w:rPr>
          <w:rFonts w:hint="eastAsia" w:ascii="黑体" w:hAnsi="黑体" w:eastAsia="黑体" w:cs="黑体"/>
          <w:b w:val="0"/>
          <w:bCs w:val="0"/>
          <w:color w:val="auto"/>
          <w:sz w:val="24"/>
          <w:lang w:val="en-US" w:eastAsia="zh-CN"/>
        </w:rPr>
        <w:t>（一）集中立法与分散立法——地方数据立法模式的选择</w:t>
      </w:r>
    </w:p>
    <w:p w14:paraId="35C29781">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ascii="宋体" w:hAnsi="宋体" w:eastAsia="宋体" w:cs="宋体"/>
          <w:color w:val="auto"/>
          <w:sz w:val="24"/>
        </w:rPr>
      </w:pPr>
      <w:r>
        <w:rPr>
          <w:rFonts w:hint="eastAsia" w:ascii="宋体" w:hAnsi="宋体" w:eastAsia="宋体" w:cs="宋体"/>
          <w:color w:val="auto"/>
          <w:sz w:val="24"/>
          <w:lang w:val="en-US" w:eastAsia="zh-CN"/>
        </w:rPr>
        <w:t>立法模式的可选择性实际上是以立法模式存在方式的多元性为条件的，只要存在着两个以上的立法模式，就必然存在着对立法模式的选择问题。</w:t>
      </w:r>
      <w:r>
        <w:rPr>
          <w:rStyle w:val="17"/>
          <w:rFonts w:hint="default" w:ascii="Calibri" w:hAnsi="Calibri" w:eastAsia="宋体" w:cs="Calibri"/>
          <w:color w:val="auto"/>
          <w:sz w:val="24"/>
          <w:szCs w:val="24"/>
          <w:lang w:val="en-US" w:eastAsia="zh-CN"/>
        </w:rPr>
        <w:footnoteReference w:id="4"/>
      </w:r>
      <w:r>
        <w:rPr>
          <w:rFonts w:hint="eastAsia" w:ascii="宋体" w:hAnsi="宋体" w:eastAsia="宋体" w:cs="宋体"/>
          <w:color w:val="auto"/>
          <w:sz w:val="24"/>
          <w:lang w:val="en-US" w:eastAsia="zh-CN"/>
        </w:rPr>
        <w:t>地方</w:t>
      </w:r>
      <w:r>
        <w:rPr>
          <w:rFonts w:hint="eastAsia" w:ascii="宋体" w:hAnsi="宋体" w:eastAsia="宋体" w:cs="宋体"/>
          <w:color w:val="auto"/>
          <w:sz w:val="24"/>
        </w:rPr>
        <w:t>数据立法亟待纾解的难点之一在于，究竟是制定一部涵盖不同数据类型，兼顾数据开放利用与安全</w:t>
      </w:r>
      <w:r>
        <w:rPr>
          <w:rFonts w:hint="eastAsia" w:ascii="宋体" w:hAnsi="宋体" w:eastAsia="宋体" w:cs="宋体"/>
          <w:color w:val="auto"/>
          <w:sz w:val="24"/>
          <w:lang w:val="en-US" w:eastAsia="zh-CN"/>
        </w:rPr>
        <w:t>监管</w:t>
      </w:r>
      <w:r>
        <w:rPr>
          <w:rFonts w:hint="eastAsia" w:ascii="宋体" w:hAnsi="宋体" w:eastAsia="宋体" w:cs="宋体"/>
          <w:color w:val="auto"/>
          <w:sz w:val="24"/>
        </w:rPr>
        <w:t>的集中立法，还是制定多部分别涉及特定数据，分别调整数据应用与数据安全的分散立法。我国许多学者对分散立法模式提出了诸多批判，认为分散的立法把</w:t>
      </w:r>
      <w:r>
        <w:rPr>
          <w:rFonts w:hint="eastAsia" w:ascii="宋体" w:hAnsi="宋体" w:eastAsia="宋体" w:cs="宋体"/>
          <w:color w:val="auto"/>
          <w:sz w:val="24"/>
          <w:lang w:val="en-US" w:eastAsia="zh-CN"/>
        </w:rPr>
        <w:t>数据</w:t>
      </w:r>
      <w:r>
        <w:rPr>
          <w:rFonts w:hint="eastAsia" w:ascii="宋体" w:hAnsi="宋体" w:eastAsia="宋体" w:cs="宋体"/>
          <w:color w:val="auto"/>
          <w:sz w:val="24"/>
        </w:rPr>
        <w:t>法律系统的要素分隔化、碎片化，从而破坏了</w:t>
      </w:r>
      <w:r>
        <w:rPr>
          <w:rFonts w:hint="eastAsia" w:ascii="宋体" w:hAnsi="宋体" w:eastAsia="宋体" w:cs="宋体"/>
          <w:color w:val="auto"/>
          <w:sz w:val="24"/>
          <w:lang w:val="en-US" w:eastAsia="zh-CN"/>
        </w:rPr>
        <w:t>数据要素市场</w:t>
      </w:r>
      <w:r>
        <w:rPr>
          <w:rFonts w:hint="eastAsia" w:ascii="宋体" w:hAnsi="宋体" w:eastAsia="宋体" w:cs="宋体"/>
          <w:color w:val="auto"/>
          <w:sz w:val="24"/>
        </w:rPr>
        <w:t>运行的规律与耦合关系</w:t>
      </w:r>
      <w:r>
        <w:rPr>
          <w:rFonts w:hint="eastAsia" w:ascii="宋体" w:hAnsi="宋体" w:eastAsia="宋体" w:cs="宋体"/>
          <w:color w:val="auto"/>
          <w:sz w:val="24"/>
          <w:lang w:eastAsia="zh-CN"/>
        </w:rPr>
        <w:t>：企业实施的数据持有、使用、经营行为并不以省为边界，数据立法的碎片化无疑将增加市场主体</w:t>
      </w:r>
      <w:r>
        <w:rPr>
          <w:rFonts w:hint="eastAsia" w:ascii="宋体" w:hAnsi="宋体" w:eastAsia="宋体" w:cs="宋体"/>
          <w:color w:val="auto"/>
          <w:sz w:val="24"/>
          <w:lang w:val="en-US" w:eastAsia="zh-CN"/>
        </w:rPr>
        <w:t>数据合规</w:t>
      </w:r>
      <w:r>
        <w:rPr>
          <w:rFonts w:hint="eastAsia" w:ascii="宋体" w:hAnsi="宋体" w:eastAsia="宋体" w:cs="宋体"/>
          <w:color w:val="auto"/>
          <w:sz w:val="24"/>
          <w:lang w:eastAsia="zh-CN"/>
        </w:rPr>
        <w:t>管理</w:t>
      </w:r>
      <w:r>
        <w:rPr>
          <w:rFonts w:hint="eastAsia" w:ascii="宋体" w:hAnsi="宋体" w:eastAsia="宋体" w:cs="宋体"/>
          <w:color w:val="auto"/>
          <w:sz w:val="24"/>
          <w:lang w:val="en-US" w:eastAsia="zh-CN"/>
        </w:rPr>
        <w:t>的复杂性与适用成本</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无助于形成全国统一数据要素大市场。</w:t>
      </w:r>
      <w:r>
        <w:rPr>
          <w:rStyle w:val="17"/>
          <w:rFonts w:hint="default" w:ascii="Calibri" w:hAnsi="Calibri" w:eastAsia="宋体" w:cs="Calibri"/>
          <w:color w:val="auto"/>
          <w:sz w:val="24"/>
          <w:lang w:val="en-US" w:eastAsia="zh-CN"/>
        </w:rPr>
        <w:footnoteReference w:id="5"/>
      </w:r>
      <w:r>
        <w:rPr>
          <w:rFonts w:hint="eastAsia" w:ascii="宋体" w:hAnsi="宋体" w:eastAsia="宋体" w:cs="宋体"/>
          <w:color w:val="auto"/>
          <w:sz w:val="24"/>
        </w:rPr>
        <w:t>也有学者认为，评价一个地方立法质量的标准不在于地方性法规是否成为功能齐全的“成套设备”和规模宏大的“百宝锦囊”。</w:t>
      </w:r>
      <w:r>
        <w:rPr>
          <w:rStyle w:val="17"/>
          <w:rFonts w:hint="default" w:ascii="Calibri" w:hAnsi="Calibri" w:eastAsia="宋体" w:cs="Calibri"/>
          <w:color w:val="auto"/>
          <w:sz w:val="24"/>
          <w:szCs w:val="24"/>
          <w:lang w:val="en-US" w:eastAsia="zh-CN"/>
        </w:rPr>
        <w:footnoteReference w:id="6"/>
      </w:r>
      <w:r>
        <w:rPr>
          <w:rFonts w:hint="eastAsia" w:ascii="宋体" w:hAnsi="宋体" w:eastAsia="宋体" w:cs="宋体"/>
          <w:color w:val="auto"/>
          <w:sz w:val="24"/>
        </w:rPr>
        <w:t>相反，</w:t>
      </w:r>
      <w:r>
        <w:rPr>
          <w:rFonts w:ascii="宋体" w:hAnsi="宋体" w:eastAsia="宋体" w:cs="宋体"/>
          <w:color w:val="auto"/>
          <w:sz w:val="24"/>
          <w:szCs w:val="24"/>
        </w:rPr>
        <w:t>小切口立法</w:t>
      </w:r>
      <w:r>
        <w:rPr>
          <w:rFonts w:hint="eastAsia" w:ascii="宋体" w:hAnsi="宋体" w:eastAsia="宋体" w:cs="宋体"/>
          <w:color w:val="auto"/>
          <w:sz w:val="24"/>
          <w:szCs w:val="24"/>
          <w:lang w:val="en-US" w:eastAsia="zh-CN"/>
        </w:rPr>
        <w:t>凭借其</w:t>
      </w:r>
      <w:r>
        <w:rPr>
          <w:rFonts w:ascii="宋体" w:hAnsi="宋体" w:eastAsia="宋体" w:cs="宋体"/>
          <w:color w:val="auto"/>
          <w:sz w:val="24"/>
          <w:szCs w:val="24"/>
        </w:rPr>
        <w:t>影响范围和覆盖面较小</w:t>
      </w:r>
      <w:r>
        <w:rPr>
          <w:rFonts w:hint="eastAsia" w:ascii="宋体" w:hAnsi="宋体" w:eastAsia="宋体" w:cs="宋体"/>
          <w:color w:val="auto"/>
          <w:sz w:val="24"/>
          <w:szCs w:val="24"/>
          <w:lang w:val="en-US" w:eastAsia="zh-CN"/>
        </w:rPr>
        <w:t>的特点</w:t>
      </w:r>
      <w:r>
        <w:rPr>
          <w:rFonts w:ascii="宋体" w:hAnsi="宋体" w:eastAsia="宋体" w:cs="宋体"/>
          <w:color w:val="auto"/>
          <w:sz w:val="24"/>
          <w:szCs w:val="24"/>
        </w:rPr>
        <w:t>，使其在不同利益相关方之间</w:t>
      </w:r>
      <w:r>
        <w:rPr>
          <w:rFonts w:hint="eastAsia" w:ascii="宋体" w:hAnsi="宋体" w:eastAsia="宋体" w:cs="宋体"/>
          <w:color w:val="auto"/>
          <w:sz w:val="24"/>
          <w:szCs w:val="24"/>
          <w:lang w:val="en-US" w:eastAsia="zh-CN"/>
        </w:rPr>
        <w:t>更容易达成</w:t>
      </w:r>
      <w:r>
        <w:rPr>
          <w:rFonts w:ascii="宋体" w:hAnsi="宋体" w:eastAsia="宋体" w:cs="宋体"/>
          <w:color w:val="auto"/>
          <w:sz w:val="24"/>
          <w:szCs w:val="24"/>
        </w:rPr>
        <w:t>共识，也</w:t>
      </w:r>
      <w:r>
        <w:rPr>
          <w:rFonts w:hint="eastAsia" w:ascii="宋体" w:hAnsi="宋体" w:eastAsia="宋体" w:cs="宋体"/>
          <w:color w:val="auto"/>
          <w:sz w:val="24"/>
          <w:szCs w:val="24"/>
          <w:lang w:val="en-US" w:eastAsia="zh-CN"/>
        </w:rPr>
        <w:t>容</w:t>
      </w:r>
      <w:r>
        <w:rPr>
          <w:rFonts w:ascii="宋体" w:hAnsi="宋体" w:eastAsia="宋体" w:cs="宋体"/>
          <w:color w:val="auto"/>
          <w:sz w:val="24"/>
          <w:szCs w:val="24"/>
        </w:rPr>
        <w:t>易在实践中得到有效执行和监管，从而为更广泛的法律改革提供经验积累的机会</w:t>
      </w:r>
      <w:r>
        <w:rPr>
          <w:rFonts w:hint="eastAsia" w:ascii="宋体" w:hAnsi="宋体" w:eastAsia="宋体" w:cs="宋体"/>
          <w:color w:val="auto"/>
          <w:sz w:val="24"/>
        </w:rPr>
        <w:t>。</w:t>
      </w:r>
      <w:r>
        <w:rPr>
          <w:rStyle w:val="17"/>
          <w:rFonts w:hint="default" w:ascii="Calibri" w:hAnsi="Calibri" w:eastAsia="宋体" w:cs="Calibri"/>
          <w:color w:val="auto"/>
          <w:sz w:val="24"/>
          <w:szCs w:val="24"/>
          <w:lang w:val="en-US" w:eastAsia="zh-CN"/>
        </w:rPr>
        <w:footnoteReference w:id="7"/>
      </w:r>
      <w:r>
        <w:rPr>
          <w:rFonts w:hint="eastAsia" w:ascii="宋体" w:hAnsi="宋体" w:eastAsia="宋体" w:cs="宋体"/>
          <w:color w:val="auto"/>
          <w:sz w:val="24"/>
          <w:lang w:val="en-US" w:eastAsia="zh-CN"/>
        </w:rPr>
        <w:t>根据“北大法宝”</w:t>
      </w:r>
      <w:r>
        <w:rPr>
          <w:rFonts w:hint="default" w:ascii="宋体" w:hAnsi="宋体" w:eastAsia="宋体" w:cs="宋体"/>
          <w:color w:val="auto"/>
          <w:sz w:val="24"/>
          <w:lang w:eastAsia="zh-CN"/>
        </w:rPr>
        <w:t>数据库</w:t>
      </w:r>
      <w:r>
        <w:rPr>
          <w:rFonts w:hint="eastAsia" w:ascii="宋体" w:hAnsi="宋体" w:eastAsia="宋体" w:cs="宋体"/>
          <w:color w:val="auto"/>
          <w:sz w:val="24"/>
          <w:lang w:val="en-US" w:eastAsia="zh-CN"/>
        </w:rPr>
        <w:t>统计数据显示，</w:t>
      </w:r>
      <w:r>
        <w:rPr>
          <w:rFonts w:hint="eastAsia" w:ascii="宋体" w:hAnsi="宋体" w:eastAsia="宋体" w:cs="宋体"/>
          <w:color w:val="auto"/>
          <w:sz w:val="24"/>
        </w:rPr>
        <w:t>截至2023年5月26日</w:t>
      </w:r>
      <w:r>
        <w:rPr>
          <w:rFonts w:hint="eastAsia" w:ascii="宋体" w:hAnsi="宋体" w:eastAsia="宋体" w:cs="宋体"/>
          <w:color w:val="auto"/>
          <w:sz w:val="24"/>
          <w:lang w:val="en-US" w:eastAsia="zh-CN"/>
        </w:rPr>
        <w:t>我国全国范围内</w:t>
      </w:r>
      <w:r>
        <w:rPr>
          <w:rFonts w:hint="eastAsia" w:ascii="宋体" w:hAnsi="宋体" w:eastAsia="宋体" w:cs="宋体"/>
          <w:color w:val="auto"/>
          <w:sz w:val="24"/>
        </w:rPr>
        <w:t>共有关于数据</w:t>
      </w:r>
      <w:r>
        <w:rPr>
          <w:rFonts w:hint="eastAsia" w:ascii="宋体" w:hAnsi="宋体" w:eastAsia="宋体" w:cs="宋体"/>
          <w:color w:val="auto"/>
          <w:sz w:val="24"/>
          <w:lang w:val="en-US" w:eastAsia="zh-CN"/>
        </w:rPr>
        <w:t>治理</w:t>
      </w:r>
      <w:r>
        <w:rPr>
          <w:rFonts w:hint="eastAsia" w:ascii="宋体" w:hAnsi="宋体" w:eastAsia="宋体" w:cs="宋体"/>
          <w:color w:val="auto"/>
          <w:sz w:val="24"/>
        </w:rPr>
        <w:t>的地方性法规37部、地方政府规章33部。其中，集中立法仅占11.4%，其他就促进大数据经济发展、公共数据开放共享、医疗数据与地理数据等行业数据，以及数据安全分别调整的分散立法则分别占30%、47%、8.6</w:t>
      </w:r>
      <w:r>
        <w:rPr>
          <w:rFonts w:hint="eastAsia" w:ascii="宋体" w:hAnsi="宋体" w:eastAsia="宋体" w:cs="宋体"/>
          <w:color w:val="auto"/>
          <w:sz w:val="24"/>
          <w:lang w:val="en-US" w:eastAsia="zh-CN"/>
        </w:rPr>
        <w:t>%</w:t>
      </w:r>
      <w:r>
        <w:rPr>
          <w:rFonts w:hint="eastAsia" w:ascii="宋体" w:hAnsi="宋体" w:eastAsia="宋体" w:cs="宋体"/>
          <w:color w:val="auto"/>
          <w:sz w:val="24"/>
        </w:rPr>
        <w:t>、2.9%（见图</w:t>
      </w:r>
      <w:r>
        <w:rPr>
          <w:rFonts w:hint="eastAsia" w:ascii="宋体" w:hAnsi="宋体" w:eastAsia="宋体" w:cs="宋体"/>
          <w:color w:val="auto"/>
          <w:sz w:val="24"/>
          <w:lang w:val="en-US" w:eastAsia="zh-CN"/>
        </w:rPr>
        <w:t>1</w:t>
      </w:r>
      <w:r>
        <w:rPr>
          <w:rFonts w:hint="eastAsia" w:ascii="宋体" w:hAnsi="宋体" w:eastAsia="宋体" w:cs="宋体"/>
          <w:color w:val="auto"/>
          <w:sz w:val="24"/>
        </w:rPr>
        <w:t>）。</w:t>
      </w:r>
    </w:p>
    <w:p w14:paraId="2179BC73">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宋体" w:hAnsi="宋体" w:eastAsia="宋体" w:cs="宋体"/>
          <w:color w:val="auto"/>
          <w:sz w:val="24"/>
        </w:rPr>
      </w:pPr>
      <w:r>
        <w:rPr>
          <w:color w:val="auto"/>
        </w:rPr>
        <w:drawing>
          <wp:inline distT="0" distB="0" distL="114300" distR="114300">
            <wp:extent cx="5262245" cy="2574925"/>
            <wp:effectExtent l="0" t="0" r="20955" b="1587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5262245" cy="2574925"/>
                    </a:xfrm>
                    <a:prstGeom prst="rect">
                      <a:avLst/>
                    </a:prstGeom>
                    <a:noFill/>
                    <a:ln>
                      <a:noFill/>
                    </a:ln>
                  </pic:spPr>
                </pic:pic>
              </a:graphicData>
            </a:graphic>
          </wp:inline>
        </w:drawing>
      </w:r>
    </w:p>
    <w:p w14:paraId="63E1E07C">
      <w:pPr>
        <w:keepNext w:val="0"/>
        <w:keepLines w:val="0"/>
        <w:pageBreakBefore w:val="0"/>
        <w:widowControl w:val="0"/>
        <w:kinsoku/>
        <w:wordWrap/>
        <w:overflowPunct/>
        <w:topLinePunct w:val="0"/>
        <w:autoSpaceDE/>
        <w:autoSpaceDN/>
        <w:bidi w:val="0"/>
        <w:adjustRightInd/>
        <w:snapToGrid w:val="0"/>
        <w:spacing w:line="360" w:lineRule="auto"/>
        <w:ind w:firstLine="420" w:firstLineChars="200"/>
        <w:jc w:val="center"/>
        <w:textAlignment w:val="auto"/>
        <w:rPr>
          <w:rFonts w:ascii="宋体" w:hAnsi="宋体" w:eastAsia="宋体" w:cs="宋体"/>
          <w:color w:val="auto"/>
          <w:sz w:val="24"/>
        </w:rPr>
      </w:pPr>
      <w:r>
        <w:rPr>
          <w:rFonts w:hint="eastAsia"/>
          <w:color w:val="auto"/>
        </w:rPr>
        <w:t>图</w:t>
      </w:r>
      <w:r>
        <w:rPr>
          <w:rFonts w:hint="eastAsia" w:ascii="Times New Roman" w:hAnsi="Times New Roman" w:cs="Times New Roman"/>
          <w:color w:val="auto"/>
          <w:lang w:val="en-US" w:eastAsia="zh-CN"/>
        </w:rPr>
        <w:t>1</w:t>
      </w:r>
      <w:r>
        <w:rPr>
          <w:rFonts w:hint="eastAsia"/>
          <w:color w:val="auto"/>
        </w:rPr>
        <w:t xml:space="preserve">  我国</w:t>
      </w:r>
      <w:r>
        <w:rPr>
          <w:rFonts w:ascii="Times New Roman" w:hAnsi="Times New Roman" w:cs="Times New Roman"/>
          <w:color w:val="auto"/>
        </w:rPr>
        <w:t>70</w:t>
      </w:r>
      <w:r>
        <w:rPr>
          <w:rFonts w:hint="eastAsia"/>
          <w:color w:val="auto"/>
        </w:rPr>
        <w:t>部地方数据立法模式类型统计</w:t>
      </w:r>
    </w:p>
    <w:p w14:paraId="088A8A44">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default" w:ascii="黑体" w:hAnsi="黑体" w:eastAsia="黑体" w:cs="黑体"/>
          <w:color w:val="auto"/>
          <w:sz w:val="28"/>
          <w:szCs w:val="28"/>
          <w:lang w:val="en-US" w:eastAsia="zh-CN"/>
        </w:rPr>
      </w:pPr>
      <w:r>
        <w:rPr>
          <w:rFonts w:hint="eastAsia" w:ascii="宋体" w:hAnsi="宋体" w:eastAsia="宋体" w:cs="宋体"/>
          <w:color w:val="auto"/>
          <w:sz w:val="24"/>
        </w:rPr>
        <w:t>事实上，数据立法并不存在绝对普适的立法模式</w:t>
      </w:r>
      <w:r>
        <w:rPr>
          <w:rFonts w:hint="eastAsia" w:ascii="宋体" w:hAnsi="宋体" w:eastAsia="宋体" w:cs="宋体"/>
          <w:color w:val="auto"/>
          <w:sz w:val="24"/>
          <w:lang w:eastAsia="zh-CN"/>
        </w:rPr>
        <w:t>。</w:t>
      </w:r>
      <w:r>
        <w:rPr>
          <w:rFonts w:hint="eastAsia" w:ascii="宋体" w:hAnsi="宋体" w:eastAsia="宋体" w:cs="宋体"/>
          <w:color w:val="auto"/>
          <w:sz w:val="24"/>
        </w:rPr>
        <w:t>尽管数据立法的重要性已在全球达成共识，但具体的制度安排，比如立法模式的选择，从全球到中国都有待榷扬。譬如</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集中立法模式以欧盟为代表。1995年欧盟颁布了《数据保护指令》，对个人数据保护作出统一立法规制；2016年欧盟又进一步颁布《通用数据保护条例（GDPR）》，对个人数据保护提出新要求；紧接着2024年1月11日欧盟《数据法案》正式生效，该法案无论是对数据要素市场法治建设研究，还是对数据市场主体的合规准备都具有重要意义，但不足之处在于欠缺对不同数据类型的差异化考量。相对应地，分散立法则以美国为代表，在联邦层面有《美国隐私法》《美国信息自由法》，地方上则以《美国加利福尼亚州消费者隐私法案》为典型。美国此种分散的数据立法形式，较欧盟国家的集中立法更能顺应信息时代的快速更迭，且尤具针对性，但也同时带来标准复杂多变、适用困难、增加数据保护成本等不利后果。</w:t>
      </w:r>
      <w:r>
        <w:rPr>
          <w:rStyle w:val="17"/>
          <w:rFonts w:hint="default" w:ascii="Calibri" w:hAnsi="Calibri" w:eastAsia="宋体" w:cs="Calibri"/>
          <w:color w:val="auto"/>
          <w:sz w:val="24"/>
          <w:szCs w:val="24"/>
          <w:lang w:val="en-US" w:eastAsia="zh-CN"/>
        </w:rPr>
        <w:footnoteReference w:id="8"/>
      </w:r>
      <w:r>
        <w:rPr>
          <w:rFonts w:hint="eastAsia" w:ascii="宋体" w:hAnsi="宋体" w:eastAsia="宋体" w:cs="宋体"/>
          <w:color w:val="auto"/>
          <w:sz w:val="24"/>
          <w:lang w:val="en-US" w:eastAsia="zh-CN"/>
        </w:rPr>
        <w:t>此外还有“统分结合”的日本数据立法模式，既出台了统一的专门规范，又引导各行业、各部门制定适应行业自身发展脉络的规章条例。可见，</w:t>
      </w:r>
      <w:r>
        <w:rPr>
          <w:rFonts w:hint="eastAsia" w:ascii="宋体" w:hAnsi="宋体" w:eastAsia="宋体" w:cs="宋体"/>
          <w:color w:val="auto"/>
          <w:sz w:val="24"/>
        </w:rPr>
        <w:t>无论是将数据保护立法分散在形式多样的部门性隐私法案的美国</w:t>
      </w:r>
      <w:r>
        <w:rPr>
          <w:rFonts w:hint="eastAsia" w:ascii="宋体" w:hAnsi="宋体" w:eastAsia="宋体" w:cs="宋体"/>
          <w:color w:val="auto"/>
          <w:sz w:val="24"/>
          <w:lang w:eastAsia="zh-CN"/>
        </w:rPr>
        <w:t>、</w:t>
      </w:r>
      <w:r>
        <w:rPr>
          <w:rFonts w:hint="eastAsia" w:ascii="宋体" w:hAnsi="宋体" w:eastAsia="宋体" w:cs="宋体"/>
          <w:color w:val="auto"/>
          <w:sz w:val="24"/>
        </w:rPr>
        <w:t>还是实施一揽子保护集中立</w:t>
      </w:r>
      <w:r>
        <w:rPr>
          <w:rFonts w:hint="eastAsia" w:ascii="宋体" w:hAnsi="宋体" w:eastAsia="宋体" w:cs="宋体"/>
          <w:color w:val="auto"/>
          <w:sz w:val="24"/>
          <w:lang w:val="en-US" w:eastAsia="zh-CN"/>
        </w:rPr>
        <w:t>法</w:t>
      </w:r>
      <w:r>
        <w:rPr>
          <w:rFonts w:hint="eastAsia" w:ascii="宋体" w:hAnsi="宋体" w:eastAsia="宋体" w:cs="宋体"/>
          <w:color w:val="auto"/>
          <w:sz w:val="24"/>
        </w:rPr>
        <w:t>的欧盟</w:t>
      </w:r>
      <w:r>
        <w:rPr>
          <w:rFonts w:hint="eastAsia" w:ascii="宋体" w:hAnsi="宋体" w:eastAsia="宋体" w:cs="宋体"/>
          <w:color w:val="auto"/>
          <w:sz w:val="24"/>
          <w:lang w:val="en-US" w:eastAsia="zh-CN"/>
        </w:rPr>
        <w:t>甚至是日本“1+N”的数据立法模式，</w:t>
      </w:r>
      <w:commentRangeStart w:id="0"/>
      <w:r>
        <w:rPr>
          <w:rFonts w:hint="eastAsia" w:ascii="宋体" w:hAnsi="宋体" w:eastAsia="宋体" w:cs="宋体"/>
          <w:color w:val="auto"/>
          <w:sz w:val="24"/>
        </w:rPr>
        <w:t>各地无外乎都是根据自身政治历史传统、大数据经济体量、基础设施建设等现实立法需求的内在张力，因地制宜地选择立法模式。</w:t>
      </w:r>
      <w:commentRangeEnd w:id="0"/>
      <w:r>
        <w:rPr>
          <w:color w:val="auto"/>
        </w:rPr>
        <w:commentReference w:id="0"/>
      </w:r>
      <w:r>
        <w:rPr>
          <w:rFonts w:hint="eastAsia" w:ascii="宋体" w:hAnsi="宋体" w:eastAsia="宋体" w:cs="宋体"/>
          <w:color w:val="auto"/>
          <w:sz w:val="24"/>
          <w:lang w:val="en-US" w:eastAsia="zh-CN"/>
        </w:rPr>
        <w:t>地方</w:t>
      </w:r>
      <w:r>
        <w:rPr>
          <w:rFonts w:hint="eastAsia" w:ascii="宋体" w:hAnsi="宋体" w:eastAsia="宋体" w:cs="宋体"/>
          <w:color w:val="auto"/>
          <w:sz w:val="24"/>
        </w:rPr>
        <w:t>数据法规要在理论与实践间隙之间合理选择与地方实际需求一致的立法模式，立法机关的智慧供给</w:t>
      </w:r>
      <w:r>
        <w:rPr>
          <w:rFonts w:hint="eastAsia" w:ascii="宋体" w:hAnsi="宋体" w:eastAsia="宋体" w:cs="宋体"/>
          <w:color w:val="auto"/>
          <w:sz w:val="24"/>
          <w:lang w:val="en-US" w:eastAsia="zh-CN"/>
        </w:rPr>
        <w:t>不可或缺</w:t>
      </w:r>
      <w:r>
        <w:rPr>
          <w:rFonts w:hint="eastAsia" w:ascii="宋体" w:hAnsi="宋体" w:eastAsia="宋体" w:cs="宋体"/>
          <w:color w:val="auto"/>
          <w:sz w:val="24"/>
        </w:rPr>
        <w:t>。</w:t>
      </w:r>
    </w:p>
    <w:p w14:paraId="4C5129CC">
      <w:pPr>
        <w:keepNext w:val="0"/>
        <w:pageBreakBefore w:val="0"/>
        <w:kinsoku/>
        <w:wordWrap/>
        <w:overflowPunct/>
        <w:topLinePunct w:val="0"/>
        <w:autoSpaceDE/>
        <w:autoSpaceDN/>
        <w:bidi w:val="0"/>
        <w:adjustRightInd/>
        <w:snapToGrid w:val="0"/>
        <w:spacing w:line="360" w:lineRule="auto"/>
        <w:ind w:firstLine="480" w:firstLineChars="200"/>
        <w:textAlignment w:val="auto"/>
        <w:outlineLvl w:val="1"/>
        <w:rPr>
          <w:rFonts w:hint="default" w:ascii="黑体" w:hAnsi="黑体" w:eastAsia="黑体" w:cs="黑体"/>
          <w:color w:val="auto"/>
          <w:sz w:val="24"/>
          <w:lang w:val="en-US" w:eastAsia="zh-CN"/>
        </w:rPr>
      </w:pPr>
      <w:r>
        <w:rPr>
          <w:rFonts w:hint="eastAsia" w:ascii="黑体" w:hAnsi="黑体" w:eastAsia="黑体" w:cs="黑体"/>
          <w:color w:val="auto"/>
          <w:sz w:val="24"/>
          <w:lang w:eastAsia="zh-CN"/>
        </w:rPr>
        <w:t>（</w:t>
      </w:r>
      <w:r>
        <w:rPr>
          <w:rFonts w:hint="eastAsia" w:ascii="黑体" w:hAnsi="黑体" w:eastAsia="黑体" w:cs="黑体"/>
          <w:color w:val="auto"/>
          <w:sz w:val="24"/>
          <w:lang w:val="en-US" w:eastAsia="zh-CN"/>
        </w:rPr>
        <w:t>二</w:t>
      </w:r>
      <w:r>
        <w:rPr>
          <w:rFonts w:hint="eastAsia" w:ascii="黑体" w:hAnsi="黑体" w:eastAsia="黑体" w:cs="黑体"/>
          <w:color w:val="auto"/>
          <w:sz w:val="24"/>
          <w:lang w:eastAsia="zh-CN"/>
        </w:rPr>
        <w:t>）</w:t>
      </w:r>
      <w:r>
        <w:rPr>
          <w:rFonts w:hint="eastAsia" w:ascii="黑体" w:hAnsi="黑体" w:eastAsia="黑体" w:cs="黑体"/>
          <w:color w:val="auto"/>
          <w:sz w:val="24"/>
          <w:lang w:val="en-US" w:eastAsia="zh-CN"/>
        </w:rPr>
        <w:t>地方数据立法模式的“可操作性”</w:t>
      </w:r>
    </w:p>
    <w:p w14:paraId="634CBA67">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以立法与社会需求的契合程度为标准，立法模式可划分为追赶型与回应型立法两种基本类型。</w:t>
      </w:r>
      <w:r>
        <w:rPr>
          <w:rStyle w:val="17"/>
          <w:rFonts w:hint="default" w:ascii="Calibri" w:hAnsi="Calibri" w:eastAsia="宋体" w:cs="Calibri"/>
          <w:color w:val="auto"/>
          <w:sz w:val="24"/>
          <w:lang w:val="en-US" w:eastAsia="zh-CN"/>
        </w:rPr>
        <w:footnoteReference w:id="9"/>
      </w:r>
      <w:r>
        <w:rPr>
          <w:rFonts w:hint="eastAsia" w:ascii="宋体" w:hAnsi="宋体" w:eastAsia="宋体" w:cs="宋体"/>
          <w:color w:val="auto"/>
          <w:sz w:val="24"/>
          <w:lang w:val="en-US" w:eastAsia="zh-CN"/>
        </w:rPr>
        <w:t>前者本质上是一种主观立法，建立在立法者的主观臆测之上；而回应型立法尊重社会规律，建立在务实的基础之上，它能融合立法效力涉及范围内的风土人情，并且以立法的实际效果而不是以立法数量或者立法规模为基本诉求，是一种“可操作性强”的科学立法模式。可操作性遵循的正是一种“实用主义”——理论（上位法）被视为工具理性，即理论价值的高低取决于行动效率的优劣。这种实用主义超越对一统体制的迷恋，把关注点放在数据法律法规的规制与便利功能。</w:t>
      </w:r>
      <w:r>
        <w:rPr>
          <w:rStyle w:val="17"/>
          <w:rFonts w:hint="default" w:ascii="Calibri" w:hAnsi="Calibri" w:eastAsia="宋体" w:cs="Calibri"/>
          <w:color w:val="auto"/>
          <w:sz w:val="24"/>
          <w:szCs w:val="24"/>
          <w:lang w:val="en-US" w:eastAsia="zh-CN"/>
        </w:rPr>
        <w:footnoteReference w:id="10"/>
      </w:r>
      <w:r>
        <w:rPr>
          <w:rFonts w:hint="eastAsia" w:ascii="宋体" w:hAnsi="宋体" w:eastAsia="宋体" w:cs="宋体"/>
          <w:color w:val="auto"/>
          <w:sz w:val="24"/>
          <w:lang w:val="en-US" w:eastAsia="zh-CN"/>
        </w:rPr>
        <w:t>总结而言，地方数据立法模式应同时满足“具体性”“时代性”“利民性”三个要件。</w:t>
      </w:r>
    </w:p>
    <w:p w14:paraId="34F5C688">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default" w:ascii="宋体" w:hAnsi="宋体" w:eastAsia="宋体" w:cs="宋体"/>
          <w:color w:val="auto"/>
          <w:sz w:val="24"/>
          <w:lang w:val="en-US" w:eastAsia="zh-CN"/>
        </w:rPr>
      </w:pPr>
      <w:r>
        <w:rPr>
          <w:rFonts w:hint="eastAsia" w:ascii="宋体" w:hAnsi="宋体" w:eastAsia="宋体" w:cs="宋体"/>
          <w:color w:val="auto"/>
          <w:sz w:val="24"/>
          <w:lang w:val="en-US" w:eastAsia="zh-CN"/>
        </w:rPr>
        <w:t>其一，具体性，对数据上位法条文进一步详细规定。为赋予法律规范以灵活应变性，国家一级立法机关通常会采用模糊性立法的草案拟定技术，在明确制度导向的基础上预留法律解释空间。例如《数据安全法》第42条提出“国家应当积极推进公共数据开放利用”的原则性要求，但没有提及具体如何开发利用。针对此，《上海市数据条例》第44条规定“公共数据授权运营”机制。在该机制下，市场主体可在政府授权范围内、依托统一规划的公共数据运营平台提供的安全环境，对公共数据实施开发利用，并提供数据产品，使得公共数据的利用和处理向市场开放，不再由政府部门垄断，最终实现对《数据安全法》第42条的规则具体化。</w:t>
      </w:r>
    </w:p>
    <w:p w14:paraId="236698A8">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default" w:ascii="宋体" w:hAnsi="宋体" w:eastAsia="宋体" w:cs="宋体"/>
          <w:color w:val="auto"/>
          <w:sz w:val="24"/>
          <w:lang w:val="en-US" w:eastAsia="zh-CN"/>
        </w:rPr>
      </w:pPr>
      <w:r>
        <w:rPr>
          <w:rFonts w:hint="eastAsia" w:ascii="宋体" w:hAnsi="宋体" w:eastAsia="宋体" w:cs="宋体"/>
          <w:color w:val="auto"/>
          <w:sz w:val="24"/>
          <w:lang w:val="en-US" w:eastAsia="zh-CN"/>
        </w:rPr>
        <w:t>其二，时代性，合理处理好立法的“前瞻性”与“现实性”的平衡。立法需要前瞻性，否则无法适应快速的时代更迭，但同时也应当从现实出发，着重于解决实际问题。过度的超前立法，会使立法内容失去现实基础，有悖可操作的原则。以大数据交易所的建设为例，据《2022年数据交易平台发展白皮书》显示，截至2022年8月，全国已成立40家数据交易机构。作为成立最早的贵阳大数据交易所，曾预计在未来3-5年内日交易额达到100亿元，但从2015—2022年，贵交所累计交易额仅为3773.29万元，与最初目标相去甚远。其他地区的数交所交易情况也与贵州类似。“数据二十条”明确指出“统筹构建规范高效的数据交易场所。加强数据交易场所体系设计，统筹优化数据交易场所的规划布局，严控交易场所数量”。就目前数据经济发展不平衡、不充分的现状而言，各地方盲目推动数交所大规模建设的做法，并未处理好立法“前瞻性”与“现实性”之间的动态平衡。</w:t>
      </w:r>
    </w:p>
    <w:p w14:paraId="43896875">
      <w:pPr>
        <w:keepNext w:val="0"/>
        <w:pageBreakBefore w:val="0"/>
        <w:kinsoku/>
        <w:wordWrap/>
        <w:overflowPunct/>
        <w:topLinePunct w:val="0"/>
        <w:autoSpaceDE/>
        <w:autoSpaceDN/>
        <w:bidi w:val="0"/>
        <w:adjustRightInd/>
        <w:snapToGrid w:val="0"/>
        <w:spacing w:line="360" w:lineRule="auto"/>
        <w:ind w:firstLine="480" w:firstLineChars="200"/>
        <w:textAlignment w:val="auto"/>
        <w:outlineLvl w:val="1"/>
        <w:rPr>
          <w:rFonts w:hint="eastAsia" w:ascii="宋体" w:hAnsi="宋体" w:eastAsia="宋体" w:cs="宋体"/>
          <w:color w:val="auto"/>
          <w:sz w:val="24"/>
          <w:highlight w:val="none"/>
          <w:lang w:val="en-US" w:eastAsia="zh-CN"/>
        </w:rPr>
      </w:pPr>
      <w:r>
        <w:rPr>
          <w:rFonts w:hint="eastAsia" w:ascii="宋体" w:hAnsi="宋体" w:eastAsia="宋体" w:cs="宋体"/>
          <w:color w:val="auto"/>
          <w:sz w:val="24"/>
          <w:highlight w:val="none"/>
          <w:lang w:val="en-US" w:eastAsia="zh-CN"/>
        </w:rPr>
        <w:t>其三，利民性，无论是《宪法》、基本法律还是地方性法规，其本质皆在于实现对“人”的治理。此处所谓“人”，并非抽象意义上的法律主体，而是置于具体地域社会关系中、享有权利并承担义务的具象化个体。正是地方独特的人口结构与地理空间，构成了地方性法规的治理对象与现实基础。利民性又建基于前文所述的具体性与时代性之上：唯有立足于本地实际、回应时代命题的数据立法，才能切实提升公民个体在数据治理结构中的公力救济可获得性，从而在制度运行中真正彰显“以人民为中心”的法治发展思想。</w:t>
      </w:r>
    </w:p>
    <w:p w14:paraId="766D8A26">
      <w:pPr>
        <w:keepNext w:val="0"/>
        <w:pageBreakBefore w:val="0"/>
        <w:kinsoku/>
        <w:wordWrap/>
        <w:overflowPunct/>
        <w:topLinePunct w:val="0"/>
        <w:autoSpaceDE/>
        <w:autoSpaceDN/>
        <w:bidi w:val="0"/>
        <w:adjustRightInd/>
        <w:snapToGrid w:val="0"/>
        <w:spacing w:line="360" w:lineRule="auto"/>
        <w:ind w:firstLine="480" w:firstLineChars="200"/>
        <w:textAlignment w:val="auto"/>
        <w:outlineLvl w:val="1"/>
        <w:rPr>
          <w:rFonts w:hint="eastAsia" w:ascii="宋体" w:hAnsi="宋体" w:eastAsia="宋体" w:cs="宋体"/>
          <w:color w:val="auto"/>
          <w:sz w:val="24"/>
          <w:highlight w:val="none"/>
          <w:lang w:val="en-US" w:eastAsia="zh-CN"/>
        </w:rPr>
      </w:pPr>
      <w:r>
        <w:rPr>
          <w:rFonts w:hint="eastAsia" w:ascii="宋体" w:hAnsi="宋体" w:eastAsia="宋体" w:cs="宋体"/>
          <w:color w:val="auto"/>
          <w:sz w:val="24"/>
          <w:highlight w:val="none"/>
          <w:lang w:val="en-US" w:eastAsia="zh-CN"/>
        </w:rPr>
        <w:t>在明确地方数据立法应具备“具体性”“时代性”与“利民性”三项要件的基础上，立法模式的选择成为实现这些价值目标的关键路径。可操作性不仅体现为立法内容贴合实际，更需依托于一种能够系统整合资源、灵活响应现实且具备制度韧性的立法结构。因此，有必要从理论原则走向机制构建，将立法理念转化为具有现实生命力的制度安排。“准分散”立法模式展现出其独特的优势，它既超越了纯粹集中或分散模式的二元对立，也为实现高水平数据治理提供了新的可能性。</w:t>
      </w:r>
    </w:p>
    <w:p w14:paraId="10F7CC96">
      <w:pPr>
        <w:keepNext w:val="0"/>
        <w:pageBreakBefore w:val="0"/>
        <w:kinsoku/>
        <w:wordWrap/>
        <w:overflowPunct/>
        <w:topLinePunct w:val="0"/>
        <w:autoSpaceDE/>
        <w:autoSpaceDN/>
        <w:bidi w:val="0"/>
        <w:adjustRightInd/>
        <w:snapToGrid w:val="0"/>
        <w:spacing w:line="360" w:lineRule="auto"/>
        <w:ind w:firstLine="480" w:firstLineChars="200"/>
        <w:textAlignment w:val="auto"/>
        <w:outlineLvl w:val="1"/>
        <w:rPr>
          <w:rFonts w:ascii="黑体" w:hAnsi="黑体" w:eastAsia="黑体" w:cs="黑体"/>
          <w:color w:val="auto"/>
          <w:sz w:val="24"/>
        </w:rPr>
      </w:pPr>
      <w:r>
        <w:rPr>
          <w:rFonts w:hint="eastAsia" w:ascii="黑体" w:hAnsi="黑体" w:eastAsia="黑体" w:cs="黑体"/>
          <w:color w:val="auto"/>
          <w:sz w:val="24"/>
        </w:rPr>
        <w:t>（</w:t>
      </w:r>
      <w:r>
        <w:rPr>
          <w:rFonts w:hint="eastAsia" w:ascii="黑体" w:hAnsi="黑体" w:eastAsia="黑体" w:cs="黑体"/>
          <w:color w:val="auto"/>
          <w:sz w:val="24"/>
          <w:lang w:val="en-US" w:eastAsia="zh-CN"/>
        </w:rPr>
        <w:t>三</w:t>
      </w:r>
      <w:r>
        <w:rPr>
          <w:rFonts w:hint="eastAsia" w:ascii="黑体" w:hAnsi="黑体" w:eastAsia="黑体" w:cs="黑体"/>
          <w:color w:val="auto"/>
          <w:sz w:val="24"/>
        </w:rPr>
        <w:t>）“准分散”为基础的</w:t>
      </w:r>
      <w:r>
        <w:rPr>
          <w:rFonts w:hint="eastAsia" w:ascii="黑体" w:hAnsi="黑体" w:eastAsia="黑体" w:cs="黑体"/>
          <w:color w:val="auto"/>
          <w:sz w:val="24"/>
          <w:lang w:val="en-US" w:eastAsia="zh-CN"/>
        </w:rPr>
        <w:t>地方数据</w:t>
      </w:r>
      <w:r>
        <w:rPr>
          <w:rFonts w:hint="eastAsia" w:ascii="黑体" w:hAnsi="黑体" w:eastAsia="黑体" w:cs="黑体"/>
          <w:color w:val="auto"/>
          <w:sz w:val="24"/>
        </w:rPr>
        <w:t>立法模式</w:t>
      </w:r>
    </w:p>
    <w:p w14:paraId="709A8909">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rPr>
      </w:pPr>
      <w:r>
        <w:rPr>
          <w:rFonts w:hint="eastAsia" w:ascii="宋体" w:hAnsi="宋体" w:eastAsia="宋体" w:cs="宋体"/>
          <w:color w:val="auto"/>
          <w:sz w:val="24"/>
          <w:lang w:val="en-US" w:eastAsia="zh-CN"/>
        </w:rPr>
        <w:t>在考虑立法“可操作性”的基础上，尚未完成省级数据立法工作的立法机关</w:t>
      </w:r>
      <w:r>
        <w:rPr>
          <w:rFonts w:hint="eastAsia" w:ascii="宋体" w:hAnsi="宋体" w:eastAsia="宋体" w:cs="宋体"/>
          <w:color w:val="auto"/>
          <w:sz w:val="24"/>
        </w:rPr>
        <w:t>应当在精准平衡“集中”与“分散”两种立法模式相互优势的基础上，采用准分散的立法模式。</w:t>
      </w:r>
      <w:commentRangeStart w:id="1"/>
      <w:r>
        <w:rPr>
          <w:rFonts w:hint="eastAsia" w:ascii="宋体" w:hAnsi="宋体" w:eastAsia="宋体" w:cs="宋体"/>
          <w:color w:val="auto"/>
          <w:sz w:val="24"/>
        </w:rPr>
        <w:t>具言之，准分散模式</w:t>
      </w:r>
      <w:commentRangeEnd w:id="1"/>
      <w:r>
        <w:rPr>
          <w:color w:val="auto"/>
        </w:rPr>
        <w:commentReference w:id="1"/>
      </w:r>
      <w:r>
        <w:rPr>
          <w:rFonts w:hint="eastAsia" w:ascii="宋体" w:hAnsi="宋体" w:eastAsia="宋体" w:cs="宋体"/>
          <w:color w:val="auto"/>
          <w:sz w:val="24"/>
        </w:rPr>
        <w:t>不是借鉴美国“散装”的地方数据法律体系，单独就特定数据客体与数据主体进行立法规制</w:t>
      </w:r>
      <w:r>
        <w:rPr>
          <w:rFonts w:hint="eastAsia" w:ascii="宋体" w:hAnsi="宋体" w:eastAsia="宋体" w:cs="宋体"/>
          <w:color w:val="auto"/>
          <w:sz w:val="24"/>
          <w:lang w:eastAsia="zh-CN"/>
        </w:rPr>
        <w:t>，</w:t>
      </w:r>
      <w:r>
        <w:rPr>
          <w:rFonts w:hint="eastAsia" w:ascii="宋体" w:hAnsi="宋体" w:eastAsia="宋体" w:cs="宋体"/>
          <w:color w:val="auto"/>
          <w:sz w:val="24"/>
        </w:rPr>
        <w:t>也不是参考欧盟内部以及国内部分地方的做法，制定兼顾数据开发利用与安全保障的“数据法典”。相反，</w:t>
      </w:r>
      <w:r>
        <w:rPr>
          <w:rFonts w:hint="eastAsia" w:ascii="宋体" w:hAnsi="宋体" w:eastAsia="宋体" w:cs="宋体"/>
          <w:color w:val="auto"/>
          <w:sz w:val="24"/>
          <w:lang w:val="en-US" w:eastAsia="zh-CN"/>
        </w:rPr>
        <w:t>地方</w:t>
      </w:r>
      <w:r>
        <w:rPr>
          <w:rFonts w:hint="eastAsia" w:ascii="宋体" w:hAnsi="宋体" w:eastAsia="宋体" w:cs="宋体"/>
          <w:color w:val="auto"/>
          <w:sz w:val="24"/>
        </w:rPr>
        <w:t>数据立法的准分散模式是将数据的</w:t>
      </w:r>
      <w:commentRangeStart w:id="2"/>
      <w:r>
        <w:rPr>
          <w:rFonts w:hint="eastAsia" w:ascii="宋体" w:hAnsi="宋体" w:eastAsia="宋体" w:cs="宋体"/>
          <w:color w:val="auto"/>
          <w:sz w:val="24"/>
        </w:rPr>
        <w:t>经济价值与安全价值有机剥离</w:t>
      </w:r>
      <w:commentRangeEnd w:id="2"/>
      <w:r>
        <w:rPr>
          <w:color w:val="auto"/>
        </w:rPr>
        <w:commentReference w:id="2"/>
      </w:r>
      <w:r>
        <w:rPr>
          <w:rFonts w:hint="eastAsia" w:ascii="宋体" w:hAnsi="宋体" w:eastAsia="宋体" w:cs="宋体"/>
          <w:color w:val="auto"/>
          <w:sz w:val="24"/>
        </w:rPr>
        <w:t>，分别立法，先制成“数据发展应用条例”与“数据安全保障条例”</w:t>
      </w:r>
      <w:r>
        <w:rPr>
          <w:rFonts w:hint="eastAsia" w:ascii="宋体" w:hAnsi="宋体" w:eastAsia="宋体" w:cs="宋体"/>
          <w:color w:val="auto"/>
          <w:sz w:val="24"/>
          <w:lang w:val="en-US" w:eastAsia="zh-CN"/>
        </w:rPr>
        <w:t>等专门法规</w:t>
      </w:r>
      <w:r>
        <w:rPr>
          <w:rFonts w:hint="eastAsia" w:ascii="宋体" w:hAnsi="宋体" w:eastAsia="宋体" w:cs="宋体"/>
          <w:color w:val="auto"/>
          <w:sz w:val="24"/>
        </w:rPr>
        <w:t>，</w:t>
      </w:r>
      <w:commentRangeStart w:id="3"/>
      <w:r>
        <w:rPr>
          <w:rFonts w:hint="eastAsia" w:ascii="宋体" w:hAnsi="宋体" w:eastAsia="宋体" w:cs="宋体"/>
          <w:color w:val="auto"/>
          <w:sz w:val="24"/>
        </w:rPr>
        <w:t>待时机成熟</w:t>
      </w:r>
      <w:commentRangeEnd w:id="3"/>
      <w:r>
        <w:rPr>
          <w:color w:val="auto"/>
        </w:rPr>
        <w:commentReference w:id="3"/>
      </w:r>
      <w:r>
        <w:rPr>
          <w:rFonts w:hint="eastAsia" w:ascii="宋体" w:hAnsi="宋体" w:eastAsia="宋体" w:cs="宋体"/>
          <w:color w:val="auto"/>
          <w:sz w:val="24"/>
        </w:rPr>
        <w:t>再出台综合的“数据条例”</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形成</w:t>
      </w:r>
      <w:commentRangeStart w:id="4"/>
      <w:r>
        <w:rPr>
          <w:rFonts w:hint="eastAsia" w:ascii="宋体" w:hAnsi="宋体" w:eastAsia="宋体" w:cs="宋体"/>
          <w:color w:val="auto"/>
          <w:sz w:val="24"/>
          <w:lang w:val="en-US" w:eastAsia="zh-CN"/>
        </w:rPr>
        <w:t>“1+N”</w:t>
      </w:r>
      <w:commentRangeEnd w:id="4"/>
      <w:r>
        <w:rPr>
          <w:color w:val="auto"/>
        </w:rPr>
        <w:commentReference w:id="4"/>
      </w:r>
      <w:r>
        <w:rPr>
          <w:rFonts w:hint="eastAsia" w:ascii="宋体" w:hAnsi="宋体" w:eastAsia="宋体" w:cs="宋体"/>
          <w:color w:val="auto"/>
          <w:sz w:val="24"/>
          <w:lang w:val="en-US" w:eastAsia="zh-CN"/>
        </w:rPr>
        <w:t>并行的地方数据立法矩阵</w:t>
      </w:r>
      <w:r>
        <w:rPr>
          <w:rFonts w:hint="eastAsia" w:ascii="宋体" w:hAnsi="宋体" w:eastAsia="宋体" w:cs="宋体"/>
          <w:color w:val="auto"/>
          <w:sz w:val="24"/>
        </w:rPr>
        <w:t>。质言之，准分散模式是介于“集中”与“分散”之间的立法模式。它既有效克服了分散模式容易产生的立法重复与冲突问题，又将集中模式有助于系统化与耦合化系统要素的优势结合起来，实现从“非此即彼”</w:t>
      </w:r>
      <w:r>
        <w:rPr>
          <w:rFonts w:hint="eastAsia" w:ascii="宋体" w:hAnsi="宋体" w:eastAsia="宋体" w:cs="宋体"/>
          <w:color w:val="auto"/>
          <w:sz w:val="24"/>
          <w:lang w:val="en-US" w:eastAsia="zh-CN"/>
        </w:rPr>
        <w:t>到</w:t>
      </w:r>
      <w:r>
        <w:rPr>
          <w:rFonts w:hint="eastAsia" w:ascii="宋体" w:hAnsi="宋体" w:eastAsia="宋体" w:cs="宋体"/>
          <w:color w:val="auto"/>
          <w:sz w:val="24"/>
        </w:rPr>
        <w:t>“亦此亦彼”。</w:t>
      </w:r>
    </w:p>
    <w:p w14:paraId="335CB6AC">
      <w:pPr>
        <w:pStyle w:val="6"/>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default" w:ascii="宋体" w:hAnsi="宋体" w:eastAsia="宋体" w:cs="宋体"/>
          <w:color w:val="auto"/>
          <w:sz w:val="24"/>
          <w:lang w:val="en-US" w:eastAsia="zh-CN"/>
        </w:rPr>
      </w:pPr>
      <w:r>
        <w:rPr>
          <w:rFonts w:hint="eastAsia" w:ascii="宋体" w:hAnsi="宋体" w:eastAsia="宋体" w:cs="宋体"/>
          <w:color w:val="auto"/>
          <w:kern w:val="2"/>
          <w:sz w:val="24"/>
          <w:szCs w:val="24"/>
          <w:lang w:val="en-US" w:eastAsia="zh-CN" w:bidi="ar-SA"/>
        </w:rPr>
        <w:t>除了上述的内在价值外，准分散模式亦具备相当的外在价值。首先，准分散模式有助于有效应对数据立法的紧迫性。截至2023年11月17日，全国已有22个省级人大出台了地方性数据法规，尚有9个省级人大尚未完成（分别为新疆、湖北、湖南、甘肃、青海、内蒙古、宁夏、云南、西藏）。而这</w:t>
      </w:r>
      <w:r>
        <w:rPr>
          <w:rFonts w:hint="eastAsia" w:ascii="宋体" w:hAnsi="宋体" w:eastAsia="宋体" w:cs="宋体"/>
          <w:color w:val="auto"/>
          <w:sz w:val="24"/>
        </w:rPr>
        <w:t>9个地区当中又有</w:t>
      </w:r>
      <w:r>
        <w:rPr>
          <w:rFonts w:hint="eastAsia" w:ascii="宋体" w:hAnsi="宋体" w:eastAsia="宋体" w:cs="宋体"/>
          <w:color w:val="auto"/>
          <w:sz w:val="24"/>
          <w:lang w:val="en-US" w:eastAsia="zh-CN"/>
        </w:rPr>
        <w:t>5</w:t>
      </w:r>
      <w:r>
        <w:rPr>
          <w:rFonts w:hint="eastAsia" w:ascii="宋体" w:hAnsi="宋体" w:eastAsia="宋体" w:cs="宋体"/>
          <w:color w:val="auto"/>
          <w:sz w:val="24"/>
        </w:rPr>
        <w:t>个已经出台了相应的政府规章</w:t>
      </w:r>
      <w:r>
        <w:rPr>
          <w:rFonts w:hint="eastAsia" w:ascii="宋体" w:hAnsi="宋体" w:eastAsia="宋体" w:cs="宋体"/>
          <w:color w:val="auto"/>
          <w:sz w:val="24"/>
          <w:lang w:eastAsia="zh-CN"/>
        </w:rPr>
        <w:t>（</w:t>
      </w:r>
      <w:r>
        <w:rPr>
          <w:rFonts w:hint="eastAsia" w:ascii="宋体" w:hAnsi="宋体" w:eastAsia="宋体" w:cs="宋体"/>
          <w:color w:val="auto"/>
          <w:kern w:val="2"/>
          <w:sz w:val="24"/>
          <w:szCs w:val="24"/>
          <w:lang w:val="en-US" w:eastAsia="zh-CN" w:bidi="ar-SA"/>
        </w:rPr>
        <w:t>分别为湖北、内蒙古、云南、湖南、新疆）</w:t>
      </w:r>
      <w:r>
        <w:rPr>
          <w:rFonts w:hint="eastAsia" w:ascii="宋体" w:hAnsi="宋体" w:eastAsia="宋体" w:cs="宋体"/>
          <w:color w:val="auto"/>
          <w:sz w:val="24"/>
        </w:rPr>
        <w:t>。</w:t>
      </w:r>
      <w:r>
        <w:rPr>
          <w:rFonts w:hint="eastAsia" w:ascii="宋体" w:hAnsi="宋体" w:eastAsia="宋体" w:cs="宋体"/>
          <w:color w:val="auto"/>
          <w:sz w:val="24"/>
          <w:lang w:val="en-US" w:eastAsia="zh-CN"/>
        </w:rPr>
        <w:t>因而对于其余4个省份（甘肃、青海、西藏、宁夏）</w:t>
      </w:r>
      <w:r>
        <w:rPr>
          <w:rFonts w:hint="eastAsia" w:ascii="宋体" w:hAnsi="宋体" w:eastAsia="宋体" w:cs="宋体"/>
          <w:color w:val="auto"/>
          <w:sz w:val="24"/>
          <w:lang w:eastAsia="zh-CN"/>
        </w:rPr>
        <w:t>，</w:t>
      </w:r>
      <w:r>
        <w:rPr>
          <w:rFonts w:hint="eastAsia" w:ascii="宋体" w:hAnsi="宋体" w:eastAsia="宋体" w:cs="宋体"/>
          <w:color w:val="auto"/>
          <w:sz w:val="24"/>
        </w:rPr>
        <w:t>准分散模式可凭借调整对象的特定性、针对性，不仅节约数据立法的时间成本，还能为数据开发利用与安全保障提供相对精细与可操作的治理，并在数据立法初期尝试中形成一种开放、灵活</w:t>
      </w:r>
      <w:r>
        <w:rPr>
          <w:rFonts w:hint="eastAsia" w:ascii="宋体" w:hAnsi="宋体" w:eastAsia="宋体" w:cs="宋体"/>
          <w:color w:val="auto"/>
          <w:sz w:val="24"/>
          <w:lang w:eastAsia="zh-CN"/>
        </w:rPr>
        <w:t>，</w:t>
      </w:r>
      <w:r>
        <w:rPr>
          <w:rFonts w:hint="eastAsia" w:ascii="宋体" w:hAnsi="宋体" w:eastAsia="宋体" w:cs="宋体"/>
          <w:color w:val="auto"/>
          <w:sz w:val="24"/>
        </w:rPr>
        <w:t>扩大试错空间的机制。</w:t>
      </w:r>
      <w:r>
        <w:rPr>
          <w:rFonts w:hint="eastAsia" w:ascii="宋体" w:hAnsi="宋体" w:eastAsia="宋体" w:cs="宋体"/>
          <w:color w:val="auto"/>
          <w:sz w:val="24"/>
          <w:lang w:val="en-US" w:eastAsia="zh-CN"/>
        </w:rPr>
        <w:t>经调研发现，在立法实践中我国已经有6个省市采用“准分散”的数据立法模式，其中上海市、重庆市、江西省、河南省的分散数据立法都先于“数据条例”出台（见表3）。</w:t>
      </w:r>
    </w:p>
    <w:p w14:paraId="62063075">
      <w:pPr>
        <w:keepNext w:val="0"/>
        <w:pageBreakBefore w:val="0"/>
        <w:kinsoku/>
        <w:wordWrap/>
        <w:overflowPunct/>
        <w:topLinePunct w:val="0"/>
        <w:autoSpaceDE/>
        <w:autoSpaceDN/>
        <w:bidi w:val="0"/>
        <w:adjustRightInd/>
        <w:snapToGrid w:val="0"/>
        <w:spacing w:line="360" w:lineRule="auto"/>
        <w:jc w:val="center"/>
        <w:textAlignment w:val="auto"/>
        <w:rPr>
          <w:rFonts w:hint="default"/>
          <w:color w:val="auto"/>
          <w:sz w:val="22"/>
          <w:szCs w:val="22"/>
          <w:lang w:val="en-US" w:eastAsia="zh-CN"/>
        </w:rPr>
      </w:pPr>
      <w:r>
        <w:rPr>
          <w:rFonts w:hint="eastAsia"/>
          <w:color w:val="auto"/>
          <w:sz w:val="22"/>
          <w:szCs w:val="22"/>
          <w:lang w:val="en-US" w:eastAsia="zh-CN"/>
        </w:rPr>
        <w:t>表</w:t>
      </w:r>
      <w:r>
        <w:rPr>
          <w:rFonts w:hint="eastAsia" w:ascii="宋体" w:hAnsi="宋体" w:eastAsia="宋体" w:cs="宋体"/>
          <w:color w:val="auto"/>
          <w:sz w:val="22"/>
          <w:szCs w:val="22"/>
          <w:lang w:val="en-US" w:eastAsia="zh-CN"/>
        </w:rPr>
        <w:t>1</w:t>
      </w:r>
      <w:r>
        <w:rPr>
          <w:rFonts w:hint="eastAsia"/>
          <w:color w:val="auto"/>
          <w:sz w:val="22"/>
          <w:szCs w:val="22"/>
          <w:lang w:val="en-US" w:eastAsia="zh-CN"/>
        </w:rPr>
        <w:t xml:space="preserve">  部分地方数据立法情况统计</w:t>
      </w:r>
    </w:p>
    <w:tbl>
      <w:tblPr>
        <w:tblStyle w:val="1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6"/>
        <w:gridCol w:w="4537"/>
        <w:gridCol w:w="1713"/>
        <w:gridCol w:w="1713"/>
      </w:tblGrid>
      <w:tr w14:paraId="02A97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 w:type="pct"/>
            <w:tcBorders>
              <w:top w:val="single" w:color="auto" w:sz="12" w:space="0"/>
              <w:left w:val="nil"/>
              <w:right w:val="nil"/>
            </w:tcBorders>
            <w:noWrap w:val="0"/>
            <w:vAlign w:val="top"/>
          </w:tcPr>
          <w:p w14:paraId="3EC84D33">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地区</w:t>
            </w:r>
          </w:p>
        </w:tc>
        <w:tc>
          <w:tcPr>
            <w:tcW w:w="2662" w:type="pct"/>
            <w:tcBorders>
              <w:top w:val="single" w:color="auto" w:sz="12" w:space="0"/>
              <w:left w:val="nil"/>
              <w:right w:val="nil"/>
            </w:tcBorders>
            <w:noWrap w:val="0"/>
            <w:vAlign w:val="center"/>
          </w:tcPr>
          <w:p w14:paraId="7E4D1024">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规范名称</w:t>
            </w:r>
          </w:p>
        </w:tc>
        <w:tc>
          <w:tcPr>
            <w:tcW w:w="1005" w:type="pct"/>
            <w:tcBorders>
              <w:top w:val="single" w:color="auto" w:sz="12" w:space="0"/>
              <w:left w:val="nil"/>
              <w:right w:val="nil"/>
            </w:tcBorders>
            <w:noWrap w:val="0"/>
            <w:vAlign w:val="center"/>
          </w:tcPr>
          <w:p w14:paraId="0EF4FCE2">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颁布时间</w:t>
            </w:r>
          </w:p>
        </w:tc>
        <w:tc>
          <w:tcPr>
            <w:tcW w:w="1005" w:type="pct"/>
            <w:tcBorders>
              <w:top w:val="single" w:color="auto" w:sz="12" w:space="0"/>
              <w:left w:val="nil"/>
              <w:right w:val="nil"/>
            </w:tcBorders>
            <w:noWrap w:val="0"/>
            <w:vAlign w:val="center"/>
          </w:tcPr>
          <w:p w14:paraId="28AF99DB">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体例</w:t>
            </w:r>
          </w:p>
        </w:tc>
      </w:tr>
      <w:tr w14:paraId="194EA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 w:type="pct"/>
            <w:vMerge w:val="restart"/>
            <w:tcBorders>
              <w:left w:val="nil"/>
              <w:bottom w:val="nil"/>
              <w:right w:val="nil"/>
            </w:tcBorders>
            <w:noWrap w:val="0"/>
            <w:vAlign w:val="center"/>
          </w:tcPr>
          <w:p w14:paraId="639ADEDD">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default"/>
                <w:color w:val="auto"/>
                <w:sz w:val="21"/>
                <w:szCs w:val="21"/>
                <w:vertAlign w:val="baseline"/>
                <w:lang w:val="en-US" w:eastAsia="zh-CN"/>
              </w:rPr>
            </w:pPr>
            <w:r>
              <w:rPr>
                <w:rFonts w:hint="eastAsia"/>
                <w:color w:val="auto"/>
                <w:sz w:val="21"/>
                <w:szCs w:val="21"/>
                <w:vertAlign w:val="baseline"/>
                <w:lang w:val="en-US" w:eastAsia="zh-CN"/>
              </w:rPr>
              <w:t>深圳</w:t>
            </w:r>
          </w:p>
        </w:tc>
        <w:tc>
          <w:tcPr>
            <w:tcW w:w="2662" w:type="pct"/>
            <w:tcBorders>
              <w:left w:val="nil"/>
              <w:bottom w:val="nil"/>
              <w:right w:val="nil"/>
            </w:tcBorders>
            <w:noWrap w:val="0"/>
            <w:vAlign w:val="top"/>
          </w:tcPr>
          <w:p w14:paraId="2A1F2BC7">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default"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《深圳经济特区数据条例》</w:t>
            </w:r>
          </w:p>
        </w:tc>
        <w:tc>
          <w:tcPr>
            <w:tcW w:w="1005" w:type="pct"/>
            <w:tcBorders>
              <w:left w:val="nil"/>
              <w:bottom w:val="nil"/>
              <w:right w:val="nil"/>
            </w:tcBorders>
            <w:noWrap w:val="0"/>
            <w:vAlign w:val="top"/>
          </w:tcPr>
          <w:p w14:paraId="0CE4150E">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2021.7.6</w:t>
            </w:r>
          </w:p>
        </w:tc>
        <w:tc>
          <w:tcPr>
            <w:tcW w:w="1005" w:type="pct"/>
            <w:tcBorders>
              <w:left w:val="nil"/>
              <w:bottom w:val="nil"/>
              <w:right w:val="nil"/>
            </w:tcBorders>
            <w:noWrap w:val="0"/>
            <w:vAlign w:val="top"/>
          </w:tcPr>
          <w:p w14:paraId="61E61E51">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default"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综合立法</w:t>
            </w:r>
          </w:p>
        </w:tc>
      </w:tr>
      <w:tr w14:paraId="3B593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 w:type="pct"/>
            <w:vMerge w:val="continue"/>
            <w:tcBorders>
              <w:top w:val="nil"/>
              <w:left w:val="nil"/>
              <w:bottom w:val="nil"/>
              <w:right w:val="nil"/>
            </w:tcBorders>
            <w:noWrap w:val="0"/>
            <w:vAlign w:val="center"/>
          </w:tcPr>
          <w:p w14:paraId="713C3E19">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color w:val="auto"/>
                <w:sz w:val="21"/>
                <w:szCs w:val="21"/>
                <w:vertAlign w:val="baseline"/>
                <w:lang w:val="en-US" w:eastAsia="zh-CN"/>
              </w:rPr>
            </w:pPr>
          </w:p>
        </w:tc>
        <w:tc>
          <w:tcPr>
            <w:tcW w:w="2662" w:type="pct"/>
            <w:tcBorders>
              <w:top w:val="nil"/>
              <w:left w:val="nil"/>
              <w:bottom w:val="nil"/>
              <w:right w:val="nil"/>
            </w:tcBorders>
            <w:noWrap w:val="0"/>
            <w:vAlign w:val="top"/>
          </w:tcPr>
          <w:p w14:paraId="12205493">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《深圳经济特区数字经济产业促进条例》</w:t>
            </w:r>
          </w:p>
        </w:tc>
        <w:tc>
          <w:tcPr>
            <w:tcW w:w="1005" w:type="pct"/>
            <w:tcBorders>
              <w:top w:val="nil"/>
              <w:left w:val="nil"/>
              <w:bottom w:val="nil"/>
              <w:right w:val="nil"/>
            </w:tcBorders>
            <w:noWrap w:val="0"/>
            <w:vAlign w:val="top"/>
          </w:tcPr>
          <w:p w14:paraId="5CD2112C">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2022.9.5</w:t>
            </w:r>
          </w:p>
        </w:tc>
        <w:tc>
          <w:tcPr>
            <w:tcW w:w="1005" w:type="pct"/>
            <w:tcBorders>
              <w:top w:val="nil"/>
              <w:left w:val="nil"/>
              <w:bottom w:val="nil"/>
              <w:right w:val="nil"/>
            </w:tcBorders>
            <w:noWrap w:val="0"/>
            <w:vAlign w:val="top"/>
          </w:tcPr>
          <w:p w14:paraId="16205203">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default"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专门立法</w:t>
            </w:r>
          </w:p>
        </w:tc>
      </w:tr>
      <w:tr w14:paraId="04FD5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326" w:type="pct"/>
            <w:vMerge w:val="continue"/>
            <w:tcBorders>
              <w:top w:val="nil"/>
              <w:left w:val="nil"/>
              <w:bottom w:val="nil"/>
              <w:right w:val="nil"/>
            </w:tcBorders>
            <w:noWrap w:val="0"/>
            <w:vAlign w:val="center"/>
          </w:tcPr>
          <w:p w14:paraId="56090E36">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color w:val="auto"/>
                <w:sz w:val="21"/>
                <w:szCs w:val="21"/>
                <w:vertAlign w:val="baseline"/>
                <w:lang w:val="en-US" w:eastAsia="zh-CN"/>
              </w:rPr>
            </w:pPr>
          </w:p>
        </w:tc>
        <w:tc>
          <w:tcPr>
            <w:tcW w:w="2662" w:type="pct"/>
            <w:tcBorders>
              <w:top w:val="nil"/>
              <w:left w:val="nil"/>
              <w:bottom w:val="nil"/>
              <w:right w:val="nil"/>
            </w:tcBorders>
            <w:noWrap w:val="0"/>
            <w:vAlign w:val="top"/>
          </w:tcPr>
          <w:p w14:paraId="6A69E9C6">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《深圳市公共数据授权运营管理办法（征求意见稿）》</w:t>
            </w:r>
          </w:p>
        </w:tc>
        <w:tc>
          <w:tcPr>
            <w:tcW w:w="1005" w:type="pct"/>
            <w:tcBorders>
              <w:top w:val="nil"/>
              <w:left w:val="nil"/>
              <w:bottom w:val="nil"/>
              <w:right w:val="nil"/>
            </w:tcBorders>
            <w:noWrap w:val="0"/>
            <w:vAlign w:val="top"/>
          </w:tcPr>
          <w:p w14:paraId="0D54F231">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2023.9.26</w:t>
            </w:r>
          </w:p>
        </w:tc>
        <w:tc>
          <w:tcPr>
            <w:tcW w:w="1005" w:type="pct"/>
            <w:tcBorders>
              <w:top w:val="nil"/>
              <w:left w:val="nil"/>
              <w:bottom w:val="nil"/>
              <w:right w:val="nil"/>
            </w:tcBorders>
            <w:noWrap w:val="0"/>
            <w:vAlign w:val="top"/>
          </w:tcPr>
          <w:p w14:paraId="2A996247">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专门立法</w:t>
            </w:r>
          </w:p>
        </w:tc>
      </w:tr>
      <w:tr w14:paraId="04164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 w:type="pct"/>
            <w:vMerge w:val="restart"/>
            <w:tcBorders>
              <w:top w:val="nil"/>
              <w:left w:val="nil"/>
              <w:bottom w:val="nil"/>
              <w:right w:val="nil"/>
            </w:tcBorders>
            <w:noWrap w:val="0"/>
            <w:vAlign w:val="center"/>
          </w:tcPr>
          <w:p w14:paraId="74367B18">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default"/>
                <w:color w:val="auto"/>
                <w:sz w:val="21"/>
                <w:szCs w:val="21"/>
                <w:vertAlign w:val="baseline"/>
                <w:lang w:val="en-US" w:eastAsia="zh-CN"/>
              </w:rPr>
            </w:pPr>
            <w:r>
              <w:rPr>
                <w:rFonts w:hint="eastAsia"/>
                <w:color w:val="auto"/>
                <w:sz w:val="21"/>
                <w:szCs w:val="21"/>
                <w:vertAlign w:val="baseline"/>
                <w:lang w:val="en-US" w:eastAsia="zh-CN"/>
              </w:rPr>
              <w:t>上海</w:t>
            </w:r>
          </w:p>
        </w:tc>
        <w:tc>
          <w:tcPr>
            <w:tcW w:w="2662" w:type="pct"/>
            <w:tcBorders>
              <w:top w:val="nil"/>
              <w:left w:val="nil"/>
              <w:bottom w:val="nil"/>
              <w:right w:val="nil"/>
            </w:tcBorders>
            <w:noWrap w:val="0"/>
            <w:vAlign w:val="top"/>
          </w:tcPr>
          <w:p w14:paraId="5296414F">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default"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《上海市数据条例》</w:t>
            </w:r>
          </w:p>
        </w:tc>
        <w:tc>
          <w:tcPr>
            <w:tcW w:w="1005" w:type="pct"/>
            <w:tcBorders>
              <w:top w:val="nil"/>
              <w:left w:val="nil"/>
              <w:bottom w:val="nil"/>
              <w:right w:val="nil"/>
            </w:tcBorders>
            <w:noWrap w:val="0"/>
            <w:vAlign w:val="top"/>
          </w:tcPr>
          <w:p w14:paraId="49CA3577">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2021.11.25</w:t>
            </w:r>
          </w:p>
        </w:tc>
        <w:tc>
          <w:tcPr>
            <w:tcW w:w="1005" w:type="pct"/>
            <w:tcBorders>
              <w:top w:val="nil"/>
              <w:left w:val="nil"/>
              <w:bottom w:val="nil"/>
              <w:right w:val="nil"/>
            </w:tcBorders>
            <w:noWrap w:val="0"/>
            <w:vAlign w:val="top"/>
          </w:tcPr>
          <w:p w14:paraId="65324AA4">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综合立法</w:t>
            </w:r>
          </w:p>
        </w:tc>
      </w:tr>
      <w:tr w14:paraId="27C43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 w:type="pct"/>
            <w:vMerge w:val="continue"/>
            <w:tcBorders>
              <w:top w:val="nil"/>
              <w:left w:val="nil"/>
              <w:bottom w:val="nil"/>
              <w:right w:val="nil"/>
            </w:tcBorders>
            <w:noWrap w:val="0"/>
            <w:vAlign w:val="center"/>
          </w:tcPr>
          <w:p w14:paraId="41FBAEAD">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color w:val="auto"/>
                <w:sz w:val="21"/>
                <w:szCs w:val="21"/>
                <w:vertAlign w:val="baseline"/>
                <w:lang w:val="en-US" w:eastAsia="zh-CN"/>
              </w:rPr>
            </w:pPr>
          </w:p>
        </w:tc>
        <w:tc>
          <w:tcPr>
            <w:tcW w:w="2662" w:type="pct"/>
            <w:tcBorders>
              <w:top w:val="nil"/>
              <w:left w:val="nil"/>
              <w:bottom w:val="nil"/>
              <w:right w:val="nil"/>
            </w:tcBorders>
            <w:noWrap w:val="0"/>
            <w:vAlign w:val="top"/>
          </w:tcPr>
          <w:p w14:paraId="64AAE5C3">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default"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《上海市公共数据和“一网通办”管理办法》</w:t>
            </w:r>
          </w:p>
        </w:tc>
        <w:tc>
          <w:tcPr>
            <w:tcW w:w="1005" w:type="pct"/>
            <w:tcBorders>
              <w:top w:val="nil"/>
              <w:left w:val="nil"/>
              <w:bottom w:val="nil"/>
              <w:right w:val="nil"/>
            </w:tcBorders>
            <w:noWrap w:val="0"/>
            <w:vAlign w:val="top"/>
          </w:tcPr>
          <w:p w14:paraId="228E254F">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2018.5.25</w:t>
            </w:r>
          </w:p>
        </w:tc>
        <w:tc>
          <w:tcPr>
            <w:tcW w:w="1005" w:type="pct"/>
            <w:tcBorders>
              <w:top w:val="nil"/>
              <w:left w:val="nil"/>
              <w:bottom w:val="nil"/>
              <w:right w:val="nil"/>
            </w:tcBorders>
            <w:noWrap w:val="0"/>
            <w:vAlign w:val="top"/>
          </w:tcPr>
          <w:p w14:paraId="445099F1">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专门立法</w:t>
            </w:r>
          </w:p>
        </w:tc>
      </w:tr>
      <w:tr w14:paraId="36FA0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 w:type="pct"/>
            <w:vMerge w:val="continue"/>
            <w:tcBorders>
              <w:top w:val="nil"/>
              <w:left w:val="nil"/>
              <w:bottom w:val="nil"/>
              <w:right w:val="nil"/>
            </w:tcBorders>
            <w:noWrap w:val="0"/>
            <w:vAlign w:val="center"/>
          </w:tcPr>
          <w:p w14:paraId="34979EB0">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color w:val="auto"/>
                <w:sz w:val="21"/>
                <w:szCs w:val="21"/>
                <w:vertAlign w:val="baseline"/>
                <w:lang w:val="en-US" w:eastAsia="zh-CN"/>
              </w:rPr>
            </w:pPr>
          </w:p>
        </w:tc>
        <w:tc>
          <w:tcPr>
            <w:tcW w:w="2662" w:type="pct"/>
            <w:tcBorders>
              <w:top w:val="nil"/>
              <w:left w:val="nil"/>
              <w:bottom w:val="nil"/>
              <w:right w:val="nil"/>
            </w:tcBorders>
            <w:noWrap w:val="0"/>
            <w:vAlign w:val="top"/>
          </w:tcPr>
          <w:p w14:paraId="7DDA1D9D">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《上海市水务局公共数据管理办法》</w:t>
            </w:r>
          </w:p>
        </w:tc>
        <w:tc>
          <w:tcPr>
            <w:tcW w:w="1005" w:type="pct"/>
            <w:tcBorders>
              <w:top w:val="nil"/>
              <w:left w:val="nil"/>
              <w:bottom w:val="nil"/>
              <w:right w:val="nil"/>
            </w:tcBorders>
            <w:noWrap w:val="0"/>
            <w:vAlign w:val="top"/>
          </w:tcPr>
          <w:p w14:paraId="423A0959">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2022.11.18</w:t>
            </w:r>
          </w:p>
        </w:tc>
        <w:tc>
          <w:tcPr>
            <w:tcW w:w="1005" w:type="pct"/>
            <w:tcBorders>
              <w:top w:val="nil"/>
              <w:left w:val="nil"/>
              <w:bottom w:val="nil"/>
              <w:right w:val="nil"/>
            </w:tcBorders>
            <w:noWrap w:val="0"/>
            <w:vAlign w:val="top"/>
          </w:tcPr>
          <w:p w14:paraId="3FAE1493">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专门立法</w:t>
            </w:r>
          </w:p>
        </w:tc>
      </w:tr>
      <w:tr w14:paraId="1CD4F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 w:type="pct"/>
            <w:vMerge w:val="continue"/>
            <w:tcBorders>
              <w:top w:val="nil"/>
              <w:left w:val="nil"/>
              <w:bottom w:val="nil"/>
              <w:right w:val="nil"/>
            </w:tcBorders>
            <w:noWrap w:val="0"/>
            <w:vAlign w:val="center"/>
          </w:tcPr>
          <w:p w14:paraId="74333E2E">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color w:val="auto"/>
                <w:sz w:val="21"/>
                <w:szCs w:val="21"/>
                <w:vertAlign w:val="baseline"/>
                <w:lang w:val="en-US" w:eastAsia="zh-CN"/>
              </w:rPr>
            </w:pPr>
          </w:p>
        </w:tc>
        <w:tc>
          <w:tcPr>
            <w:tcW w:w="2662" w:type="pct"/>
            <w:tcBorders>
              <w:top w:val="nil"/>
              <w:left w:val="nil"/>
              <w:bottom w:val="nil"/>
              <w:right w:val="nil"/>
            </w:tcBorders>
            <w:noWrap w:val="0"/>
            <w:vAlign w:val="top"/>
          </w:tcPr>
          <w:p w14:paraId="2A4A6D47">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《上海市公共数据开放实施细则》</w:t>
            </w:r>
          </w:p>
        </w:tc>
        <w:tc>
          <w:tcPr>
            <w:tcW w:w="1005" w:type="pct"/>
            <w:tcBorders>
              <w:top w:val="nil"/>
              <w:left w:val="nil"/>
              <w:bottom w:val="nil"/>
              <w:right w:val="nil"/>
            </w:tcBorders>
            <w:noWrap w:val="0"/>
            <w:vAlign w:val="top"/>
          </w:tcPr>
          <w:p w14:paraId="2D714ABB">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2022.11.18</w:t>
            </w:r>
          </w:p>
        </w:tc>
        <w:tc>
          <w:tcPr>
            <w:tcW w:w="1005" w:type="pct"/>
            <w:tcBorders>
              <w:top w:val="nil"/>
              <w:left w:val="nil"/>
              <w:bottom w:val="nil"/>
              <w:right w:val="nil"/>
            </w:tcBorders>
            <w:noWrap w:val="0"/>
            <w:vAlign w:val="top"/>
          </w:tcPr>
          <w:p w14:paraId="51E40336">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专门立法</w:t>
            </w:r>
          </w:p>
        </w:tc>
      </w:tr>
      <w:tr w14:paraId="0E37F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trPr>
        <w:tc>
          <w:tcPr>
            <w:tcW w:w="326" w:type="pct"/>
            <w:vMerge w:val="restart"/>
            <w:tcBorders>
              <w:top w:val="nil"/>
              <w:left w:val="nil"/>
              <w:bottom w:val="nil"/>
              <w:right w:val="nil"/>
            </w:tcBorders>
            <w:noWrap w:val="0"/>
            <w:vAlign w:val="center"/>
          </w:tcPr>
          <w:p w14:paraId="2D68FC5C">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default"/>
                <w:color w:val="auto"/>
                <w:sz w:val="21"/>
                <w:szCs w:val="21"/>
                <w:vertAlign w:val="baseline"/>
                <w:lang w:val="en-US" w:eastAsia="zh-CN"/>
              </w:rPr>
            </w:pPr>
            <w:r>
              <w:rPr>
                <w:rFonts w:hint="eastAsia"/>
                <w:color w:val="auto"/>
                <w:sz w:val="21"/>
                <w:szCs w:val="21"/>
                <w:vertAlign w:val="baseline"/>
                <w:lang w:val="en-US" w:eastAsia="zh-CN"/>
              </w:rPr>
              <w:t>重庆</w:t>
            </w:r>
          </w:p>
        </w:tc>
        <w:tc>
          <w:tcPr>
            <w:tcW w:w="2662" w:type="pct"/>
            <w:tcBorders>
              <w:top w:val="nil"/>
              <w:left w:val="nil"/>
              <w:bottom w:val="nil"/>
              <w:right w:val="nil"/>
            </w:tcBorders>
            <w:noWrap w:val="0"/>
            <w:vAlign w:val="top"/>
          </w:tcPr>
          <w:p w14:paraId="0E8C9021">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default"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《重庆市数据条例》</w:t>
            </w:r>
          </w:p>
        </w:tc>
        <w:tc>
          <w:tcPr>
            <w:tcW w:w="1005" w:type="pct"/>
            <w:tcBorders>
              <w:top w:val="nil"/>
              <w:left w:val="nil"/>
              <w:bottom w:val="nil"/>
              <w:right w:val="nil"/>
            </w:tcBorders>
            <w:noWrap w:val="0"/>
            <w:vAlign w:val="top"/>
          </w:tcPr>
          <w:p w14:paraId="0EE3FD70">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2022.3.20</w:t>
            </w:r>
          </w:p>
        </w:tc>
        <w:tc>
          <w:tcPr>
            <w:tcW w:w="1005" w:type="pct"/>
            <w:tcBorders>
              <w:top w:val="nil"/>
              <w:left w:val="nil"/>
              <w:bottom w:val="nil"/>
              <w:right w:val="nil"/>
            </w:tcBorders>
            <w:noWrap w:val="0"/>
            <w:vAlign w:val="top"/>
          </w:tcPr>
          <w:p w14:paraId="46D15FFA">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综合立法</w:t>
            </w:r>
          </w:p>
        </w:tc>
      </w:tr>
      <w:tr w14:paraId="47028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 w:type="pct"/>
            <w:vMerge w:val="continue"/>
            <w:tcBorders>
              <w:top w:val="nil"/>
              <w:left w:val="nil"/>
              <w:bottom w:val="nil"/>
              <w:right w:val="nil"/>
            </w:tcBorders>
            <w:noWrap w:val="0"/>
            <w:vAlign w:val="center"/>
          </w:tcPr>
          <w:p w14:paraId="11320A63">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color w:val="auto"/>
                <w:sz w:val="21"/>
                <w:szCs w:val="21"/>
                <w:vertAlign w:val="baseline"/>
                <w:lang w:val="en-US" w:eastAsia="zh-CN"/>
              </w:rPr>
            </w:pPr>
          </w:p>
        </w:tc>
        <w:tc>
          <w:tcPr>
            <w:tcW w:w="2662" w:type="pct"/>
            <w:tcBorders>
              <w:top w:val="nil"/>
              <w:left w:val="nil"/>
              <w:bottom w:val="nil"/>
              <w:right w:val="nil"/>
            </w:tcBorders>
            <w:noWrap w:val="0"/>
            <w:vAlign w:val="top"/>
          </w:tcPr>
          <w:p w14:paraId="2EB946D1">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《重庆市公共数据开放管理暂行办法》</w:t>
            </w:r>
          </w:p>
        </w:tc>
        <w:tc>
          <w:tcPr>
            <w:tcW w:w="1005" w:type="pct"/>
            <w:tcBorders>
              <w:top w:val="nil"/>
              <w:left w:val="nil"/>
              <w:bottom w:val="nil"/>
              <w:right w:val="nil"/>
            </w:tcBorders>
            <w:noWrap w:val="0"/>
            <w:vAlign w:val="top"/>
          </w:tcPr>
          <w:p w14:paraId="4865DB16">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2020.9.11</w:t>
            </w:r>
          </w:p>
        </w:tc>
        <w:tc>
          <w:tcPr>
            <w:tcW w:w="1005" w:type="pct"/>
            <w:tcBorders>
              <w:top w:val="nil"/>
              <w:left w:val="nil"/>
              <w:bottom w:val="nil"/>
              <w:right w:val="nil"/>
            </w:tcBorders>
            <w:noWrap w:val="0"/>
            <w:vAlign w:val="top"/>
          </w:tcPr>
          <w:p w14:paraId="26E37F93">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专门立法</w:t>
            </w:r>
          </w:p>
        </w:tc>
      </w:tr>
      <w:tr w14:paraId="4A22B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 w:type="pct"/>
            <w:vMerge w:val="continue"/>
            <w:tcBorders>
              <w:top w:val="nil"/>
              <w:left w:val="nil"/>
              <w:bottom w:val="nil"/>
              <w:right w:val="nil"/>
            </w:tcBorders>
            <w:noWrap w:val="0"/>
            <w:vAlign w:val="center"/>
          </w:tcPr>
          <w:p w14:paraId="30D16967">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color w:val="auto"/>
                <w:sz w:val="21"/>
                <w:szCs w:val="21"/>
                <w:vertAlign w:val="baseline"/>
                <w:lang w:val="en-US" w:eastAsia="zh-CN"/>
              </w:rPr>
            </w:pPr>
          </w:p>
        </w:tc>
        <w:tc>
          <w:tcPr>
            <w:tcW w:w="2662" w:type="pct"/>
            <w:tcBorders>
              <w:top w:val="nil"/>
              <w:left w:val="nil"/>
              <w:bottom w:val="nil"/>
              <w:right w:val="nil"/>
            </w:tcBorders>
            <w:noWrap w:val="0"/>
            <w:vAlign w:val="top"/>
          </w:tcPr>
          <w:p w14:paraId="51289D1A">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《重庆市政务数据开放管理暂行办法》</w:t>
            </w:r>
          </w:p>
        </w:tc>
        <w:tc>
          <w:tcPr>
            <w:tcW w:w="1005" w:type="pct"/>
            <w:tcBorders>
              <w:top w:val="nil"/>
              <w:left w:val="nil"/>
              <w:bottom w:val="nil"/>
              <w:right w:val="nil"/>
            </w:tcBorders>
            <w:noWrap w:val="0"/>
            <w:vAlign w:val="top"/>
          </w:tcPr>
          <w:p w14:paraId="35CCDFAE">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2019.7.31</w:t>
            </w:r>
          </w:p>
        </w:tc>
        <w:tc>
          <w:tcPr>
            <w:tcW w:w="1005" w:type="pct"/>
            <w:tcBorders>
              <w:top w:val="nil"/>
              <w:left w:val="nil"/>
              <w:bottom w:val="nil"/>
              <w:right w:val="nil"/>
            </w:tcBorders>
            <w:noWrap w:val="0"/>
            <w:vAlign w:val="top"/>
          </w:tcPr>
          <w:p w14:paraId="20E3B288">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专门立法</w:t>
            </w:r>
          </w:p>
        </w:tc>
      </w:tr>
      <w:tr w14:paraId="763CA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 w:type="pct"/>
            <w:vMerge w:val="continue"/>
            <w:tcBorders>
              <w:top w:val="nil"/>
              <w:left w:val="nil"/>
              <w:bottom w:val="nil"/>
              <w:right w:val="nil"/>
            </w:tcBorders>
            <w:noWrap w:val="0"/>
            <w:vAlign w:val="center"/>
          </w:tcPr>
          <w:p w14:paraId="361844BB">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color w:val="auto"/>
                <w:sz w:val="21"/>
                <w:szCs w:val="21"/>
                <w:vertAlign w:val="baseline"/>
                <w:lang w:val="en-US" w:eastAsia="zh-CN"/>
              </w:rPr>
            </w:pPr>
          </w:p>
        </w:tc>
        <w:tc>
          <w:tcPr>
            <w:tcW w:w="2662" w:type="pct"/>
            <w:tcBorders>
              <w:top w:val="nil"/>
              <w:left w:val="nil"/>
              <w:bottom w:val="nil"/>
              <w:right w:val="nil"/>
            </w:tcBorders>
            <w:noWrap w:val="0"/>
            <w:vAlign w:val="top"/>
          </w:tcPr>
          <w:p w14:paraId="6B95FB7D">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《重庆电子政务云平台安全管理办法（试行）》</w:t>
            </w:r>
          </w:p>
        </w:tc>
        <w:tc>
          <w:tcPr>
            <w:tcW w:w="1005" w:type="pct"/>
            <w:tcBorders>
              <w:top w:val="nil"/>
              <w:left w:val="nil"/>
              <w:bottom w:val="nil"/>
              <w:right w:val="nil"/>
            </w:tcBorders>
            <w:noWrap w:val="0"/>
            <w:vAlign w:val="top"/>
          </w:tcPr>
          <w:p w14:paraId="3FA7222D">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2022.2.10</w:t>
            </w:r>
          </w:p>
        </w:tc>
        <w:tc>
          <w:tcPr>
            <w:tcW w:w="1005" w:type="pct"/>
            <w:tcBorders>
              <w:top w:val="nil"/>
              <w:left w:val="nil"/>
              <w:bottom w:val="nil"/>
              <w:right w:val="nil"/>
            </w:tcBorders>
            <w:noWrap w:val="0"/>
            <w:vAlign w:val="top"/>
          </w:tcPr>
          <w:p w14:paraId="146945C6">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专门立法</w:t>
            </w:r>
          </w:p>
        </w:tc>
      </w:tr>
      <w:tr w14:paraId="65D25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 w:type="pct"/>
            <w:vMerge w:val="restart"/>
            <w:tcBorders>
              <w:top w:val="nil"/>
              <w:left w:val="nil"/>
              <w:bottom w:val="nil"/>
              <w:right w:val="nil"/>
            </w:tcBorders>
            <w:noWrap w:val="0"/>
            <w:vAlign w:val="center"/>
          </w:tcPr>
          <w:p w14:paraId="3B1F0FFD">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default"/>
                <w:color w:val="auto"/>
                <w:sz w:val="21"/>
                <w:szCs w:val="21"/>
                <w:vertAlign w:val="baseline"/>
                <w:lang w:val="en-US" w:eastAsia="zh-CN"/>
              </w:rPr>
            </w:pPr>
            <w:r>
              <w:rPr>
                <w:rFonts w:hint="eastAsia"/>
                <w:color w:val="auto"/>
                <w:sz w:val="21"/>
                <w:szCs w:val="21"/>
                <w:vertAlign w:val="baseline"/>
                <w:lang w:val="en-US" w:eastAsia="zh-CN"/>
              </w:rPr>
              <w:t>江西</w:t>
            </w:r>
          </w:p>
        </w:tc>
        <w:tc>
          <w:tcPr>
            <w:tcW w:w="2662" w:type="pct"/>
            <w:tcBorders>
              <w:top w:val="nil"/>
              <w:left w:val="nil"/>
              <w:bottom w:val="nil"/>
              <w:right w:val="nil"/>
            </w:tcBorders>
            <w:noWrap w:val="0"/>
            <w:vAlign w:val="top"/>
          </w:tcPr>
          <w:p w14:paraId="03985529">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default"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《江西省数据条例（征求意见稿）》</w:t>
            </w:r>
          </w:p>
        </w:tc>
        <w:tc>
          <w:tcPr>
            <w:tcW w:w="1005" w:type="pct"/>
            <w:tcBorders>
              <w:top w:val="nil"/>
              <w:left w:val="nil"/>
              <w:bottom w:val="nil"/>
              <w:right w:val="nil"/>
            </w:tcBorders>
            <w:noWrap w:val="0"/>
            <w:vAlign w:val="top"/>
          </w:tcPr>
          <w:p w14:paraId="6415A01D">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2022.4.28</w:t>
            </w:r>
          </w:p>
        </w:tc>
        <w:tc>
          <w:tcPr>
            <w:tcW w:w="1005" w:type="pct"/>
            <w:tcBorders>
              <w:top w:val="nil"/>
              <w:left w:val="nil"/>
              <w:bottom w:val="nil"/>
              <w:right w:val="nil"/>
            </w:tcBorders>
            <w:noWrap w:val="0"/>
            <w:vAlign w:val="top"/>
          </w:tcPr>
          <w:p w14:paraId="1CA2FF4D">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综合立法</w:t>
            </w:r>
          </w:p>
        </w:tc>
      </w:tr>
      <w:tr w14:paraId="52F01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 w:type="pct"/>
            <w:vMerge w:val="continue"/>
            <w:tcBorders>
              <w:top w:val="nil"/>
              <w:left w:val="nil"/>
              <w:bottom w:val="nil"/>
              <w:right w:val="nil"/>
            </w:tcBorders>
            <w:noWrap w:val="0"/>
            <w:vAlign w:val="center"/>
          </w:tcPr>
          <w:p w14:paraId="526754B4">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color w:val="auto"/>
                <w:sz w:val="21"/>
                <w:szCs w:val="21"/>
                <w:vertAlign w:val="baseline"/>
                <w:lang w:val="en-US" w:eastAsia="zh-CN"/>
              </w:rPr>
            </w:pPr>
          </w:p>
        </w:tc>
        <w:tc>
          <w:tcPr>
            <w:tcW w:w="2662" w:type="pct"/>
            <w:tcBorders>
              <w:top w:val="nil"/>
              <w:left w:val="nil"/>
              <w:bottom w:val="nil"/>
              <w:right w:val="nil"/>
            </w:tcBorders>
            <w:noWrap w:val="0"/>
            <w:vAlign w:val="top"/>
          </w:tcPr>
          <w:p w14:paraId="25D0D1B9">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《江西省数据应用条例》</w:t>
            </w:r>
          </w:p>
        </w:tc>
        <w:tc>
          <w:tcPr>
            <w:tcW w:w="1005" w:type="pct"/>
            <w:tcBorders>
              <w:top w:val="nil"/>
              <w:left w:val="nil"/>
              <w:bottom w:val="nil"/>
              <w:right w:val="nil"/>
            </w:tcBorders>
            <w:noWrap w:val="0"/>
            <w:vAlign w:val="top"/>
          </w:tcPr>
          <w:p w14:paraId="7C89D3D2">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2023.11.30</w:t>
            </w:r>
          </w:p>
        </w:tc>
        <w:tc>
          <w:tcPr>
            <w:tcW w:w="1005" w:type="pct"/>
            <w:tcBorders>
              <w:top w:val="nil"/>
              <w:left w:val="nil"/>
              <w:bottom w:val="nil"/>
              <w:right w:val="nil"/>
            </w:tcBorders>
            <w:noWrap w:val="0"/>
            <w:vAlign w:val="top"/>
          </w:tcPr>
          <w:p w14:paraId="75AC06CE">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专门立法</w:t>
            </w:r>
          </w:p>
        </w:tc>
      </w:tr>
      <w:tr w14:paraId="00305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 w:type="pct"/>
            <w:vMerge w:val="continue"/>
            <w:tcBorders>
              <w:top w:val="nil"/>
              <w:left w:val="nil"/>
              <w:bottom w:val="nil"/>
              <w:right w:val="nil"/>
            </w:tcBorders>
            <w:noWrap w:val="0"/>
            <w:vAlign w:val="center"/>
          </w:tcPr>
          <w:p w14:paraId="381F757C">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color w:val="auto"/>
                <w:sz w:val="21"/>
                <w:szCs w:val="21"/>
                <w:vertAlign w:val="baseline"/>
                <w:lang w:val="en-US" w:eastAsia="zh-CN"/>
              </w:rPr>
            </w:pPr>
          </w:p>
        </w:tc>
        <w:tc>
          <w:tcPr>
            <w:tcW w:w="2662" w:type="pct"/>
            <w:tcBorders>
              <w:top w:val="nil"/>
              <w:left w:val="nil"/>
              <w:bottom w:val="nil"/>
              <w:right w:val="nil"/>
            </w:tcBorders>
            <w:noWrap w:val="0"/>
            <w:vAlign w:val="top"/>
          </w:tcPr>
          <w:p w14:paraId="2D6A81B9">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《江西省公共数据管理办法》</w:t>
            </w:r>
          </w:p>
        </w:tc>
        <w:tc>
          <w:tcPr>
            <w:tcW w:w="1005" w:type="pct"/>
            <w:tcBorders>
              <w:top w:val="nil"/>
              <w:left w:val="nil"/>
              <w:bottom w:val="nil"/>
              <w:right w:val="nil"/>
            </w:tcBorders>
            <w:noWrap w:val="0"/>
            <w:vAlign w:val="top"/>
          </w:tcPr>
          <w:p w14:paraId="0AD35150">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2022.1.12</w:t>
            </w:r>
          </w:p>
        </w:tc>
        <w:tc>
          <w:tcPr>
            <w:tcW w:w="1005" w:type="pct"/>
            <w:tcBorders>
              <w:top w:val="nil"/>
              <w:left w:val="nil"/>
              <w:bottom w:val="nil"/>
              <w:right w:val="nil"/>
            </w:tcBorders>
            <w:noWrap w:val="0"/>
            <w:vAlign w:val="top"/>
          </w:tcPr>
          <w:p w14:paraId="65D145D5">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专门立法</w:t>
            </w:r>
          </w:p>
        </w:tc>
      </w:tr>
      <w:tr w14:paraId="29A5E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 w:type="pct"/>
            <w:vMerge w:val="restart"/>
            <w:tcBorders>
              <w:top w:val="nil"/>
              <w:left w:val="nil"/>
              <w:bottom w:val="nil"/>
              <w:right w:val="nil"/>
            </w:tcBorders>
            <w:noWrap w:val="0"/>
            <w:vAlign w:val="center"/>
          </w:tcPr>
          <w:p w14:paraId="12DE8AD9">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default"/>
                <w:color w:val="auto"/>
                <w:sz w:val="21"/>
                <w:szCs w:val="21"/>
                <w:vertAlign w:val="baseline"/>
                <w:lang w:val="en-US" w:eastAsia="zh-CN"/>
              </w:rPr>
            </w:pPr>
            <w:r>
              <w:rPr>
                <w:rFonts w:hint="eastAsia"/>
                <w:color w:val="auto"/>
                <w:sz w:val="21"/>
                <w:szCs w:val="21"/>
                <w:vertAlign w:val="baseline"/>
                <w:lang w:val="en-US" w:eastAsia="zh-CN"/>
              </w:rPr>
              <w:t>厦门</w:t>
            </w:r>
          </w:p>
        </w:tc>
        <w:tc>
          <w:tcPr>
            <w:tcW w:w="2662" w:type="pct"/>
            <w:tcBorders>
              <w:top w:val="nil"/>
              <w:left w:val="nil"/>
              <w:bottom w:val="nil"/>
              <w:right w:val="nil"/>
            </w:tcBorders>
            <w:noWrap w:val="0"/>
            <w:vAlign w:val="top"/>
          </w:tcPr>
          <w:p w14:paraId="5BC22C01">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default"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《厦门经济特区数据条例》</w:t>
            </w:r>
          </w:p>
        </w:tc>
        <w:tc>
          <w:tcPr>
            <w:tcW w:w="1005" w:type="pct"/>
            <w:tcBorders>
              <w:top w:val="nil"/>
              <w:left w:val="nil"/>
              <w:bottom w:val="nil"/>
              <w:right w:val="nil"/>
            </w:tcBorders>
            <w:noWrap w:val="0"/>
            <w:vAlign w:val="top"/>
          </w:tcPr>
          <w:p w14:paraId="3037B14D">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2022.12.27</w:t>
            </w:r>
          </w:p>
        </w:tc>
        <w:tc>
          <w:tcPr>
            <w:tcW w:w="1005" w:type="pct"/>
            <w:tcBorders>
              <w:top w:val="nil"/>
              <w:left w:val="nil"/>
              <w:bottom w:val="nil"/>
              <w:right w:val="nil"/>
            </w:tcBorders>
            <w:noWrap w:val="0"/>
            <w:vAlign w:val="top"/>
          </w:tcPr>
          <w:p w14:paraId="235A9624">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综合立法</w:t>
            </w:r>
          </w:p>
        </w:tc>
      </w:tr>
      <w:tr w14:paraId="0892E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 w:type="pct"/>
            <w:vMerge w:val="continue"/>
            <w:tcBorders>
              <w:top w:val="nil"/>
              <w:left w:val="nil"/>
              <w:bottom w:val="nil"/>
              <w:right w:val="nil"/>
            </w:tcBorders>
            <w:noWrap w:val="0"/>
            <w:vAlign w:val="center"/>
          </w:tcPr>
          <w:p w14:paraId="420993DA">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color w:val="auto"/>
                <w:sz w:val="21"/>
                <w:szCs w:val="21"/>
                <w:vertAlign w:val="baseline"/>
                <w:lang w:val="en-US" w:eastAsia="zh-CN"/>
              </w:rPr>
            </w:pPr>
          </w:p>
        </w:tc>
        <w:tc>
          <w:tcPr>
            <w:tcW w:w="2662" w:type="pct"/>
            <w:tcBorders>
              <w:top w:val="nil"/>
              <w:left w:val="nil"/>
              <w:bottom w:val="nil"/>
              <w:right w:val="nil"/>
            </w:tcBorders>
            <w:noWrap w:val="0"/>
            <w:vAlign w:val="top"/>
          </w:tcPr>
          <w:p w14:paraId="10A8944C">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《厦门公共数据开发利用管理暂行办法》</w:t>
            </w:r>
          </w:p>
        </w:tc>
        <w:tc>
          <w:tcPr>
            <w:tcW w:w="1005" w:type="pct"/>
            <w:tcBorders>
              <w:top w:val="nil"/>
              <w:left w:val="nil"/>
              <w:bottom w:val="nil"/>
              <w:right w:val="nil"/>
            </w:tcBorders>
            <w:noWrap w:val="0"/>
            <w:vAlign w:val="top"/>
          </w:tcPr>
          <w:p w14:paraId="7CBA26B4">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2023.12.28</w:t>
            </w:r>
          </w:p>
        </w:tc>
        <w:tc>
          <w:tcPr>
            <w:tcW w:w="1005" w:type="pct"/>
            <w:tcBorders>
              <w:top w:val="nil"/>
              <w:left w:val="nil"/>
              <w:bottom w:val="nil"/>
              <w:right w:val="nil"/>
            </w:tcBorders>
            <w:noWrap w:val="0"/>
            <w:vAlign w:val="top"/>
          </w:tcPr>
          <w:p w14:paraId="278B1560">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专门立法</w:t>
            </w:r>
          </w:p>
        </w:tc>
      </w:tr>
      <w:tr w14:paraId="3BD0C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 w:type="pct"/>
            <w:vMerge w:val="continue"/>
            <w:tcBorders>
              <w:top w:val="nil"/>
              <w:left w:val="nil"/>
              <w:bottom w:val="nil"/>
              <w:right w:val="nil"/>
            </w:tcBorders>
            <w:noWrap w:val="0"/>
            <w:vAlign w:val="center"/>
          </w:tcPr>
          <w:p w14:paraId="2DF39928">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eastAsia"/>
                <w:color w:val="auto"/>
                <w:sz w:val="21"/>
                <w:szCs w:val="21"/>
                <w:vertAlign w:val="baseline"/>
                <w:lang w:val="en-US" w:eastAsia="zh-CN"/>
              </w:rPr>
            </w:pPr>
          </w:p>
        </w:tc>
        <w:tc>
          <w:tcPr>
            <w:tcW w:w="2662" w:type="pct"/>
            <w:tcBorders>
              <w:top w:val="nil"/>
              <w:left w:val="nil"/>
              <w:bottom w:val="nil"/>
              <w:right w:val="nil"/>
            </w:tcBorders>
            <w:noWrap w:val="0"/>
            <w:vAlign w:val="top"/>
          </w:tcPr>
          <w:p w14:paraId="1178512C">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《厦门公共数据共享开放管理暂行办法》</w:t>
            </w:r>
          </w:p>
        </w:tc>
        <w:tc>
          <w:tcPr>
            <w:tcW w:w="1005" w:type="pct"/>
            <w:tcBorders>
              <w:top w:val="nil"/>
              <w:left w:val="nil"/>
              <w:bottom w:val="nil"/>
              <w:right w:val="nil"/>
            </w:tcBorders>
            <w:noWrap w:val="0"/>
            <w:vAlign w:val="top"/>
          </w:tcPr>
          <w:p w14:paraId="16240C5C">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2023.12.28</w:t>
            </w:r>
          </w:p>
        </w:tc>
        <w:tc>
          <w:tcPr>
            <w:tcW w:w="1005" w:type="pct"/>
            <w:tcBorders>
              <w:top w:val="nil"/>
              <w:left w:val="nil"/>
              <w:bottom w:val="nil"/>
              <w:right w:val="nil"/>
            </w:tcBorders>
            <w:noWrap w:val="0"/>
            <w:vAlign w:val="top"/>
          </w:tcPr>
          <w:p w14:paraId="3B5B8F62">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专门立法</w:t>
            </w:r>
          </w:p>
        </w:tc>
      </w:tr>
      <w:tr w14:paraId="70550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 w:type="pct"/>
            <w:vMerge w:val="restart"/>
            <w:tcBorders>
              <w:top w:val="nil"/>
              <w:left w:val="nil"/>
              <w:bottom w:val="nil"/>
              <w:right w:val="nil"/>
            </w:tcBorders>
            <w:noWrap w:val="0"/>
            <w:vAlign w:val="center"/>
          </w:tcPr>
          <w:p w14:paraId="5EE8A293">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hint="default"/>
                <w:color w:val="auto"/>
                <w:sz w:val="21"/>
                <w:szCs w:val="21"/>
                <w:vertAlign w:val="baseline"/>
                <w:lang w:val="en-US" w:eastAsia="zh-CN"/>
              </w:rPr>
            </w:pPr>
            <w:r>
              <w:rPr>
                <w:rFonts w:hint="eastAsia"/>
                <w:color w:val="auto"/>
                <w:sz w:val="21"/>
                <w:szCs w:val="21"/>
                <w:vertAlign w:val="baseline"/>
                <w:lang w:val="en-US" w:eastAsia="zh-CN"/>
              </w:rPr>
              <w:t>河南</w:t>
            </w:r>
          </w:p>
        </w:tc>
        <w:tc>
          <w:tcPr>
            <w:tcW w:w="2662" w:type="pct"/>
            <w:tcBorders>
              <w:top w:val="nil"/>
              <w:left w:val="nil"/>
              <w:bottom w:val="nil"/>
              <w:right w:val="nil"/>
            </w:tcBorders>
            <w:noWrap w:val="0"/>
            <w:vAlign w:val="top"/>
          </w:tcPr>
          <w:p w14:paraId="44012482">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default"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《河南省数据条例》</w:t>
            </w:r>
          </w:p>
        </w:tc>
        <w:tc>
          <w:tcPr>
            <w:tcW w:w="1005" w:type="pct"/>
            <w:tcBorders>
              <w:top w:val="nil"/>
              <w:left w:val="nil"/>
              <w:bottom w:val="nil"/>
              <w:right w:val="nil"/>
            </w:tcBorders>
            <w:noWrap w:val="0"/>
            <w:vAlign w:val="top"/>
          </w:tcPr>
          <w:p w14:paraId="70F7511A">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2021.12.28</w:t>
            </w:r>
          </w:p>
        </w:tc>
        <w:tc>
          <w:tcPr>
            <w:tcW w:w="1005" w:type="pct"/>
            <w:tcBorders>
              <w:top w:val="nil"/>
              <w:left w:val="nil"/>
              <w:bottom w:val="nil"/>
              <w:right w:val="nil"/>
            </w:tcBorders>
            <w:noWrap w:val="0"/>
            <w:vAlign w:val="top"/>
          </w:tcPr>
          <w:p w14:paraId="6C115951">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综合立法</w:t>
            </w:r>
          </w:p>
        </w:tc>
      </w:tr>
      <w:tr w14:paraId="600A1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 w:type="pct"/>
            <w:vMerge w:val="continue"/>
            <w:tcBorders>
              <w:top w:val="nil"/>
              <w:left w:val="nil"/>
              <w:bottom w:val="nil"/>
              <w:right w:val="nil"/>
            </w:tcBorders>
            <w:noWrap w:val="0"/>
            <w:vAlign w:val="top"/>
          </w:tcPr>
          <w:p w14:paraId="3C4138AC">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color w:val="auto"/>
                <w:sz w:val="21"/>
                <w:szCs w:val="21"/>
                <w:vertAlign w:val="baseline"/>
                <w:lang w:val="en-US" w:eastAsia="zh-CN"/>
              </w:rPr>
            </w:pPr>
          </w:p>
        </w:tc>
        <w:tc>
          <w:tcPr>
            <w:tcW w:w="2662" w:type="pct"/>
            <w:tcBorders>
              <w:top w:val="nil"/>
              <w:left w:val="nil"/>
              <w:bottom w:val="nil"/>
              <w:right w:val="nil"/>
            </w:tcBorders>
            <w:noWrap w:val="0"/>
            <w:vAlign w:val="top"/>
          </w:tcPr>
          <w:p w14:paraId="1C7C533D">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《河南省数字经济促进条例》</w:t>
            </w:r>
          </w:p>
        </w:tc>
        <w:tc>
          <w:tcPr>
            <w:tcW w:w="1005" w:type="pct"/>
            <w:tcBorders>
              <w:top w:val="nil"/>
              <w:left w:val="nil"/>
              <w:bottom w:val="nil"/>
              <w:right w:val="nil"/>
            </w:tcBorders>
            <w:noWrap w:val="0"/>
            <w:vAlign w:val="top"/>
          </w:tcPr>
          <w:p w14:paraId="7A766AAC">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2018.1.8</w:t>
            </w:r>
          </w:p>
        </w:tc>
        <w:tc>
          <w:tcPr>
            <w:tcW w:w="1005" w:type="pct"/>
            <w:tcBorders>
              <w:top w:val="nil"/>
              <w:left w:val="nil"/>
              <w:bottom w:val="nil"/>
              <w:right w:val="nil"/>
            </w:tcBorders>
            <w:noWrap w:val="0"/>
            <w:vAlign w:val="top"/>
          </w:tcPr>
          <w:p w14:paraId="0DA91256">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专门立法</w:t>
            </w:r>
          </w:p>
        </w:tc>
      </w:tr>
      <w:tr w14:paraId="71B3E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 w:type="pct"/>
            <w:vMerge w:val="continue"/>
            <w:tcBorders>
              <w:top w:val="nil"/>
              <w:left w:val="nil"/>
              <w:bottom w:val="single" w:color="auto" w:sz="12" w:space="0"/>
              <w:right w:val="nil"/>
            </w:tcBorders>
            <w:noWrap w:val="0"/>
            <w:vAlign w:val="top"/>
          </w:tcPr>
          <w:p w14:paraId="68A33D6E">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color w:val="auto"/>
                <w:sz w:val="21"/>
                <w:szCs w:val="21"/>
                <w:vertAlign w:val="baseline"/>
                <w:lang w:val="en-US" w:eastAsia="zh-CN"/>
              </w:rPr>
            </w:pPr>
          </w:p>
        </w:tc>
        <w:tc>
          <w:tcPr>
            <w:tcW w:w="2662" w:type="pct"/>
            <w:tcBorders>
              <w:top w:val="nil"/>
              <w:left w:val="nil"/>
              <w:bottom w:val="single" w:color="auto" w:sz="12" w:space="0"/>
              <w:right w:val="nil"/>
            </w:tcBorders>
            <w:noWrap w:val="0"/>
            <w:vAlign w:val="top"/>
          </w:tcPr>
          <w:p w14:paraId="027199BD">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《河南省政务信息资源管理办法》</w:t>
            </w:r>
          </w:p>
        </w:tc>
        <w:tc>
          <w:tcPr>
            <w:tcW w:w="1005" w:type="pct"/>
            <w:tcBorders>
              <w:top w:val="nil"/>
              <w:left w:val="nil"/>
              <w:bottom w:val="single" w:color="auto" w:sz="12" w:space="0"/>
              <w:right w:val="nil"/>
            </w:tcBorders>
            <w:noWrap w:val="0"/>
            <w:vAlign w:val="top"/>
          </w:tcPr>
          <w:p w14:paraId="4DF8243B">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2022.4.21</w:t>
            </w:r>
          </w:p>
        </w:tc>
        <w:tc>
          <w:tcPr>
            <w:tcW w:w="1005" w:type="pct"/>
            <w:tcBorders>
              <w:top w:val="nil"/>
              <w:left w:val="nil"/>
              <w:bottom w:val="single" w:color="auto" w:sz="12" w:space="0"/>
              <w:right w:val="nil"/>
            </w:tcBorders>
            <w:noWrap w:val="0"/>
            <w:vAlign w:val="top"/>
          </w:tcPr>
          <w:p w14:paraId="0619286F">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专门立法</w:t>
            </w:r>
          </w:p>
        </w:tc>
      </w:tr>
    </w:tbl>
    <w:p w14:paraId="63F6D17F">
      <w:pPr>
        <w:keepNext w:val="0"/>
        <w:pageBreakBefore w:val="0"/>
        <w:kinsoku/>
        <w:wordWrap/>
        <w:overflowPunct/>
        <w:topLinePunct w:val="0"/>
        <w:autoSpaceDE/>
        <w:autoSpaceDN/>
        <w:bidi w:val="0"/>
        <w:adjustRightInd/>
        <w:snapToGrid w:val="0"/>
        <w:spacing w:line="360" w:lineRule="auto"/>
        <w:textAlignment w:val="auto"/>
        <w:rPr>
          <w:rFonts w:hint="eastAsia" w:ascii="宋体" w:hAnsi="宋体" w:eastAsia="宋体" w:cs="宋体"/>
          <w:color w:val="auto"/>
          <w:sz w:val="24"/>
        </w:rPr>
      </w:pPr>
    </w:p>
    <w:p w14:paraId="132130E4">
      <w:pPr>
        <w:keepNext w:val="0"/>
        <w:pageBreakBefore w:val="0"/>
        <w:kinsoku/>
        <w:wordWrap/>
        <w:overflowPunct/>
        <w:topLinePunct w:val="0"/>
        <w:autoSpaceDE/>
        <w:autoSpaceDN/>
        <w:bidi w:val="0"/>
        <w:adjustRightInd/>
        <w:snapToGrid w:val="0"/>
        <w:spacing w:line="360" w:lineRule="auto"/>
        <w:ind w:firstLine="480" w:firstLineChars="200"/>
        <w:textAlignment w:val="auto"/>
        <w:rPr>
          <w:rFonts w:ascii="宋体" w:hAnsi="宋体" w:eastAsia="宋体" w:cs="宋体"/>
          <w:color w:val="auto"/>
          <w:sz w:val="24"/>
        </w:rPr>
      </w:pPr>
      <w:r>
        <w:rPr>
          <w:rFonts w:hint="eastAsia" w:ascii="宋体" w:hAnsi="宋体" w:eastAsia="宋体" w:cs="宋体"/>
          <w:color w:val="auto"/>
          <w:sz w:val="24"/>
        </w:rPr>
        <w:t>此外，数据之上所承载的多重主体与多元权益也使集中立法模式运行成本剧增。根据是否能够单独或结合其他信息识别特定个人的数据类型的视角划分，可分为个人数据与非个人数据；根据是否由企业处理的数据，可分为企业数据和非企业数据；根据是否由公共主体基于公益目的处理的数据，可分为公共数据和非公共数据；根据数据加工处理的深度与阶段不同，可分为原始数据、数据资源与数据产品；根据权利内容进一步又可分为数据资源持有权、数据加工使用权与数据产品经营权。不同数据类型使人格权（益）、企业财产权（益）与国家利益等在先权益相互交织糅合，从而形成以人格权（益）为先的多元利益格局。其具体表现为，数据作为财产的基本权能——支配性/排他性犹如一把“游尺”随客体形态变化而变化，而游尺的落点取决于数据权利客体的具体形态。</w:t>
      </w:r>
      <w:r>
        <w:rPr>
          <w:rStyle w:val="17"/>
          <w:rFonts w:ascii="Calibri" w:hAnsi="Calibri" w:eastAsia="宋体" w:cs="Calibri"/>
          <w:color w:val="auto"/>
          <w:sz w:val="24"/>
          <w:szCs w:val="24"/>
        </w:rPr>
        <w:footnoteReference w:id="11"/>
      </w:r>
      <w:r>
        <w:rPr>
          <w:rFonts w:hint="eastAsia" w:ascii="宋体" w:hAnsi="宋体" w:eastAsia="宋体" w:cs="宋体"/>
          <w:color w:val="auto"/>
          <w:sz w:val="24"/>
        </w:rPr>
        <w:t xml:space="preserve">  </w:t>
      </w:r>
    </w:p>
    <w:p w14:paraId="383BAC16">
      <w:pPr>
        <w:keepNext w:val="0"/>
        <w:pageBreakBefore w:val="0"/>
        <w:kinsoku/>
        <w:wordWrap/>
        <w:overflowPunct/>
        <w:topLinePunct w:val="0"/>
        <w:autoSpaceDE/>
        <w:autoSpaceDN/>
        <w:bidi w:val="0"/>
        <w:adjustRightInd/>
        <w:snapToGrid w:val="0"/>
        <w:spacing w:line="360" w:lineRule="auto"/>
        <w:ind w:firstLine="480" w:firstLineChars="200"/>
        <w:textAlignment w:val="auto"/>
        <w:rPr>
          <w:rFonts w:ascii="宋体" w:hAnsi="宋体" w:eastAsia="宋体" w:cs="宋体"/>
          <w:color w:val="auto"/>
          <w:sz w:val="24"/>
        </w:rPr>
      </w:pPr>
      <w:commentRangeStart w:id="5"/>
      <w:r>
        <w:rPr>
          <w:rFonts w:hint="eastAsia" w:ascii="宋体" w:hAnsi="宋体" w:eastAsia="宋体" w:cs="宋体"/>
          <w:color w:val="auto"/>
          <w:sz w:val="24"/>
        </w:rPr>
        <w:t>以个人数据和非个人数据为例。</w:t>
      </w:r>
      <w:commentRangeEnd w:id="5"/>
      <w:r>
        <w:rPr>
          <w:color w:val="auto"/>
        </w:rPr>
        <w:commentReference w:id="5"/>
      </w:r>
      <w:r>
        <w:rPr>
          <w:rFonts w:hint="eastAsia" w:ascii="宋体" w:hAnsi="宋体" w:eastAsia="宋体" w:cs="宋体"/>
          <w:color w:val="auto"/>
          <w:sz w:val="24"/>
        </w:rPr>
        <w:t>在权利性质上，个人数据被定义为一种人格权益为主的客体，对其的处理必须经过脱敏，同时“不得放弃、转让以及继承”。尽管有学者认为所有信息都源于个人的主动提供或被动收集，个人不仅是信息的原生主体，更应当是信息利益的享有者。</w:t>
      </w:r>
      <w:r>
        <w:rPr>
          <w:rStyle w:val="17"/>
          <w:rFonts w:ascii="Calibri" w:hAnsi="Calibri" w:eastAsia="宋体" w:cs="Calibri"/>
          <w:color w:val="auto"/>
          <w:sz w:val="24"/>
          <w:szCs w:val="24"/>
        </w:rPr>
        <w:footnoteReference w:id="12"/>
      </w:r>
      <w:r>
        <w:rPr>
          <w:rFonts w:hint="eastAsia" w:ascii="宋体" w:hAnsi="宋体" w:eastAsia="宋体" w:cs="宋体"/>
          <w:color w:val="auto"/>
          <w:sz w:val="24"/>
        </w:rPr>
        <w:t>但就整体而言，单个个人信息的经济价值几乎可以忽略不计，且赋予个人信息财产利益将会导致个人人格间的不平等、阻碍信息技术发展和高昂磋商成本等问题</w:t>
      </w:r>
      <w:r>
        <w:rPr>
          <w:rFonts w:hint="eastAsia" w:ascii="宋体" w:hAnsi="宋体" w:eastAsia="宋体" w:cs="宋体"/>
          <w:color w:val="auto"/>
          <w:sz w:val="24"/>
          <w:lang w:eastAsia="zh-CN"/>
        </w:rPr>
        <w:t>，</w:t>
      </w:r>
      <w:r>
        <w:rPr>
          <w:rStyle w:val="17"/>
          <w:rFonts w:ascii="Calibri" w:hAnsi="Calibri" w:eastAsia="宋体" w:cs="Calibri"/>
          <w:color w:val="auto"/>
          <w:sz w:val="24"/>
          <w:szCs w:val="24"/>
        </w:rPr>
        <w:footnoteReference w:id="13"/>
      </w:r>
      <w:r>
        <w:rPr>
          <w:rFonts w:hint="eastAsia" w:ascii="宋体" w:hAnsi="宋体" w:eastAsia="宋体" w:cs="宋体"/>
          <w:color w:val="auto"/>
          <w:sz w:val="24"/>
        </w:rPr>
        <w:t>最终导致数据交易成本过高，无法实现数据在市场上的流通，甚至使数据市场失去存在的意义。换言之，个人信息经济价值的稀薄性与其高昂的交易成本之间的悬殊造成数据财产权益行使之不可能，使个人数据于自然人而言更多是以“重保护”“轻利用”为导向，</w:t>
      </w:r>
      <w:r>
        <w:rPr>
          <w:rFonts w:hint="eastAsia" w:ascii="宋体" w:hAnsi="宋体" w:eastAsia="宋体" w:cs="宋体"/>
          <w:color w:val="auto"/>
          <w:sz w:val="24"/>
          <w:lang w:val="en-US" w:eastAsia="zh-CN"/>
        </w:rPr>
        <w:t>因此</w:t>
      </w:r>
      <w:r>
        <w:rPr>
          <w:rFonts w:hint="eastAsia" w:ascii="宋体" w:hAnsi="宋体" w:eastAsia="宋体" w:cs="宋体"/>
          <w:color w:val="auto"/>
          <w:sz w:val="24"/>
        </w:rPr>
        <w:t>宜将个人数据的财产性利益配置给自然人之外的主体；另一方面，非个人数据则通常被视为财产性利益的客体，主要包括企业数据、公共数据，经匿名化处理（不可逆）的个人数据，以及虽来源于自然人但无法直接或间接识别特定个人身份的“数据痕迹”，例如网页浏览记录、每日微信步数等。作为生产要素的此类数据尽管有相当一部分来源于自然人，但已脱离于人格标识的特征，强调数据价值的开发利用与流通让渡，获致“不得放弃、转让以及继承”的豁免，甚至产生数据（主要是企业数据）经营权与资产权的绝对赋权理念。企业享有完全支配的权利，该权利要么具有绝对排他性效力，要么因客体为公共品而无排他性。</w:t>
      </w:r>
      <w:r>
        <w:rPr>
          <w:rStyle w:val="17"/>
          <w:rFonts w:ascii="Calibri" w:hAnsi="Calibri" w:eastAsia="宋体" w:cs="Calibri"/>
          <w:color w:val="auto"/>
          <w:sz w:val="24"/>
          <w:szCs w:val="24"/>
        </w:rPr>
        <w:footnoteReference w:id="14"/>
      </w:r>
    </w:p>
    <w:p w14:paraId="0A705343">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黑体" w:hAnsi="黑体" w:eastAsia="黑体" w:cs="黑体"/>
          <w:color w:val="auto"/>
          <w:sz w:val="28"/>
          <w:szCs w:val="28"/>
          <w:lang w:val="en-US" w:eastAsia="zh-CN"/>
        </w:rPr>
      </w:pPr>
      <w:r>
        <w:rPr>
          <w:rFonts w:hint="eastAsia" w:ascii="宋体" w:hAnsi="宋体" w:eastAsia="宋体" w:cs="宋体"/>
          <w:color w:val="auto"/>
          <w:sz w:val="24"/>
        </w:rPr>
        <w:t>在救济方式上，由于我国尚未有“数权法”，非个人数据混含了物权、债权、知识产权甚至反不正当竞争法的保护方式，其功能同时包含填补损害与预防损害。而个人数据的保护绕不开人格权救济，其特有的“消除影响、恢复名誉、赔礼道歉”等责任承担方式，为非个人数据所不具有。在权益类型上，其中既包括个体的知情权等消极性的隐私期待权利，也包括积极性的数据选择权与控制权，同时也包括了数据质量与数据安全等权利。</w:t>
      </w:r>
      <w:r>
        <w:rPr>
          <w:rStyle w:val="17"/>
          <w:rFonts w:ascii="Calibri" w:hAnsi="Calibri" w:eastAsia="宋体" w:cs="Calibri"/>
          <w:color w:val="auto"/>
          <w:sz w:val="24"/>
          <w:szCs w:val="24"/>
        </w:rPr>
        <w:footnoteReference w:id="15"/>
      </w:r>
      <w:r>
        <w:rPr>
          <w:rFonts w:hint="eastAsia" w:ascii="宋体" w:hAnsi="宋体" w:eastAsia="宋体" w:cs="宋体"/>
          <w:color w:val="auto"/>
          <w:sz w:val="24"/>
        </w:rPr>
        <w:t>综上，从数据实践和数据立法实践分析可得出，数据的特殊性导致了法律法规是否适用，进而推进立法实践的发展。</w:t>
      </w:r>
      <w:r>
        <w:rPr>
          <w:rStyle w:val="17"/>
          <w:rFonts w:ascii="Calibri" w:hAnsi="Calibri" w:eastAsia="宋体" w:cs="Calibri"/>
          <w:color w:val="auto"/>
          <w:sz w:val="24"/>
          <w:szCs w:val="24"/>
        </w:rPr>
        <w:footnoteReference w:id="16"/>
      </w:r>
      <w:r>
        <w:rPr>
          <w:rFonts w:hint="eastAsia" w:ascii="宋体" w:hAnsi="宋体" w:eastAsia="宋体" w:cs="宋体"/>
          <w:color w:val="auto"/>
          <w:sz w:val="24"/>
        </w:rPr>
        <w:t>在权利性质、保护方式，与权益类型都大相径庭的情形下，如果进行综合化集中立法，容易使法律条文高度抽象而缺乏实操性。</w:t>
      </w:r>
    </w:p>
    <w:p w14:paraId="038866BD">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0"/>
        <w:rPr>
          <w:rFonts w:hint="default"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t>三、民主立法：公众参与地方数据立法的“社会控制”</w:t>
      </w:r>
    </w:p>
    <w:p w14:paraId="5784CD8D">
      <w:pPr>
        <w:keepNext w:val="0"/>
        <w:pageBreakBefore w:val="0"/>
        <w:kinsoku/>
        <w:wordWrap/>
        <w:overflowPunct/>
        <w:topLinePunct w:val="0"/>
        <w:autoSpaceDE/>
        <w:autoSpaceDN/>
        <w:bidi w:val="0"/>
        <w:adjustRightInd/>
        <w:snapToGrid w:val="0"/>
        <w:spacing w:line="360" w:lineRule="auto"/>
        <w:ind w:firstLine="480" w:firstLineChars="200"/>
        <w:textAlignment w:val="auto"/>
        <w:outlineLvl w:val="1"/>
        <w:rPr>
          <w:rFonts w:hint="default" w:ascii="黑体" w:hAnsi="黑体" w:eastAsia="黑体" w:cs="黑体"/>
          <w:b w:val="0"/>
          <w:bCs w:val="0"/>
          <w:color w:val="auto"/>
          <w:sz w:val="24"/>
          <w:lang w:val="en-US" w:eastAsia="zh-CN"/>
        </w:rPr>
      </w:pPr>
      <w:r>
        <w:rPr>
          <w:rFonts w:hint="eastAsia" w:ascii="黑体" w:hAnsi="黑体" w:eastAsia="黑体" w:cs="黑体"/>
          <w:b w:val="0"/>
          <w:bCs w:val="0"/>
          <w:color w:val="auto"/>
          <w:sz w:val="24"/>
          <w:lang w:val="en-US" w:eastAsia="zh-CN"/>
        </w:rPr>
        <w:t>（一）地方数据立法的消极参与及其“集体行动困境”</w:t>
      </w:r>
    </w:p>
    <w:p w14:paraId="76A0E0FB">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color w:val="auto"/>
        </w:rPr>
      </w:pPr>
      <w:r>
        <w:rPr>
          <w:rFonts w:hint="eastAsia" w:ascii="宋体" w:hAnsi="宋体" w:eastAsia="宋体" w:cs="宋体"/>
          <w:color w:val="auto"/>
          <w:sz w:val="24"/>
        </w:rPr>
        <w:t>公众参与对于立法合宪性叙述极为重要，</w:t>
      </w:r>
      <w:r>
        <w:rPr>
          <w:rFonts w:hint="eastAsia" w:ascii="宋体" w:hAnsi="宋体" w:eastAsia="宋体" w:cs="宋体"/>
          <w:color w:val="auto"/>
          <w:sz w:val="24"/>
          <w:lang w:val="en-US" w:eastAsia="zh-CN"/>
        </w:rPr>
        <w:t>而</w:t>
      </w:r>
      <w:r>
        <w:rPr>
          <w:rFonts w:hint="eastAsia" w:ascii="宋体" w:hAnsi="宋体" w:eastAsia="宋体" w:cs="宋体"/>
          <w:color w:val="auto"/>
          <w:sz w:val="24"/>
        </w:rPr>
        <w:t>立法的公众参与积极性缺位的问题在我国由来已久</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并反映在地方数据立法创制过程中</w:t>
      </w:r>
      <w:r>
        <w:rPr>
          <w:rFonts w:hint="eastAsia" w:ascii="宋体" w:hAnsi="宋体" w:eastAsia="宋体" w:cs="宋体"/>
          <w:color w:val="auto"/>
          <w:sz w:val="24"/>
        </w:rPr>
        <w:t>。我国政权合法性渊源是人民主权原则，倘若立法过程脱离甚至排斥社会公众的必要参与，等于是将最广大人民根本利益与政权合法性基础间的内在联结切断，后果轻则使法律无法得到民众的遵从与信仰，重则从根</w:t>
      </w:r>
      <w:r>
        <w:rPr>
          <w:rFonts w:hint="eastAsia" w:ascii="宋体" w:hAnsi="宋体" w:eastAsia="宋体" w:cs="宋体"/>
          <w:color w:val="auto"/>
          <w:sz w:val="24"/>
          <w:lang w:eastAsia="zh-CN"/>
        </w:rPr>
        <w:t>本上</w:t>
      </w:r>
      <w:r>
        <w:rPr>
          <w:rFonts w:hint="eastAsia" w:ascii="宋体" w:hAnsi="宋体" w:eastAsia="宋体" w:cs="宋体"/>
          <w:color w:val="auto"/>
          <w:sz w:val="24"/>
        </w:rPr>
        <w:t>动摇党之于国家的执政合法性。然而经过调研与理论分析，民主立法有助于巩固政权合法性的功能正处于失</w:t>
      </w:r>
      <w:r>
        <w:rPr>
          <w:rFonts w:hint="eastAsia" w:ascii="宋体" w:hAnsi="宋体" w:eastAsia="宋体" w:cs="宋体"/>
          <w:color w:val="auto"/>
          <w:sz w:val="24"/>
          <w:lang w:val="en-US" w:eastAsia="zh-CN"/>
        </w:rPr>
        <w:t>能</w:t>
      </w:r>
      <w:r>
        <w:rPr>
          <w:rFonts w:hint="eastAsia" w:ascii="宋体" w:hAnsi="宋体" w:eastAsia="宋体" w:cs="宋体"/>
          <w:color w:val="auto"/>
          <w:sz w:val="24"/>
        </w:rPr>
        <w:t>状态，最主要表现为社会公众怠于参与立法，并贯穿于中央与地方两个层面。在六部数据法律草案的意见征集中，仅有《网络安全法（一审稿）》的参与人数超过一千人，全部法律提案平均下来的参与人数仅有487人（见表</w:t>
      </w:r>
      <w:r>
        <w:rPr>
          <w:rFonts w:hint="eastAsia" w:ascii="宋体" w:hAnsi="宋体" w:eastAsia="宋体" w:cs="宋体"/>
          <w:color w:val="auto"/>
          <w:sz w:val="24"/>
          <w:lang w:val="en-US" w:eastAsia="zh-CN"/>
        </w:rPr>
        <w:t>2</w:t>
      </w:r>
      <w:r>
        <w:rPr>
          <w:rFonts w:hint="eastAsia" w:ascii="宋体" w:hAnsi="宋体" w:eastAsia="宋体" w:cs="宋体"/>
          <w:color w:val="auto"/>
          <w:sz w:val="24"/>
        </w:rPr>
        <w:t>）。这对于调整中国十四亿多人口数据关系的国家数据立法而言，如此程度的立法公众参与显然是不足的。</w:t>
      </w:r>
    </w:p>
    <w:p w14:paraId="46854D6B">
      <w:pPr>
        <w:keepNext w:val="0"/>
        <w:pageBreakBefore w:val="0"/>
        <w:kinsoku/>
        <w:wordWrap/>
        <w:overflowPunct/>
        <w:topLinePunct w:val="0"/>
        <w:autoSpaceDE/>
        <w:autoSpaceDN/>
        <w:bidi w:val="0"/>
        <w:adjustRightInd/>
        <w:snapToGrid w:val="0"/>
        <w:spacing w:line="360" w:lineRule="auto"/>
        <w:ind w:firstLine="420" w:firstLineChars="200"/>
        <w:jc w:val="center"/>
        <w:textAlignment w:val="auto"/>
        <w:rPr>
          <w:color w:val="auto"/>
        </w:rPr>
      </w:pPr>
      <w:r>
        <w:rPr>
          <w:rFonts w:hint="eastAsia"/>
          <w:color w:val="auto"/>
        </w:rPr>
        <mc:AlternateContent>
          <mc:Choice Requires="wps">
            <w:drawing>
              <wp:anchor distT="0" distB="0" distL="114300" distR="114300" simplePos="0" relativeHeight="251660288" behindDoc="0" locked="0" layoutInCell="1" allowOverlap="1">
                <wp:simplePos x="0" y="0"/>
                <wp:positionH relativeFrom="column">
                  <wp:posOffset>53340</wp:posOffset>
                </wp:positionH>
                <wp:positionV relativeFrom="paragraph">
                  <wp:posOffset>197485</wp:posOffset>
                </wp:positionV>
                <wp:extent cx="635" cy="635"/>
                <wp:effectExtent l="0" t="0" r="0" b="0"/>
                <wp:wrapNone/>
                <wp:docPr id="2" name="墨迹 4"/>
                <wp:cNvGraphicFramePr>
                  <a:graphicFrameLocks xmlns:a="http://schemas.openxmlformats.org/drawingml/2006/main" noChangeAspect="1"/>
                </wp:cNvGraphicFramePr>
                <a:graphic xmlns:a="http://schemas.openxmlformats.org/drawingml/2006/main">
                  <a:graphicData uri="http://schemas.microsoft.com/office/word/2010/wordprocessingInk">
                    <mc:AlternateContent xmlns:a14="http://schemas.microsoft.com/office/drawing/2010/main">
                      <mc:Choice Requires="a14">
                        <w14:contentPart bwMode="clr" r:id="rId9">
                          <w14:nvContentPartPr>
                            <w14:cNvPr id="2" name="墨迹 4"/>
                            <w14:cNvContentPartPr>
                              <a14:cpLocks xmlns:a14="http://schemas.microsoft.com/office/drawing/2010/main" noChangeAspect="1"/>
                            </w14:cNvContentPartPr>
                          </w14:nvContentPartPr>
                          <w14:xfrm>
                            <a:off x="1196340" y="8046085"/>
                            <a:ext cx="635" cy="635"/>
                          </w14:xfrm>
                        </w14:contentPart>
                      </mc:Choice>
                    </mc:AlternateContent>
                  </a:graphicData>
                </a:graphic>
              </wp:anchor>
            </w:drawing>
          </mc:Choice>
          <mc:Fallback>
            <w:pict>
              <v:shape id="墨迹 4" o:spid="_x0000_s1026" o:spt="75" style="position:absolute;left:0pt;margin-left:4.2pt;margin-top:15.55pt;height:0.05pt;width:0.05pt;z-index:251660288;mso-width-relative:page;mso-height-relative:page;" coordsize="21600,21600" o:gfxdata="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">
                <v:imagedata r:id="rId10" o:title=""/>
                <o:lock v:ext="edit"/>
              </v:shape>
            </w:pict>
          </mc:Fallback>
        </mc:AlternateContent>
      </w:r>
      <w:r>
        <w:rPr>
          <w:rFonts w:hint="eastAsia"/>
          <w:color w:val="auto"/>
        </w:rPr>
        <w:t>表</w:t>
      </w:r>
      <w:r>
        <w:rPr>
          <w:rFonts w:hint="eastAsia" w:ascii="Times New Roman" w:hAnsi="Times New Roman" w:cs="Times New Roman"/>
          <w:color w:val="auto"/>
          <w:lang w:val="en-US" w:eastAsia="zh-CN"/>
        </w:rPr>
        <w:t>2</w:t>
      </w:r>
      <w:r>
        <w:rPr>
          <w:rFonts w:hint="eastAsia"/>
          <w:color w:val="auto"/>
        </w:rPr>
        <w:t xml:space="preserve">  国家数据立法的社会公众参与情况统计</w:t>
      </w:r>
      <w:r>
        <w:rPr>
          <w:rStyle w:val="17"/>
          <w:rFonts w:hint="default" w:ascii="Calibri" w:hAnsi="Calibri" w:cs="Calibri"/>
          <w:color w:val="auto"/>
          <w:sz w:val="21"/>
          <w:szCs w:val="21"/>
        </w:rPr>
        <w:footnoteReference w:id="17"/>
      </w:r>
    </w:p>
    <w:tbl>
      <w:tblPr>
        <w:tblStyle w:val="12"/>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2552"/>
        <w:gridCol w:w="2551"/>
      </w:tblGrid>
      <w:tr w14:paraId="26FF9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Borders>
              <w:top w:val="single" w:color="auto" w:sz="12" w:space="0"/>
              <w:left w:val="nil"/>
              <w:right w:val="nil"/>
            </w:tcBorders>
            <w:noWrap w:val="0"/>
            <w:vAlign w:val="top"/>
          </w:tcPr>
          <w:p w14:paraId="672C5062">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color w:val="auto"/>
              </w:rPr>
              <mc:AlternateContent>
                <mc:Choice Requires="wps">
                  <w:drawing>
                    <wp:anchor distT="0" distB="0" distL="114300" distR="114300" simplePos="0" relativeHeight="251659264" behindDoc="0" locked="0" layoutInCell="1" allowOverlap="1">
                      <wp:simplePos x="0" y="0"/>
                      <wp:positionH relativeFrom="column">
                        <wp:posOffset>48895</wp:posOffset>
                      </wp:positionH>
                      <wp:positionV relativeFrom="paragraph">
                        <wp:posOffset>2540</wp:posOffset>
                      </wp:positionV>
                      <wp:extent cx="635" cy="635"/>
                      <wp:effectExtent l="0" t="0" r="0" b="0"/>
                      <wp:wrapNone/>
                      <wp:docPr id="1" name="图片 2"/>
                      <wp:cNvGraphicFramePr>
                        <a:graphicFrameLocks xmlns:a="http://schemas.openxmlformats.org/drawingml/2006/main" noChangeAspect="1"/>
                      </wp:cNvGraphicFramePr>
                      <a:graphic xmlns:a="http://schemas.openxmlformats.org/drawingml/2006/main">
                        <a:graphicData uri="http://schemas.microsoft.com/office/word/2010/wordprocessingInk">
                          <mc:AlternateContent xmlns:a14="http://schemas.microsoft.com/office/drawing/2010/main">
                            <mc:Choice Requires="a14">
                              <w14:contentPart bwMode="clr" r:id="rId11">
                                <w14:nvContentPartPr>
                                  <w14:cNvPr id="1" name="图片 2"/>
                                  <w14:cNvContentPartPr>
                                    <a14:cpLocks xmlns:a14="http://schemas.microsoft.com/office/drawing/2010/main" noChangeAspect="1"/>
                                  </w14:cNvContentPartPr>
                                </w14:nvContentPartPr>
                                <w14:xfrm>
                                  <a:off x="1191895" y="8055610"/>
                                  <a:ext cx="635" cy="635"/>
                                </w14:xfrm>
                              </w14:contentPart>
                            </mc:Choice>
                          </mc:AlternateContent>
                        </a:graphicData>
                      </a:graphic>
                    </wp:anchor>
                  </w:drawing>
                </mc:Choice>
                <mc:Fallback>
                  <w:pict>
                    <v:shape id="图片 2" o:spid="_x0000_s1026" o:spt="75" style="position:absolute;left:0pt;margin-left:3.85pt;margin-top:0.2pt;height:0.05pt;width:0.05pt;z-index:251659264;mso-width-relative:page;mso-height-relative:page;" coordsize="21600,21600" o:gfxdata="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">
                      <v:imagedata r:id="rId10" o:title=""/>
                      <o:lock v:ext="edit"/>
                    </v:shape>
                  </w:pict>
                </mc:Fallback>
              </mc:AlternateContent>
            </w:r>
            <w:r>
              <w:rPr>
                <w:rFonts w:hint="eastAsia"/>
                <w:color w:val="auto"/>
              </w:rPr>
              <w:t>规范名称</w:t>
            </w:r>
          </w:p>
        </w:tc>
        <w:tc>
          <w:tcPr>
            <w:tcW w:w="2552" w:type="dxa"/>
            <w:tcBorders>
              <w:top w:val="single" w:color="auto" w:sz="12" w:space="0"/>
              <w:left w:val="nil"/>
              <w:right w:val="nil"/>
            </w:tcBorders>
            <w:noWrap w:val="0"/>
            <w:vAlign w:val="top"/>
          </w:tcPr>
          <w:p w14:paraId="74D4A00D">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参与主体数量（名）</w:t>
            </w:r>
          </w:p>
        </w:tc>
        <w:tc>
          <w:tcPr>
            <w:tcW w:w="2551" w:type="dxa"/>
            <w:tcBorders>
              <w:top w:val="single" w:color="auto" w:sz="12" w:space="0"/>
              <w:left w:val="nil"/>
              <w:right w:val="nil"/>
            </w:tcBorders>
            <w:noWrap w:val="0"/>
            <w:vAlign w:val="top"/>
          </w:tcPr>
          <w:p w14:paraId="10691E12">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意见反馈数量（条）</w:t>
            </w:r>
          </w:p>
        </w:tc>
      </w:tr>
      <w:tr w14:paraId="47E2B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402" w:type="dxa"/>
            <w:tcBorders>
              <w:left w:val="nil"/>
              <w:bottom w:val="nil"/>
              <w:right w:val="nil"/>
            </w:tcBorders>
            <w:noWrap w:val="0"/>
            <w:vAlign w:val="top"/>
          </w:tcPr>
          <w:p w14:paraId="0296D407">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《数据安全法（二审稿）》</w:t>
            </w:r>
          </w:p>
        </w:tc>
        <w:tc>
          <w:tcPr>
            <w:tcW w:w="2552" w:type="dxa"/>
            <w:tcBorders>
              <w:left w:val="nil"/>
              <w:bottom w:val="nil"/>
              <w:right w:val="nil"/>
            </w:tcBorders>
            <w:noWrap w:val="0"/>
            <w:vAlign w:val="top"/>
          </w:tcPr>
          <w:p w14:paraId="3B9AD980">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133</w:t>
            </w:r>
          </w:p>
        </w:tc>
        <w:tc>
          <w:tcPr>
            <w:tcW w:w="2551" w:type="dxa"/>
            <w:tcBorders>
              <w:left w:val="nil"/>
              <w:bottom w:val="nil"/>
              <w:right w:val="nil"/>
            </w:tcBorders>
            <w:noWrap w:val="0"/>
            <w:vAlign w:val="top"/>
          </w:tcPr>
          <w:p w14:paraId="5E3BF3E4">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334</w:t>
            </w:r>
          </w:p>
        </w:tc>
      </w:tr>
      <w:tr w14:paraId="1CD17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Borders>
              <w:top w:val="nil"/>
              <w:left w:val="nil"/>
              <w:bottom w:val="nil"/>
              <w:right w:val="nil"/>
            </w:tcBorders>
            <w:noWrap w:val="0"/>
            <w:vAlign w:val="top"/>
          </w:tcPr>
          <w:p w14:paraId="2D706215">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《数据安全法（一审稿）》</w:t>
            </w:r>
          </w:p>
        </w:tc>
        <w:tc>
          <w:tcPr>
            <w:tcW w:w="2552" w:type="dxa"/>
            <w:tcBorders>
              <w:top w:val="nil"/>
              <w:left w:val="nil"/>
              <w:bottom w:val="nil"/>
              <w:right w:val="nil"/>
            </w:tcBorders>
            <w:noWrap w:val="0"/>
            <w:vAlign w:val="top"/>
          </w:tcPr>
          <w:p w14:paraId="79D89043">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207</w:t>
            </w:r>
          </w:p>
        </w:tc>
        <w:tc>
          <w:tcPr>
            <w:tcW w:w="2551" w:type="dxa"/>
            <w:tcBorders>
              <w:top w:val="nil"/>
              <w:left w:val="nil"/>
              <w:bottom w:val="nil"/>
              <w:right w:val="nil"/>
            </w:tcBorders>
            <w:noWrap w:val="0"/>
            <w:vAlign w:val="top"/>
          </w:tcPr>
          <w:p w14:paraId="222CA981">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651</w:t>
            </w:r>
          </w:p>
        </w:tc>
      </w:tr>
      <w:tr w14:paraId="209E4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Borders>
              <w:top w:val="nil"/>
              <w:left w:val="nil"/>
              <w:bottom w:val="nil"/>
              <w:right w:val="nil"/>
            </w:tcBorders>
            <w:noWrap w:val="0"/>
            <w:vAlign w:val="top"/>
          </w:tcPr>
          <w:p w14:paraId="04B0411D">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《个人信息保护法（二审稿）》</w:t>
            </w:r>
          </w:p>
        </w:tc>
        <w:tc>
          <w:tcPr>
            <w:tcW w:w="2552" w:type="dxa"/>
            <w:tcBorders>
              <w:top w:val="nil"/>
              <w:left w:val="nil"/>
              <w:bottom w:val="nil"/>
              <w:right w:val="nil"/>
            </w:tcBorders>
            <w:noWrap w:val="0"/>
            <w:vAlign w:val="top"/>
          </w:tcPr>
          <w:p w14:paraId="75F324AB">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239</w:t>
            </w:r>
          </w:p>
        </w:tc>
        <w:tc>
          <w:tcPr>
            <w:tcW w:w="2551" w:type="dxa"/>
            <w:tcBorders>
              <w:top w:val="nil"/>
              <w:left w:val="nil"/>
              <w:bottom w:val="nil"/>
              <w:right w:val="nil"/>
            </w:tcBorders>
            <w:noWrap w:val="0"/>
            <w:vAlign w:val="top"/>
          </w:tcPr>
          <w:p w14:paraId="09C157FE">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776</w:t>
            </w:r>
          </w:p>
        </w:tc>
      </w:tr>
      <w:tr w14:paraId="3C4E7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Borders>
              <w:top w:val="nil"/>
              <w:left w:val="nil"/>
              <w:bottom w:val="nil"/>
              <w:right w:val="nil"/>
            </w:tcBorders>
            <w:noWrap w:val="0"/>
            <w:vAlign w:val="top"/>
          </w:tcPr>
          <w:p w14:paraId="7CA32289">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《个人信息保护法（一审稿）》</w:t>
            </w:r>
          </w:p>
        </w:tc>
        <w:tc>
          <w:tcPr>
            <w:tcW w:w="2552" w:type="dxa"/>
            <w:tcBorders>
              <w:top w:val="nil"/>
              <w:left w:val="nil"/>
              <w:bottom w:val="nil"/>
              <w:right w:val="nil"/>
            </w:tcBorders>
            <w:noWrap w:val="0"/>
            <w:vAlign w:val="top"/>
          </w:tcPr>
          <w:p w14:paraId="31A24A40">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548</w:t>
            </w:r>
          </w:p>
        </w:tc>
        <w:tc>
          <w:tcPr>
            <w:tcW w:w="2551" w:type="dxa"/>
            <w:tcBorders>
              <w:top w:val="nil"/>
              <w:left w:val="nil"/>
              <w:bottom w:val="nil"/>
              <w:right w:val="nil"/>
            </w:tcBorders>
            <w:noWrap w:val="0"/>
            <w:vAlign w:val="top"/>
          </w:tcPr>
          <w:p w14:paraId="53506479">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1245</w:t>
            </w:r>
          </w:p>
        </w:tc>
      </w:tr>
      <w:tr w14:paraId="4CDC6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Borders>
              <w:top w:val="nil"/>
              <w:left w:val="nil"/>
              <w:bottom w:val="nil"/>
              <w:right w:val="nil"/>
            </w:tcBorders>
            <w:noWrap w:val="0"/>
            <w:vAlign w:val="top"/>
          </w:tcPr>
          <w:p w14:paraId="6B7A0B3F">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《网络安全法（二审稿）》</w:t>
            </w:r>
          </w:p>
        </w:tc>
        <w:tc>
          <w:tcPr>
            <w:tcW w:w="2552" w:type="dxa"/>
            <w:tcBorders>
              <w:top w:val="nil"/>
              <w:left w:val="nil"/>
              <w:bottom w:val="nil"/>
              <w:right w:val="nil"/>
            </w:tcBorders>
            <w:noWrap w:val="0"/>
            <w:vAlign w:val="top"/>
          </w:tcPr>
          <w:p w14:paraId="7C625A7E">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231</w:t>
            </w:r>
          </w:p>
        </w:tc>
        <w:tc>
          <w:tcPr>
            <w:tcW w:w="2551" w:type="dxa"/>
            <w:tcBorders>
              <w:top w:val="nil"/>
              <w:left w:val="nil"/>
              <w:bottom w:val="nil"/>
              <w:right w:val="nil"/>
            </w:tcBorders>
            <w:noWrap w:val="0"/>
            <w:vAlign w:val="top"/>
          </w:tcPr>
          <w:p w14:paraId="7B992C53">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969</w:t>
            </w:r>
          </w:p>
        </w:tc>
      </w:tr>
      <w:tr w14:paraId="1B95D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Borders>
              <w:top w:val="nil"/>
              <w:left w:val="nil"/>
              <w:bottom w:val="single" w:color="auto" w:sz="12" w:space="0"/>
              <w:right w:val="nil"/>
            </w:tcBorders>
            <w:noWrap w:val="0"/>
            <w:vAlign w:val="top"/>
          </w:tcPr>
          <w:p w14:paraId="37976960">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《网络安全法（一审稿）》</w:t>
            </w:r>
          </w:p>
        </w:tc>
        <w:tc>
          <w:tcPr>
            <w:tcW w:w="2552" w:type="dxa"/>
            <w:tcBorders>
              <w:top w:val="nil"/>
              <w:left w:val="nil"/>
              <w:bottom w:val="single" w:color="auto" w:sz="12" w:space="0"/>
              <w:right w:val="nil"/>
            </w:tcBorders>
            <w:noWrap w:val="0"/>
            <w:vAlign w:val="top"/>
          </w:tcPr>
          <w:p w14:paraId="4A1BA27C">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1564</w:t>
            </w:r>
          </w:p>
        </w:tc>
        <w:tc>
          <w:tcPr>
            <w:tcW w:w="2551" w:type="dxa"/>
            <w:tcBorders>
              <w:top w:val="nil"/>
              <w:left w:val="nil"/>
              <w:bottom w:val="single" w:color="auto" w:sz="12" w:space="0"/>
              <w:right w:val="nil"/>
            </w:tcBorders>
            <w:noWrap w:val="0"/>
            <w:vAlign w:val="top"/>
          </w:tcPr>
          <w:p w14:paraId="21B1A85C">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4240</w:t>
            </w:r>
          </w:p>
        </w:tc>
      </w:tr>
    </w:tbl>
    <w:p w14:paraId="2E541AC8">
      <w:pPr>
        <w:keepNext w:val="0"/>
        <w:pageBreakBefore w:val="0"/>
        <w:kinsoku/>
        <w:wordWrap/>
        <w:overflowPunct/>
        <w:topLinePunct w:val="0"/>
        <w:autoSpaceDE/>
        <w:autoSpaceDN/>
        <w:bidi w:val="0"/>
        <w:adjustRightInd/>
        <w:snapToGrid w:val="0"/>
        <w:spacing w:line="360" w:lineRule="auto"/>
        <w:textAlignment w:val="auto"/>
        <w:rPr>
          <w:rFonts w:hint="eastAsia" w:ascii="宋体" w:hAnsi="宋体" w:eastAsia="宋体" w:cs="宋体"/>
          <w:color w:val="auto"/>
          <w:sz w:val="24"/>
        </w:rPr>
      </w:pPr>
    </w:p>
    <w:p w14:paraId="2397AB4B">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rPr>
      </w:pPr>
      <w:r>
        <w:rPr>
          <w:rFonts w:hint="eastAsia" w:ascii="宋体" w:hAnsi="宋体" w:eastAsia="宋体" w:cs="宋体"/>
          <w:color w:val="auto"/>
          <w:sz w:val="24"/>
        </w:rPr>
        <w:t>除国家立法外，地方数据立法的社会参与情况也不容乐观，多部立法甚至没有收到任何反馈意见（见表</w:t>
      </w:r>
      <w:r>
        <w:rPr>
          <w:rFonts w:hint="eastAsia" w:ascii="宋体" w:hAnsi="宋体" w:eastAsia="宋体" w:cs="宋体"/>
          <w:color w:val="auto"/>
          <w:sz w:val="24"/>
          <w:lang w:val="en-US" w:eastAsia="zh-CN"/>
        </w:rPr>
        <w:t>3</w:t>
      </w:r>
      <w:r>
        <w:rPr>
          <w:rFonts w:hint="eastAsia" w:ascii="宋体" w:hAnsi="宋体" w:eastAsia="宋体" w:cs="宋体"/>
          <w:color w:val="auto"/>
          <w:sz w:val="24"/>
        </w:rPr>
        <w:t>）。</w:t>
      </w:r>
    </w:p>
    <w:p w14:paraId="67546FB2">
      <w:pPr>
        <w:keepNext w:val="0"/>
        <w:pageBreakBefore w:val="0"/>
        <w:kinsoku/>
        <w:wordWrap/>
        <w:overflowPunct/>
        <w:topLinePunct w:val="0"/>
        <w:autoSpaceDE/>
        <w:autoSpaceDN/>
        <w:bidi w:val="0"/>
        <w:adjustRightInd/>
        <w:snapToGrid w:val="0"/>
        <w:spacing w:line="360" w:lineRule="auto"/>
        <w:ind w:firstLine="420" w:firstLineChars="200"/>
        <w:jc w:val="center"/>
        <w:textAlignment w:val="auto"/>
        <w:rPr>
          <w:color w:val="auto"/>
        </w:rPr>
      </w:pPr>
      <w:r>
        <w:rPr>
          <w:rFonts w:hint="eastAsia"/>
          <w:color w:val="auto"/>
        </w:rPr>
        <w:t>表</w:t>
      </w:r>
      <w:r>
        <w:rPr>
          <w:rFonts w:hint="eastAsia" w:ascii="Times New Roman" w:hAnsi="Times New Roman" w:cs="Times New Roman"/>
          <w:color w:val="auto"/>
          <w:lang w:val="en-US" w:eastAsia="zh-CN"/>
        </w:rPr>
        <w:t>3</w:t>
      </w:r>
      <w:r>
        <w:rPr>
          <w:rFonts w:hint="eastAsia"/>
          <w:color w:val="auto"/>
        </w:rPr>
        <w:t xml:space="preserve">  地方数据立法的社会公众参与情况统计</w:t>
      </w:r>
      <w:r>
        <w:rPr>
          <w:rStyle w:val="17"/>
          <w:rFonts w:hint="default" w:ascii="Calibri" w:hAnsi="Calibri" w:cs="Calibri"/>
          <w:color w:val="auto"/>
        </w:rPr>
        <w:footnoteReference w:id="18"/>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1984"/>
        <w:gridCol w:w="1984"/>
      </w:tblGrid>
      <w:tr w14:paraId="3F213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12" w:space="0"/>
              <w:left w:val="nil"/>
              <w:bottom w:val="single" w:color="auto" w:sz="4" w:space="0"/>
              <w:right w:val="nil"/>
            </w:tcBorders>
            <w:noWrap w:val="0"/>
            <w:vAlign w:val="center"/>
          </w:tcPr>
          <w:p w14:paraId="75E3292D">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规范名称</w:t>
            </w:r>
          </w:p>
        </w:tc>
        <w:tc>
          <w:tcPr>
            <w:tcW w:w="1984" w:type="dxa"/>
            <w:tcBorders>
              <w:top w:val="single" w:color="auto" w:sz="12" w:space="0"/>
              <w:left w:val="nil"/>
              <w:bottom w:val="single" w:color="auto" w:sz="4" w:space="0"/>
              <w:right w:val="nil"/>
            </w:tcBorders>
            <w:noWrap w:val="0"/>
            <w:vAlign w:val="center"/>
          </w:tcPr>
          <w:p w14:paraId="23CA4B36">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参与主体数量（名）</w:t>
            </w:r>
          </w:p>
        </w:tc>
        <w:tc>
          <w:tcPr>
            <w:tcW w:w="1984" w:type="dxa"/>
            <w:tcBorders>
              <w:top w:val="single" w:color="auto" w:sz="12" w:space="0"/>
              <w:left w:val="nil"/>
              <w:bottom w:val="single" w:color="auto" w:sz="4" w:space="0"/>
              <w:right w:val="nil"/>
            </w:tcBorders>
            <w:noWrap w:val="0"/>
            <w:vAlign w:val="center"/>
          </w:tcPr>
          <w:p w14:paraId="1A1614F8">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意见反馈数量（条）</w:t>
            </w:r>
          </w:p>
        </w:tc>
      </w:tr>
      <w:tr w14:paraId="08F8B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single" w:color="auto" w:sz="4" w:space="0"/>
              <w:left w:val="nil"/>
              <w:bottom w:val="nil"/>
              <w:right w:val="nil"/>
            </w:tcBorders>
            <w:noWrap w:val="0"/>
            <w:vAlign w:val="center"/>
          </w:tcPr>
          <w:p w14:paraId="0C5A6D0D">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eastAsia="宋体"/>
                <w:color w:val="auto"/>
                <w:lang w:val="en-US" w:eastAsia="zh-CN"/>
              </w:rPr>
            </w:pPr>
            <w:r>
              <w:rPr>
                <w:rFonts w:hint="eastAsia"/>
                <w:color w:val="auto"/>
                <w:lang w:eastAsia="zh-CN"/>
              </w:rPr>
              <w:t>《</w:t>
            </w:r>
            <w:r>
              <w:rPr>
                <w:rFonts w:hint="eastAsia"/>
                <w:color w:val="auto"/>
              </w:rPr>
              <w:t>厦门经济特区数据条例（</w:t>
            </w:r>
            <w:r>
              <w:rPr>
                <w:rFonts w:hint="eastAsia"/>
                <w:color w:val="auto"/>
                <w:lang w:val="en-US" w:eastAsia="zh-CN"/>
              </w:rPr>
              <w:t>草案）》</w:t>
            </w:r>
          </w:p>
        </w:tc>
        <w:tc>
          <w:tcPr>
            <w:tcW w:w="1984" w:type="dxa"/>
            <w:tcBorders>
              <w:top w:val="single" w:color="auto" w:sz="4" w:space="0"/>
              <w:left w:val="nil"/>
              <w:bottom w:val="nil"/>
              <w:right w:val="nil"/>
            </w:tcBorders>
            <w:noWrap w:val="0"/>
            <w:vAlign w:val="center"/>
          </w:tcPr>
          <w:p w14:paraId="68062AF9">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ascii="Times New Roman" w:hAnsi="Times New Roman" w:eastAsia="宋体" w:cs="Times New Roman"/>
                <w:color w:val="auto"/>
                <w:lang w:val="en-US" w:eastAsia="zh-CN"/>
              </w:rPr>
            </w:pPr>
            <w:r>
              <w:rPr>
                <w:rFonts w:hint="eastAsia" w:ascii="Times New Roman" w:hAnsi="Times New Roman" w:cs="Times New Roman"/>
                <w:color w:val="auto"/>
                <w:lang w:val="en-US" w:eastAsia="zh-CN"/>
              </w:rPr>
              <w:t>/</w:t>
            </w:r>
          </w:p>
        </w:tc>
        <w:tc>
          <w:tcPr>
            <w:tcW w:w="1984" w:type="dxa"/>
            <w:tcBorders>
              <w:top w:val="single" w:color="auto" w:sz="4" w:space="0"/>
              <w:left w:val="nil"/>
              <w:bottom w:val="nil"/>
              <w:right w:val="nil"/>
            </w:tcBorders>
            <w:noWrap w:val="0"/>
            <w:vAlign w:val="center"/>
          </w:tcPr>
          <w:p w14:paraId="3ECFE809">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eastAsia="宋体" w:cs="Times New Roman"/>
                <w:color w:val="auto"/>
                <w:lang w:val="en-US" w:eastAsia="zh-CN"/>
              </w:rPr>
            </w:pPr>
            <w:r>
              <w:rPr>
                <w:rFonts w:hint="eastAsia" w:ascii="Times New Roman" w:hAnsi="Times New Roman" w:cs="Times New Roman"/>
                <w:color w:val="auto"/>
                <w:lang w:val="en-US" w:eastAsia="zh-CN"/>
              </w:rPr>
              <w:t>100+</w:t>
            </w:r>
          </w:p>
        </w:tc>
      </w:tr>
      <w:tr w14:paraId="3676D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nil"/>
              <w:left w:val="nil"/>
              <w:bottom w:val="nil"/>
              <w:right w:val="nil"/>
            </w:tcBorders>
            <w:noWrap w:val="0"/>
            <w:vAlign w:val="center"/>
          </w:tcPr>
          <w:p w14:paraId="280965EF">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《广州市数据条例（草案）》</w:t>
            </w:r>
          </w:p>
        </w:tc>
        <w:tc>
          <w:tcPr>
            <w:tcW w:w="1984" w:type="dxa"/>
            <w:tcBorders>
              <w:top w:val="nil"/>
              <w:left w:val="nil"/>
              <w:bottom w:val="nil"/>
              <w:right w:val="nil"/>
            </w:tcBorders>
            <w:noWrap w:val="0"/>
            <w:vAlign w:val="center"/>
          </w:tcPr>
          <w:p w14:paraId="2C4A809A">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13</w:t>
            </w:r>
          </w:p>
        </w:tc>
        <w:tc>
          <w:tcPr>
            <w:tcW w:w="1984" w:type="dxa"/>
            <w:tcBorders>
              <w:top w:val="nil"/>
              <w:left w:val="nil"/>
              <w:bottom w:val="nil"/>
              <w:right w:val="nil"/>
            </w:tcBorders>
            <w:noWrap w:val="0"/>
            <w:vAlign w:val="center"/>
          </w:tcPr>
          <w:p w14:paraId="38DD9FDD">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62</w:t>
            </w:r>
          </w:p>
        </w:tc>
      </w:tr>
      <w:tr w14:paraId="6E28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nil"/>
              <w:left w:val="nil"/>
              <w:bottom w:val="nil"/>
              <w:right w:val="nil"/>
            </w:tcBorders>
            <w:noWrap w:val="0"/>
            <w:vAlign w:val="center"/>
          </w:tcPr>
          <w:p w14:paraId="75FB4346">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《四川省大数据发展条例（草案）》</w:t>
            </w:r>
          </w:p>
        </w:tc>
        <w:tc>
          <w:tcPr>
            <w:tcW w:w="1984" w:type="dxa"/>
            <w:tcBorders>
              <w:top w:val="nil"/>
              <w:left w:val="nil"/>
              <w:bottom w:val="nil"/>
              <w:right w:val="nil"/>
            </w:tcBorders>
            <w:noWrap w:val="0"/>
            <w:vAlign w:val="center"/>
          </w:tcPr>
          <w:p w14:paraId="7A5F2834">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w:t>
            </w:r>
          </w:p>
        </w:tc>
        <w:tc>
          <w:tcPr>
            <w:tcW w:w="1984" w:type="dxa"/>
            <w:tcBorders>
              <w:top w:val="nil"/>
              <w:left w:val="nil"/>
              <w:bottom w:val="nil"/>
              <w:right w:val="nil"/>
            </w:tcBorders>
            <w:noWrap w:val="0"/>
            <w:vAlign w:val="center"/>
          </w:tcPr>
          <w:p w14:paraId="1E1338C6">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37</w:t>
            </w:r>
          </w:p>
        </w:tc>
      </w:tr>
      <w:tr w14:paraId="41F0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nil"/>
              <w:left w:val="nil"/>
              <w:bottom w:val="nil"/>
              <w:right w:val="nil"/>
            </w:tcBorders>
            <w:noWrap w:val="0"/>
            <w:vAlign w:val="center"/>
          </w:tcPr>
          <w:p w14:paraId="1F815571">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《江苏省数字经济促进条例（草案）》</w:t>
            </w:r>
          </w:p>
        </w:tc>
        <w:tc>
          <w:tcPr>
            <w:tcW w:w="1984" w:type="dxa"/>
            <w:tcBorders>
              <w:top w:val="nil"/>
              <w:left w:val="nil"/>
              <w:bottom w:val="nil"/>
              <w:right w:val="nil"/>
            </w:tcBorders>
            <w:noWrap w:val="0"/>
            <w:vAlign w:val="center"/>
          </w:tcPr>
          <w:p w14:paraId="0CA0031B">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w:t>
            </w:r>
          </w:p>
        </w:tc>
        <w:tc>
          <w:tcPr>
            <w:tcW w:w="1984" w:type="dxa"/>
            <w:tcBorders>
              <w:top w:val="nil"/>
              <w:left w:val="nil"/>
              <w:bottom w:val="nil"/>
              <w:right w:val="nil"/>
            </w:tcBorders>
            <w:noWrap w:val="0"/>
            <w:vAlign w:val="center"/>
          </w:tcPr>
          <w:p w14:paraId="33E6B84C">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20</w:t>
            </w:r>
          </w:p>
        </w:tc>
      </w:tr>
      <w:tr w14:paraId="08B5A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nil"/>
              <w:left w:val="nil"/>
              <w:bottom w:val="nil"/>
              <w:right w:val="nil"/>
            </w:tcBorders>
            <w:noWrap w:val="0"/>
            <w:vAlign w:val="center"/>
          </w:tcPr>
          <w:p w14:paraId="14F11DB1">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ascii="Calibri" w:hAnsi="Calibri" w:eastAsia="宋体" w:cs="Times New Roman"/>
                <w:color w:val="auto"/>
                <w:kern w:val="2"/>
                <w:sz w:val="21"/>
                <w:szCs w:val="24"/>
                <w:lang w:val="en-US" w:eastAsia="zh-CN" w:bidi="ar-SA"/>
              </w:rPr>
            </w:pPr>
            <w:r>
              <w:rPr>
                <w:rFonts w:hint="eastAsia"/>
                <w:color w:val="auto"/>
                <w:lang w:eastAsia="zh-CN"/>
              </w:rPr>
              <w:t>《</w:t>
            </w:r>
            <w:r>
              <w:rPr>
                <w:rFonts w:hint="eastAsia"/>
                <w:color w:val="auto"/>
              </w:rPr>
              <w:t>苏州市数据条例（</w:t>
            </w:r>
            <w:r>
              <w:rPr>
                <w:rFonts w:hint="eastAsia"/>
                <w:color w:val="auto"/>
                <w:lang w:val="en-US" w:eastAsia="zh-CN"/>
              </w:rPr>
              <w:t>草案</w:t>
            </w:r>
            <w:r>
              <w:rPr>
                <w:rFonts w:hint="eastAsia"/>
                <w:color w:val="auto"/>
              </w:rPr>
              <w:t>）</w:t>
            </w:r>
            <w:r>
              <w:rPr>
                <w:rFonts w:hint="eastAsia"/>
                <w:color w:val="auto"/>
                <w:lang w:eastAsia="zh-CN"/>
              </w:rPr>
              <w:t>》</w:t>
            </w:r>
          </w:p>
        </w:tc>
        <w:tc>
          <w:tcPr>
            <w:tcW w:w="1984" w:type="dxa"/>
            <w:tcBorders>
              <w:top w:val="nil"/>
              <w:left w:val="nil"/>
              <w:bottom w:val="nil"/>
              <w:right w:val="nil"/>
            </w:tcBorders>
            <w:noWrap w:val="0"/>
            <w:vAlign w:val="center"/>
          </w:tcPr>
          <w:p w14:paraId="614AEF12">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cs="Times New Roman"/>
                <w:color w:val="auto"/>
                <w:lang w:val="en-US" w:eastAsia="zh-CN"/>
              </w:rPr>
              <w:t>/</w:t>
            </w:r>
          </w:p>
        </w:tc>
        <w:tc>
          <w:tcPr>
            <w:tcW w:w="1984" w:type="dxa"/>
            <w:tcBorders>
              <w:top w:val="nil"/>
              <w:left w:val="nil"/>
              <w:bottom w:val="nil"/>
              <w:right w:val="nil"/>
            </w:tcBorders>
            <w:noWrap w:val="0"/>
            <w:vAlign w:val="center"/>
          </w:tcPr>
          <w:p w14:paraId="1B1FB5D1">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eastAsia="宋体" w:cs="Times New Roman"/>
                <w:color w:val="auto"/>
                <w:kern w:val="2"/>
                <w:sz w:val="21"/>
                <w:szCs w:val="24"/>
                <w:lang w:val="en-US" w:eastAsia="zh-CN" w:bidi="ar-SA"/>
              </w:rPr>
            </w:pPr>
            <w:r>
              <w:rPr>
                <w:rFonts w:hint="eastAsia" w:ascii="Times New Roman" w:hAnsi="Times New Roman" w:cs="Times New Roman"/>
                <w:color w:val="auto"/>
                <w:lang w:val="en-US" w:eastAsia="zh-CN"/>
              </w:rPr>
              <w:t>10+</w:t>
            </w:r>
          </w:p>
        </w:tc>
      </w:tr>
      <w:tr w14:paraId="05239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nil"/>
              <w:left w:val="nil"/>
              <w:bottom w:val="nil"/>
              <w:right w:val="nil"/>
            </w:tcBorders>
            <w:noWrap w:val="0"/>
            <w:vAlign w:val="center"/>
          </w:tcPr>
          <w:p w14:paraId="331FE8FB">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lang w:eastAsia="zh-CN"/>
              </w:rPr>
              <w:t>《</w:t>
            </w:r>
            <w:r>
              <w:rPr>
                <w:rFonts w:hint="eastAsia"/>
                <w:color w:val="auto"/>
                <w:lang w:val="en-US" w:eastAsia="zh-CN"/>
              </w:rPr>
              <w:t>河南省数据条例（草案）</w:t>
            </w:r>
            <w:r>
              <w:rPr>
                <w:rFonts w:hint="eastAsia"/>
                <w:color w:val="auto"/>
                <w:lang w:eastAsia="zh-CN"/>
              </w:rPr>
              <w:t>》</w:t>
            </w:r>
          </w:p>
        </w:tc>
        <w:tc>
          <w:tcPr>
            <w:tcW w:w="1984" w:type="dxa"/>
            <w:tcBorders>
              <w:top w:val="nil"/>
              <w:left w:val="nil"/>
              <w:bottom w:val="nil"/>
              <w:right w:val="nil"/>
            </w:tcBorders>
            <w:noWrap w:val="0"/>
            <w:vAlign w:val="center"/>
          </w:tcPr>
          <w:p w14:paraId="0FC58E9B">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hint="eastAsia" w:ascii="Times New Roman" w:hAnsi="Times New Roman" w:cs="Times New Roman"/>
                <w:color w:val="auto"/>
                <w:lang w:val="en-US" w:eastAsia="zh-CN"/>
              </w:rPr>
              <w:t>/</w:t>
            </w:r>
          </w:p>
        </w:tc>
        <w:tc>
          <w:tcPr>
            <w:tcW w:w="1984" w:type="dxa"/>
            <w:tcBorders>
              <w:top w:val="nil"/>
              <w:left w:val="nil"/>
              <w:bottom w:val="nil"/>
              <w:right w:val="nil"/>
            </w:tcBorders>
            <w:noWrap w:val="0"/>
            <w:vAlign w:val="center"/>
          </w:tcPr>
          <w:p w14:paraId="11573629">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hint="eastAsia" w:ascii="Times New Roman" w:hAnsi="Times New Roman" w:cs="Times New Roman"/>
                <w:color w:val="auto"/>
                <w:lang w:val="en-US" w:eastAsia="zh-CN"/>
              </w:rPr>
              <w:t>2</w:t>
            </w:r>
          </w:p>
        </w:tc>
      </w:tr>
      <w:tr w14:paraId="01D13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4253" w:type="dxa"/>
            <w:tcBorders>
              <w:top w:val="nil"/>
              <w:left w:val="nil"/>
              <w:bottom w:val="nil"/>
              <w:right w:val="nil"/>
            </w:tcBorders>
            <w:noWrap w:val="0"/>
            <w:vAlign w:val="center"/>
          </w:tcPr>
          <w:p w14:paraId="5A30E290">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color w:val="auto"/>
              </w:rPr>
            </w:pPr>
            <w:r>
              <w:rPr>
                <w:rFonts w:hint="eastAsia"/>
                <w:color w:val="auto"/>
                <w:lang w:eastAsia="zh-CN"/>
              </w:rPr>
              <w:t>《湖北省数据条例（草案）》</w:t>
            </w:r>
          </w:p>
        </w:tc>
        <w:tc>
          <w:tcPr>
            <w:tcW w:w="1984" w:type="dxa"/>
            <w:tcBorders>
              <w:top w:val="nil"/>
              <w:left w:val="nil"/>
              <w:bottom w:val="nil"/>
              <w:right w:val="nil"/>
            </w:tcBorders>
            <w:noWrap w:val="0"/>
            <w:vAlign w:val="center"/>
          </w:tcPr>
          <w:p w14:paraId="176604EA">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hint="eastAsia" w:ascii="Times New Roman" w:hAnsi="Times New Roman" w:cs="Times New Roman"/>
                <w:color w:val="auto"/>
                <w:lang w:val="en-US" w:eastAsia="zh-CN"/>
              </w:rPr>
              <w:t>/</w:t>
            </w:r>
          </w:p>
        </w:tc>
        <w:tc>
          <w:tcPr>
            <w:tcW w:w="1984" w:type="dxa"/>
            <w:tcBorders>
              <w:top w:val="nil"/>
              <w:left w:val="nil"/>
              <w:bottom w:val="nil"/>
              <w:right w:val="nil"/>
            </w:tcBorders>
            <w:noWrap w:val="0"/>
            <w:vAlign w:val="center"/>
          </w:tcPr>
          <w:p w14:paraId="3C476CEB">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hint="eastAsia" w:ascii="Times New Roman" w:hAnsi="Times New Roman" w:cs="Times New Roman"/>
                <w:color w:val="auto"/>
                <w:lang w:val="en-US" w:eastAsia="zh-CN"/>
              </w:rPr>
              <w:t>1</w:t>
            </w:r>
          </w:p>
        </w:tc>
      </w:tr>
      <w:tr w14:paraId="7C2B7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nil"/>
              <w:left w:val="nil"/>
              <w:bottom w:val="nil"/>
              <w:right w:val="nil"/>
            </w:tcBorders>
            <w:noWrap w:val="0"/>
            <w:vAlign w:val="center"/>
          </w:tcPr>
          <w:p w14:paraId="6200BC65">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color w:val="auto"/>
              </w:rPr>
            </w:pPr>
            <w:r>
              <w:rPr>
                <w:rFonts w:hint="eastAsia"/>
                <w:color w:val="auto"/>
                <w:lang w:eastAsia="zh-CN"/>
              </w:rPr>
              <w:t>《湖南省数据条例（草案）》</w:t>
            </w:r>
          </w:p>
        </w:tc>
        <w:tc>
          <w:tcPr>
            <w:tcW w:w="1984" w:type="dxa"/>
            <w:tcBorders>
              <w:top w:val="nil"/>
              <w:left w:val="nil"/>
              <w:bottom w:val="nil"/>
              <w:right w:val="nil"/>
            </w:tcBorders>
            <w:noWrap w:val="0"/>
            <w:vAlign w:val="center"/>
          </w:tcPr>
          <w:p w14:paraId="6F91FB63">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hint="eastAsia" w:ascii="Times New Roman" w:hAnsi="Times New Roman" w:cs="Times New Roman"/>
                <w:color w:val="auto"/>
                <w:lang w:val="en-US" w:eastAsia="zh-CN"/>
              </w:rPr>
              <w:t>/</w:t>
            </w:r>
          </w:p>
        </w:tc>
        <w:tc>
          <w:tcPr>
            <w:tcW w:w="1984" w:type="dxa"/>
            <w:tcBorders>
              <w:top w:val="nil"/>
              <w:left w:val="nil"/>
              <w:bottom w:val="nil"/>
              <w:right w:val="nil"/>
            </w:tcBorders>
            <w:noWrap w:val="0"/>
            <w:vAlign w:val="center"/>
          </w:tcPr>
          <w:p w14:paraId="46869158">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hint="eastAsia" w:ascii="Times New Roman" w:hAnsi="Times New Roman" w:cs="Times New Roman"/>
                <w:color w:val="auto"/>
                <w:lang w:val="en-US" w:eastAsia="zh-CN"/>
              </w:rPr>
              <w:t>1</w:t>
            </w:r>
          </w:p>
        </w:tc>
      </w:tr>
      <w:tr w14:paraId="7F384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nil"/>
              <w:left w:val="nil"/>
              <w:bottom w:val="nil"/>
              <w:right w:val="nil"/>
            </w:tcBorders>
            <w:noWrap w:val="0"/>
            <w:vAlign w:val="center"/>
          </w:tcPr>
          <w:p w14:paraId="2501239A">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color w:val="auto"/>
                <w:lang w:eastAsia="zh-CN"/>
              </w:rPr>
            </w:pPr>
            <w:r>
              <w:rPr>
                <w:rFonts w:hint="eastAsia"/>
                <w:color w:val="auto"/>
                <w:lang w:eastAsia="zh-CN"/>
              </w:rPr>
              <w:t>《</w:t>
            </w:r>
            <w:r>
              <w:rPr>
                <w:rFonts w:hint="eastAsia"/>
                <w:color w:val="auto"/>
                <w:lang w:eastAsia="zh-CN"/>
              </w:rPr>
              <w:fldChar w:fldCharType="begin"/>
            </w:r>
            <w:r>
              <w:rPr>
                <w:rFonts w:hint="eastAsia"/>
                <w:color w:val="auto"/>
                <w:lang w:eastAsia="zh-CN"/>
              </w:rPr>
              <w:instrText xml:space="preserve"> HYPERLINK "https://www.pkulaw.com/lar/782fb73b940072bf4ec2d0b83590e4c3bdfb.html?way=listView" \t "https://www.pkulaw.com/_blank" </w:instrText>
            </w:r>
            <w:r>
              <w:rPr>
                <w:rFonts w:hint="eastAsia"/>
                <w:color w:val="auto"/>
                <w:lang w:eastAsia="zh-CN"/>
              </w:rPr>
              <w:fldChar w:fldCharType="separate"/>
            </w:r>
            <w:r>
              <w:rPr>
                <w:rFonts w:hint="eastAsia"/>
                <w:color w:val="auto"/>
                <w:lang w:eastAsia="zh-CN"/>
              </w:rPr>
              <w:t>广州市数字经济促进条例</w:t>
            </w:r>
            <w:r>
              <w:rPr>
                <w:rFonts w:hint="eastAsia"/>
                <w:color w:val="auto"/>
                <w:lang w:eastAsia="zh-CN"/>
              </w:rPr>
              <w:fldChar w:fldCharType="end"/>
            </w:r>
            <w:r>
              <w:rPr>
                <w:rFonts w:hint="eastAsia"/>
                <w:color w:val="auto"/>
                <w:lang w:eastAsia="zh-CN"/>
              </w:rPr>
              <w:t>》</w:t>
            </w:r>
          </w:p>
        </w:tc>
        <w:tc>
          <w:tcPr>
            <w:tcW w:w="1984" w:type="dxa"/>
            <w:tcBorders>
              <w:top w:val="nil"/>
              <w:left w:val="nil"/>
              <w:bottom w:val="nil"/>
              <w:right w:val="nil"/>
            </w:tcBorders>
            <w:noWrap w:val="0"/>
            <w:vAlign w:val="center"/>
          </w:tcPr>
          <w:p w14:paraId="08B0FDCD">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cs="Times New Roman"/>
                <w:color w:val="auto"/>
                <w:lang w:val="en-US" w:eastAsia="zh-CN"/>
              </w:rPr>
            </w:pPr>
            <w:r>
              <w:rPr>
                <w:rFonts w:hint="eastAsia" w:ascii="Times New Roman" w:hAnsi="Times New Roman" w:cs="Times New Roman"/>
                <w:color w:val="auto"/>
                <w:lang w:val="en-US" w:eastAsia="zh-CN"/>
              </w:rPr>
              <w:t>/</w:t>
            </w:r>
          </w:p>
        </w:tc>
        <w:tc>
          <w:tcPr>
            <w:tcW w:w="1984" w:type="dxa"/>
            <w:tcBorders>
              <w:top w:val="nil"/>
              <w:left w:val="nil"/>
              <w:bottom w:val="nil"/>
              <w:right w:val="nil"/>
            </w:tcBorders>
            <w:noWrap w:val="0"/>
            <w:vAlign w:val="center"/>
          </w:tcPr>
          <w:p w14:paraId="79B0183D">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cs="Times New Roman"/>
                <w:color w:val="auto"/>
                <w:lang w:val="en-US" w:eastAsia="zh-CN"/>
              </w:rPr>
            </w:pPr>
            <w:r>
              <w:rPr>
                <w:rFonts w:hint="eastAsia" w:ascii="Times New Roman" w:hAnsi="Times New Roman" w:cs="Times New Roman"/>
                <w:color w:val="auto"/>
                <w:lang w:val="en-US" w:eastAsia="zh-CN"/>
              </w:rPr>
              <w:t>1</w:t>
            </w:r>
          </w:p>
        </w:tc>
      </w:tr>
      <w:tr w14:paraId="3A768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nil"/>
              <w:left w:val="nil"/>
              <w:bottom w:val="nil"/>
              <w:right w:val="nil"/>
            </w:tcBorders>
            <w:noWrap w:val="0"/>
            <w:vAlign w:val="center"/>
          </w:tcPr>
          <w:p w14:paraId="564F0485">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color w:val="auto"/>
                <w:lang w:eastAsia="zh-CN"/>
              </w:rPr>
            </w:pPr>
            <w:r>
              <w:rPr>
                <w:rFonts w:hint="eastAsia"/>
                <w:color w:val="auto"/>
              </w:rPr>
              <w:t>《海南省大数据应用和开放条例（草案）》</w:t>
            </w:r>
          </w:p>
        </w:tc>
        <w:tc>
          <w:tcPr>
            <w:tcW w:w="1984" w:type="dxa"/>
            <w:tcBorders>
              <w:top w:val="nil"/>
              <w:left w:val="nil"/>
              <w:bottom w:val="nil"/>
              <w:right w:val="nil"/>
            </w:tcBorders>
            <w:noWrap w:val="0"/>
            <w:vAlign w:val="center"/>
          </w:tcPr>
          <w:p w14:paraId="30FE0C07">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cs="Times New Roman"/>
                <w:color w:val="auto"/>
                <w:lang w:val="en-US" w:eastAsia="zh-CN"/>
              </w:rPr>
            </w:pPr>
            <w:r>
              <w:rPr>
                <w:rFonts w:hint="eastAsia" w:ascii="Times New Roman" w:hAnsi="Times New Roman" w:cs="Times New Roman"/>
                <w:color w:val="auto"/>
                <w:lang w:val="en-US" w:eastAsia="zh-CN"/>
              </w:rPr>
              <w:t>0</w:t>
            </w:r>
          </w:p>
        </w:tc>
        <w:tc>
          <w:tcPr>
            <w:tcW w:w="1984" w:type="dxa"/>
            <w:tcBorders>
              <w:top w:val="nil"/>
              <w:left w:val="nil"/>
              <w:bottom w:val="nil"/>
              <w:right w:val="nil"/>
            </w:tcBorders>
            <w:noWrap w:val="0"/>
            <w:vAlign w:val="center"/>
          </w:tcPr>
          <w:p w14:paraId="74135C64">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cs="Times New Roman"/>
                <w:color w:val="auto"/>
                <w:lang w:val="en-US" w:eastAsia="zh-CN"/>
              </w:rPr>
            </w:pPr>
            <w:r>
              <w:rPr>
                <w:rFonts w:hint="eastAsia" w:ascii="Times New Roman" w:hAnsi="Times New Roman" w:cs="Times New Roman"/>
                <w:color w:val="auto"/>
                <w:lang w:val="en-US" w:eastAsia="zh-CN"/>
              </w:rPr>
              <w:t>0</w:t>
            </w:r>
          </w:p>
        </w:tc>
      </w:tr>
      <w:tr w14:paraId="304D5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nil"/>
              <w:left w:val="nil"/>
              <w:bottom w:val="nil"/>
              <w:right w:val="nil"/>
            </w:tcBorders>
            <w:noWrap w:val="0"/>
            <w:vAlign w:val="center"/>
          </w:tcPr>
          <w:p w14:paraId="1749AC04">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《沈阳市数字经济促进条例（草案）》</w:t>
            </w:r>
          </w:p>
        </w:tc>
        <w:tc>
          <w:tcPr>
            <w:tcW w:w="1984" w:type="dxa"/>
            <w:tcBorders>
              <w:top w:val="nil"/>
              <w:left w:val="nil"/>
              <w:bottom w:val="nil"/>
              <w:right w:val="nil"/>
            </w:tcBorders>
            <w:noWrap w:val="0"/>
            <w:vAlign w:val="center"/>
          </w:tcPr>
          <w:p w14:paraId="49F2D4CA">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0</w:t>
            </w:r>
          </w:p>
        </w:tc>
        <w:tc>
          <w:tcPr>
            <w:tcW w:w="1984" w:type="dxa"/>
            <w:tcBorders>
              <w:top w:val="nil"/>
              <w:left w:val="nil"/>
              <w:bottom w:val="nil"/>
              <w:right w:val="nil"/>
            </w:tcBorders>
            <w:noWrap w:val="0"/>
            <w:vAlign w:val="center"/>
          </w:tcPr>
          <w:p w14:paraId="3CA2C776">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0</w:t>
            </w:r>
          </w:p>
        </w:tc>
      </w:tr>
      <w:tr w14:paraId="48DCA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Borders>
              <w:top w:val="nil"/>
              <w:left w:val="nil"/>
              <w:bottom w:val="single" w:color="auto" w:sz="12" w:space="0"/>
              <w:right w:val="nil"/>
            </w:tcBorders>
            <w:noWrap w:val="0"/>
            <w:vAlign w:val="center"/>
          </w:tcPr>
          <w:p w14:paraId="0C4284BC">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color w:val="auto"/>
              </w:rPr>
              <w:t>《宁波市公共数据安全管理办法（草案）》</w:t>
            </w:r>
          </w:p>
        </w:tc>
        <w:tc>
          <w:tcPr>
            <w:tcW w:w="1984" w:type="dxa"/>
            <w:tcBorders>
              <w:top w:val="nil"/>
              <w:left w:val="nil"/>
              <w:bottom w:val="single" w:color="auto" w:sz="12" w:space="0"/>
              <w:right w:val="nil"/>
            </w:tcBorders>
            <w:noWrap w:val="0"/>
            <w:vAlign w:val="center"/>
          </w:tcPr>
          <w:p w14:paraId="65B516E2">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0</w:t>
            </w:r>
          </w:p>
        </w:tc>
        <w:tc>
          <w:tcPr>
            <w:tcW w:w="1984" w:type="dxa"/>
            <w:tcBorders>
              <w:top w:val="nil"/>
              <w:left w:val="nil"/>
              <w:bottom w:val="single" w:color="auto" w:sz="12" w:space="0"/>
              <w:right w:val="nil"/>
            </w:tcBorders>
            <w:noWrap w:val="0"/>
            <w:vAlign w:val="center"/>
          </w:tcPr>
          <w:p w14:paraId="667C2AF2">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color w:val="auto"/>
              </w:rPr>
            </w:pPr>
            <w:r>
              <w:rPr>
                <w:rFonts w:ascii="Times New Roman" w:hAnsi="Times New Roman" w:cs="Times New Roman"/>
                <w:color w:val="auto"/>
              </w:rPr>
              <w:t>0</w:t>
            </w:r>
          </w:p>
        </w:tc>
      </w:tr>
    </w:tbl>
    <w:p w14:paraId="2F58E3E7">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highlight w:val="yellow"/>
          <w:lang w:eastAsia="zh-CN"/>
        </w:rPr>
      </w:pPr>
      <w:r>
        <w:rPr>
          <w:rFonts w:hint="eastAsia" w:ascii="宋体" w:hAnsi="宋体" w:eastAsia="宋体" w:cs="宋体"/>
          <w:color w:val="auto"/>
          <w:sz w:val="24"/>
          <w:highlight w:val="none"/>
        </w:rPr>
        <w:t>针对数据立法的社会公众参与率低的问题，现有成因分析提到的“立法听证会不普及”“基层联系点覆盖少”“立法信息公开范围窄”以及“征求意见反馈机制缺失”等等观点，实质上都未触及“物质第一性”的底层逻辑。根据奥尔森（</w:t>
      </w:r>
      <w:r>
        <w:rPr>
          <w:rFonts w:ascii="Times New Roman" w:hAnsi="Times New Roman" w:eastAsia="宋体" w:cs="Times New Roman"/>
          <w:color w:val="auto"/>
          <w:sz w:val="24"/>
          <w:highlight w:val="none"/>
        </w:rPr>
        <w:t>M</w:t>
      </w:r>
      <w:r>
        <w:rPr>
          <w:rFonts w:hint="eastAsia" w:ascii="Times New Roman" w:hAnsi="Times New Roman" w:eastAsia="宋体" w:cs="Times New Roman"/>
          <w:color w:val="auto"/>
          <w:sz w:val="24"/>
          <w:highlight w:val="none"/>
        </w:rPr>
        <w:t xml:space="preserve">. </w:t>
      </w:r>
      <w:r>
        <w:rPr>
          <w:rFonts w:ascii="Times New Roman" w:hAnsi="Times New Roman" w:eastAsia="宋体" w:cs="Times New Roman"/>
          <w:color w:val="auto"/>
          <w:sz w:val="24"/>
          <w:highlight w:val="none"/>
        </w:rPr>
        <w:t>Olson</w:t>
      </w:r>
      <w:r>
        <w:rPr>
          <w:rFonts w:hint="eastAsia" w:ascii="宋体" w:hAnsi="宋体" w:eastAsia="宋体" w:cs="宋体"/>
          <w:color w:val="auto"/>
          <w:sz w:val="24"/>
          <w:highlight w:val="none"/>
        </w:rPr>
        <w:t>）提出的“集体行动”原理，</w:t>
      </w:r>
      <w:r>
        <w:rPr>
          <w:rFonts w:hint="eastAsia" w:ascii="宋体" w:hAnsi="宋体" w:eastAsia="宋体" w:cs="宋体"/>
          <w:color w:val="auto"/>
          <w:sz w:val="24"/>
          <w:highlight w:val="none"/>
          <w:lang w:val="en-US" w:eastAsia="zh-CN"/>
        </w:rPr>
        <w:t>由数据立法产生的强制约束力保护公民的隐私权与企业的数据财产权对于社会而言属于“集体产品”，而社会主体为完成数据立法而参与立法创制所消耗大量经济、时间与机会成本的过程又被视为“集体行动”，</w:t>
      </w:r>
      <w:r>
        <w:rPr>
          <w:rFonts w:hint="eastAsia" w:ascii="宋体" w:hAnsi="宋体" w:eastAsia="宋体" w:cs="宋体"/>
          <w:color w:val="auto"/>
          <w:sz w:val="24"/>
          <w:highlight w:val="none"/>
        </w:rPr>
        <w:t>那么公众参与立法的</w:t>
      </w:r>
      <w:r>
        <w:rPr>
          <w:rFonts w:hint="eastAsia" w:ascii="宋体" w:hAnsi="宋体" w:eastAsia="宋体" w:cs="宋体"/>
          <w:color w:val="auto"/>
          <w:sz w:val="24"/>
          <w:highlight w:val="none"/>
          <w:lang w:eastAsia="zh-CN"/>
        </w:rPr>
        <w:t>“</w:t>
      </w:r>
      <w:r>
        <w:rPr>
          <w:rFonts w:hint="eastAsia" w:ascii="宋体" w:hAnsi="宋体" w:eastAsia="宋体" w:cs="宋体"/>
          <w:color w:val="auto"/>
          <w:sz w:val="24"/>
          <w:highlight w:val="none"/>
        </w:rPr>
        <w:t>集体</w:t>
      </w:r>
      <w:r>
        <w:rPr>
          <w:rFonts w:hint="eastAsia" w:ascii="宋体" w:hAnsi="宋体" w:eastAsia="宋体" w:cs="宋体"/>
          <w:color w:val="auto"/>
          <w:sz w:val="24"/>
          <w:highlight w:val="none"/>
          <w:lang w:val="en-US" w:eastAsia="zh-CN"/>
        </w:rPr>
        <w:t>行动</w:t>
      </w:r>
      <w:r>
        <w:rPr>
          <w:rFonts w:hint="eastAsia" w:ascii="宋体" w:hAnsi="宋体" w:eastAsia="宋体" w:cs="宋体"/>
          <w:color w:val="auto"/>
          <w:sz w:val="24"/>
          <w:highlight w:val="none"/>
        </w:rPr>
        <w:t>困境</w:t>
      </w:r>
      <w:r>
        <w:rPr>
          <w:rFonts w:hint="eastAsia" w:ascii="宋体" w:hAnsi="宋体" w:eastAsia="宋体" w:cs="宋体"/>
          <w:color w:val="auto"/>
          <w:sz w:val="24"/>
          <w:highlight w:val="none"/>
          <w:lang w:eastAsia="zh-CN"/>
        </w:rPr>
        <w:t>”</w:t>
      </w:r>
      <w:r>
        <w:rPr>
          <w:rFonts w:hint="eastAsia" w:ascii="宋体" w:hAnsi="宋体" w:eastAsia="宋体" w:cs="宋体"/>
          <w:color w:val="auto"/>
          <w:sz w:val="24"/>
          <w:highlight w:val="none"/>
        </w:rPr>
        <w:t>就表现为“主体之间享有同等的收益，却负担差异的成本”。因为公众参与立法和不参与的收益是一致的，反而立法</w:t>
      </w:r>
      <w:r>
        <w:rPr>
          <w:rFonts w:hint="eastAsia" w:ascii="宋体" w:hAnsi="宋体" w:eastAsia="宋体" w:cs="宋体"/>
          <w:color w:val="auto"/>
          <w:sz w:val="24"/>
          <w:highlight w:val="none"/>
          <w:lang w:val="en-US" w:eastAsia="zh-CN"/>
        </w:rPr>
        <w:t>参与者</w:t>
      </w:r>
      <w:r>
        <w:rPr>
          <w:rFonts w:hint="eastAsia" w:ascii="宋体" w:hAnsi="宋体" w:eastAsia="宋体" w:cs="宋体"/>
          <w:color w:val="auto"/>
          <w:sz w:val="24"/>
          <w:highlight w:val="none"/>
        </w:rPr>
        <w:t>所承担的成本还更高，所以不参与立法（“搭便车”）便成为一种公众理性。随着大数据技术作用下</w:t>
      </w:r>
      <w:r>
        <w:rPr>
          <w:rFonts w:hint="eastAsia" w:ascii="宋体" w:hAnsi="宋体" w:eastAsia="宋体" w:cs="宋体"/>
          <w:color w:val="auto"/>
          <w:sz w:val="24"/>
          <w:highlight w:val="none"/>
          <w:lang w:val="en-US" w:eastAsia="zh-CN"/>
        </w:rPr>
        <w:t>引发</w:t>
      </w:r>
      <w:r>
        <w:rPr>
          <w:rFonts w:hint="eastAsia" w:ascii="宋体" w:hAnsi="宋体" w:eastAsia="宋体" w:cs="宋体"/>
          <w:color w:val="auto"/>
          <w:sz w:val="24"/>
          <w:highlight w:val="none"/>
        </w:rPr>
        <w:t>的信息鸿沟、信息孤岛、信息不对称等问题，公民的民主参与、自由表达和权利维护能力</w:t>
      </w:r>
      <w:r>
        <w:rPr>
          <w:rFonts w:hint="eastAsia" w:ascii="宋体" w:hAnsi="宋体" w:eastAsia="宋体" w:cs="宋体"/>
          <w:color w:val="auto"/>
          <w:sz w:val="24"/>
          <w:highlight w:val="none"/>
          <w:lang w:val="en-US" w:eastAsia="zh-CN"/>
        </w:rPr>
        <w:t>持续退化</w:t>
      </w:r>
      <w:r>
        <w:rPr>
          <w:rFonts w:hint="eastAsia" w:ascii="宋体" w:hAnsi="宋体" w:eastAsia="宋体" w:cs="宋体"/>
          <w:color w:val="auto"/>
          <w:sz w:val="24"/>
          <w:highlight w:val="none"/>
        </w:rPr>
        <w:t>。</w:t>
      </w:r>
      <w:r>
        <w:rPr>
          <w:rStyle w:val="17"/>
          <w:rFonts w:ascii="Calibri" w:hAnsi="Calibri" w:eastAsia="宋体" w:cs="Calibri"/>
          <w:color w:val="auto"/>
          <w:sz w:val="24"/>
          <w:szCs w:val="24"/>
          <w:highlight w:val="none"/>
        </w:rPr>
        <w:footnoteReference w:id="19"/>
      </w:r>
    </w:p>
    <w:p w14:paraId="5B53FBEA">
      <w:pPr>
        <w:keepNext w:val="0"/>
        <w:pageBreakBefore w:val="0"/>
        <w:kinsoku/>
        <w:wordWrap/>
        <w:overflowPunct/>
        <w:topLinePunct w:val="0"/>
        <w:autoSpaceDE/>
        <w:autoSpaceDN/>
        <w:bidi w:val="0"/>
        <w:adjustRightInd/>
        <w:snapToGrid w:val="0"/>
        <w:spacing w:line="360" w:lineRule="auto"/>
        <w:ind w:firstLine="482" w:firstLineChars="200"/>
        <w:textAlignment w:val="auto"/>
        <w:outlineLvl w:val="1"/>
        <w:rPr>
          <w:rFonts w:hint="default" w:ascii="宋体" w:hAnsi="宋体" w:eastAsia="宋体" w:cs="宋体"/>
          <w:b/>
          <w:bCs/>
          <w:color w:val="auto"/>
          <w:sz w:val="24"/>
          <w:lang w:val="en-US" w:eastAsia="zh-CN"/>
        </w:rPr>
      </w:pPr>
      <w:r>
        <w:rPr>
          <w:rFonts w:hint="eastAsia" w:ascii="宋体" w:hAnsi="宋体" w:eastAsia="宋体" w:cs="宋体"/>
          <w:b/>
          <w:bCs/>
          <w:color w:val="auto"/>
          <w:sz w:val="24"/>
          <w:lang w:eastAsia="zh-CN"/>
        </w:rPr>
        <w:t>（</w:t>
      </w:r>
      <w:r>
        <w:rPr>
          <w:rFonts w:hint="eastAsia" w:ascii="宋体" w:hAnsi="宋体" w:eastAsia="宋体" w:cs="宋体"/>
          <w:b/>
          <w:bCs/>
          <w:color w:val="auto"/>
          <w:sz w:val="24"/>
          <w:lang w:val="en-US" w:eastAsia="zh-CN"/>
        </w:rPr>
        <w:t>二</w:t>
      </w:r>
      <w:r>
        <w:rPr>
          <w:rFonts w:hint="eastAsia" w:ascii="宋体" w:hAnsi="宋体" w:eastAsia="宋体" w:cs="宋体"/>
          <w:b/>
          <w:bCs/>
          <w:color w:val="auto"/>
          <w:sz w:val="24"/>
          <w:lang w:eastAsia="zh-CN"/>
        </w:rPr>
        <w:t>）</w:t>
      </w:r>
      <w:r>
        <w:rPr>
          <w:rFonts w:hint="eastAsia" w:ascii="宋体" w:hAnsi="宋体" w:eastAsia="宋体" w:cs="宋体"/>
          <w:b/>
          <w:bCs/>
          <w:color w:val="auto"/>
          <w:sz w:val="24"/>
          <w:lang w:val="en-US" w:eastAsia="zh-CN"/>
        </w:rPr>
        <w:t>数字时代的民主立法与“社会控制”的应对</w:t>
      </w:r>
    </w:p>
    <w:p w14:paraId="202E0111">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rPr>
      </w:pPr>
      <w:r>
        <w:rPr>
          <w:rFonts w:hint="eastAsia" w:ascii="宋体" w:hAnsi="宋体" w:eastAsia="宋体" w:cs="宋体"/>
          <w:color w:val="auto"/>
          <w:sz w:val="24"/>
        </w:rPr>
        <w:t>法律从制定它的机构中便能够获致权威而与制定者的品质无关，是一种威胁人类社会的秩序和谐、安全和幸福的极大谬误。</w:t>
      </w:r>
      <w:r>
        <w:rPr>
          <w:rStyle w:val="17"/>
          <w:rFonts w:ascii="Calibri" w:hAnsi="Calibri" w:eastAsia="宋体" w:cs="Calibri"/>
          <w:color w:val="auto"/>
          <w:sz w:val="24"/>
          <w:szCs w:val="24"/>
        </w:rPr>
        <w:footnoteReference w:id="20"/>
      </w:r>
      <w:r>
        <w:rPr>
          <w:rFonts w:hint="eastAsia" w:ascii="宋体" w:hAnsi="宋体" w:eastAsia="宋体" w:cs="宋体"/>
          <w:color w:val="auto"/>
          <w:sz w:val="24"/>
        </w:rPr>
        <w:t>为弥合实证主义法学遗留的缺陷，关于立法者是谁的问题成为历代立法学者关注思考的基本问题。直至卢梭以来，人民代议机构被确定为足以代表人类社会权威的立法主体后，似乎对于现代人而言，立法主体是谁的问题业已大抵解决，接下来的任务就剩下精心设计出代议制机构的民主性样态，并将之确定为制度性程序的过程。</w:t>
      </w:r>
    </w:p>
    <w:p w14:paraId="43FEA856">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rPr>
      </w:pPr>
      <w:r>
        <w:rPr>
          <w:rFonts w:hint="eastAsia" w:ascii="宋体" w:hAnsi="宋体" w:eastAsia="宋体" w:cs="宋体"/>
          <w:color w:val="auto"/>
          <w:sz w:val="24"/>
        </w:rPr>
        <w:t>作为我国立</w:t>
      </w:r>
      <w:r>
        <w:rPr>
          <w:rFonts w:hint="eastAsia" w:ascii="宋体" w:hAnsi="宋体" w:eastAsia="宋体" w:cs="宋体"/>
          <w:color w:val="auto"/>
          <w:sz w:val="24"/>
          <w:lang w:eastAsia="zh-CN"/>
        </w:rPr>
        <w:t>法的</w:t>
      </w:r>
      <w:r>
        <w:rPr>
          <w:rFonts w:hint="eastAsia" w:ascii="宋体" w:hAnsi="宋体" w:eastAsia="宋体" w:cs="宋体"/>
          <w:color w:val="auto"/>
          <w:sz w:val="24"/>
        </w:rPr>
        <w:t>基本原则，“民主立法”是最直观体现人民主权原则的制定性程序。民主并无公认的定义，出于各种政治目的，建立这种公认定义的努力甚至都会遭受各方反抗。</w:t>
      </w:r>
      <w:r>
        <w:rPr>
          <w:rStyle w:val="17"/>
          <w:rFonts w:ascii="Calibri" w:hAnsi="Calibri" w:eastAsia="宋体" w:cs="Calibri"/>
          <w:color w:val="auto"/>
          <w:sz w:val="24"/>
          <w:szCs w:val="24"/>
        </w:rPr>
        <w:footnoteReference w:id="21"/>
      </w:r>
      <w:r>
        <w:rPr>
          <w:rFonts w:hint="eastAsia" w:ascii="宋体" w:hAnsi="宋体" w:eastAsia="宋体" w:cs="宋体"/>
          <w:color w:val="auto"/>
          <w:sz w:val="24"/>
        </w:rPr>
        <w:t>一种回应是，“民主”的立法应当是“公众”参与统治，追求普遍、平等与真实价值的过程。</w:t>
      </w:r>
      <w:r>
        <w:rPr>
          <w:rStyle w:val="17"/>
          <w:rFonts w:ascii="Calibri" w:hAnsi="Calibri" w:eastAsia="宋体" w:cs="Calibri"/>
          <w:color w:val="auto"/>
          <w:sz w:val="24"/>
          <w:szCs w:val="24"/>
        </w:rPr>
        <w:footnoteReference w:id="22"/>
      </w:r>
      <w:r>
        <w:rPr>
          <w:rFonts w:hint="eastAsia" w:ascii="宋体" w:hAnsi="宋体" w:eastAsia="宋体" w:cs="宋体"/>
          <w:color w:val="auto"/>
          <w:sz w:val="24"/>
        </w:rPr>
        <w:t>关于“公众”的内涵范围，我国立法实践通常将其与“全民”同义替换。有学者认为</w:t>
      </w:r>
      <w:r>
        <w:rPr>
          <w:rFonts w:hint="eastAsia" w:ascii="宋体" w:hAnsi="宋体" w:eastAsia="宋体" w:cs="宋体"/>
          <w:color w:val="auto"/>
          <w:sz w:val="24"/>
          <w:lang w:val="en-US" w:eastAsia="zh-CN"/>
        </w:rPr>
        <w:t>这种替换</w:t>
      </w:r>
      <w:r>
        <w:rPr>
          <w:rFonts w:hint="eastAsia" w:ascii="宋体" w:hAnsi="宋体" w:eastAsia="宋体" w:cs="宋体"/>
          <w:color w:val="auto"/>
          <w:sz w:val="24"/>
        </w:rPr>
        <w:t>可能导致公众参与的无序化与失效化，</w:t>
      </w:r>
      <w:r>
        <w:rPr>
          <w:rFonts w:hint="eastAsia" w:ascii="宋体" w:hAnsi="宋体" w:eastAsia="宋体" w:cs="宋体"/>
          <w:color w:val="auto"/>
          <w:sz w:val="24"/>
          <w:lang w:val="en-US" w:eastAsia="zh-CN"/>
        </w:rPr>
        <w:t>因此</w:t>
      </w:r>
      <w:r>
        <w:rPr>
          <w:rFonts w:hint="eastAsia" w:ascii="宋体" w:hAnsi="宋体" w:eastAsia="宋体" w:cs="宋体"/>
          <w:color w:val="auto"/>
          <w:sz w:val="24"/>
        </w:rPr>
        <w:t>应尽可能提取精英意志与公民意志的最大公约数，在公众参与统治的基础上把公众内涵限缩为“利益相关方”。</w:t>
      </w:r>
      <w:r>
        <w:rPr>
          <w:rStyle w:val="17"/>
          <w:rFonts w:ascii="Calibri" w:hAnsi="Calibri" w:eastAsia="宋体" w:cs="Calibri"/>
          <w:color w:val="auto"/>
          <w:sz w:val="24"/>
          <w:szCs w:val="24"/>
        </w:rPr>
        <w:footnoteReference w:id="23"/>
      </w:r>
      <w:r>
        <w:rPr>
          <w:rFonts w:hint="eastAsia" w:ascii="宋体" w:hAnsi="宋体" w:eastAsia="宋体" w:cs="宋体"/>
          <w:color w:val="auto"/>
          <w:sz w:val="24"/>
        </w:rPr>
        <w:t>而在数字社会，</w:t>
      </w:r>
      <w:r>
        <w:rPr>
          <w:rFonts w:hint="eastAsia" w:ascii="宋体" w:hAnsi="宋体" w:eastAsia="宋体" w:cs="宋体"/>
          <w:color w:val="auto"/>
          <w:sz w:val="24"/>
          <w:lang w:val="en-US" w:eastAsia="zh-CN"/>
        </w:rPr>
        <w:t>由于</w:t>
      </w:r>
      <w:r>
        <w:rPr>
          <w:rFonts w:hint="eastAsia" w:ascii="宋体" w:hAnsi="宋体" w:eastAsia="宋体" w:cs="宋体"/>
          <w:color w:val="auto"/>
          <w:sz w:val="24"/>
        </w:rPr>
        <w:t>数字技术拓展了社会连接的边界，数字连接的便利带来了社会连接对于数字技术的依赖，人们在工作与生活中原有的连接方式转换成了数字网络的数字连接</w:t>
      </w:r>
      <w:r>
        <w:rPr>
          <w:rFonts w:hint="eastAsia" w:ascii="宋体" w:hAnsi="宋体" w:eastAsia="宋体" w:cs="宋体"/>
          <w:color w:val="auto"/>
          <w:sz w:val="24"/>
          <w:lang w:eastAsia="zh-CN"/>
        </w:rPr>
        <w:t>。</w:t>
      </w:r>
      <w:r>
        <w:rPr>
          <w:rStyle w:val="17"/>
          <w:rFonts w:ascii="Calibri" w:hAnsi="Calibri" w:eastAsia="宋体" w:cs="Calibri"/>
          <w:color w:val="auto"/>
          <w:szCs w:val="21"/>
        </w:rPr>
        <w:footnoteReference w:id="24"/>
      </w:r>
      <w:r>
        <w:rPr>
          <w:rFonts w:hint="eastAsia" w:ascii="宋体" w:hAnsi="宋体" w:eastAsia="宋体" w:cs="宋体"/>
          <w:color w:val="auto"/>
          <w:sz w:val="24"/>
        </w:rPr>
        <w:t>此时作为民主立法主体的利益相关方就涵盖</w:t>
      </w:r>
      <w:r>
        <w:rPr>
          <w:rFonts w:hint="eastAsia" w:ascii="宋体" w:hAnsi="宋体" w:eastAsia="宋体" w:cs="宋体"/>
          <w:color w:val="auto"/>
          <w:sz w:val="24"/>
          <w:lang w:val="en-US" w:eastAsia="zh-CN"/>
        </w:rPr>
        <w:t>了</w:t>
      </w:r>
      <w:r>
        <w:rPr>
          <w:rFonts w:hint="eastAsia" w:ascii="宋体" w:hAnsi="宋体" w:eastAsia="宋体" w:cs="宋体"/>
          <w:color w:val="auto"/>
          <w:sz w:val="24"/>
        </w:rPr>
        <w:t>处于普遍联系、连接与合作的一切群体成员或个人。因而在数据立法参与主体的民主性建构中“公众”“利益相关方”约等同于“全民”，三者区分</w:t>
      </w:r>
      <w:r>
        <w:rPr>
          <w:rFonts w:hint="eastAsia" w:ascii="宋体" w:hAnsi="宋体" w:eastAsia="宋体" w:cs="宋体"/>
          <w:color w:val="auto"/>
          <w:sz w:val="24"/>
          <w:lang w:val="en-US" w:eastAsia="zh-CN"/>
        </w:rPr>
        <w:t>的</w:t>
      </w:r>
      <w:r>
        <w:rPr>
          <w:rFonts w:hint="eastAsia" w:ascii="宋体" w:hAnsi="宋体" w:eastAsia="宋体" w:cs="宋体"/>
          <w:color w:val="auto"/>
          <w:sz w:val="24"/>
        </w:rPr>
        <w:t>意义不大。</w:t>
      </w:r>
    </w:p>
    <w:p w14:paraId="1A357956">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default" w:ascii="宋体" w:hAnsi="宋体" w:eastAsia="宋体" w:cs="宋体"/>
          <w:color w:val="auto"/>
          <w:sz w:val="24"/>
          <w:lang w:val="en-US" w:eastAsia="zh-CN"/>
        </w:rPr>
      </w:pPr>
      <w:r>
        <w:rPr>
          <w:rFonts w:hint="eastAsia" w:ascii="宋体" w:hAnsi="宋体" w:eastAsia="宋体" w:cs="宋体"/>
          <w:color w:val="auto"/>
          <w:sz w:val="24"/>
        </w:rPr>
        <w:t>立法的公众参与过程中</w:t>
      </w:r>
      <w:r>
        <w:rPr>
          <w:rFonts w:hint="eastAsia" w:ascii="宋体" w:hAnsi="宋体" w:eastAsia="宋体" w:cs="宋体"/>
          <w:color w:val="auto"/>
          <w:sz w:val="24"/>
          <w:lang w:val="en-US" w:eastAsia="zh-CN"/>
        </w:rPr>
        <w:t>的</w:t>
      </w:r>
      <w:r>
        <w:rPr>
          <w:rFonts w:hint="eastAsia" w:ascii="宋体" w:hAnsi="宋体" w:eastAsia="宋体" w:cs="宋体"/>
          <w:color w:val="auto"/>
          <w:sz w:val="24"/>
        </w:rPr>
        <w:t>“</w:t>
      </w:r>
      <w:r>
        <w:rPr>
          <w:rFonts w:hint="eastAsia" w:ascii="宋体" w:hAnsi="宋体" w:eastAsia="宋体" w:cs="宋体"/>
          <w:color w:val="auto"/>
          <w:sz w:val="24"/>
          <w:lang w:val="en-US" w:eastAsia="zh-CN"/>
        </w:rPr>
        <w:t>全民</w:t>
      </w:r>
      <w:r>
        <w:rPr>
          <w:rFonts w:hint="eastAsia" w:ascii="宋体" w:hAnsi="宋体" w:eastAsia="宋体" w:cs="宋体"/>
          <w:color w:val="auto"/>
          <w:sz w:val="24"/>
        </w:rPr>
        <w:t>”属性，决定其自身无法离开外部</w:t>
      </w:r>
      <w:r>
        <w:rPr>
          <w:rFonts w:hint="eastAsia" w:ascii="宋体" w:hAnsi="宋体" w:eastAsia="宋体" w:cs="宋体"/>
          <w:color w:val="auto"/>
          <w:sz w:val="24"/>
          <w:lang w:val="en-US" w:eastAsia="zh-CN"/>
        </w:rPr>
        <w:t>的社会控制</w:t>
      </w:r>
      <w:r>
        <w:rPr>
          <w:rFonts w:hint="eastAsia" w:ascii="宋体" w:hAnsi="宋体" w:eastAsia="宋体" w:cs="宋体"/>
          <w:color w:val="auto"/>
          <w:sz w:val="24"/>
        </w:rPr>
        <w:t>。</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集体行动困境</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产生的根本逻辑在于参与人数量和组织行动能力呈反比例关系。换言之，正是由于数据立法的利益相关方数量过于庞大，数据立法的公众参与消极现象才愈发严峻。</w:t>
      </w:r>
      <w:r>
        <w:rPr>
          <w:rFonts w:hint="eastAsia" w:ascii="宋体" w:hAnsi="宋体" w:eastAsia="宋体" w:cs="宋体"/>
          <w:color w:val="auto"/>
          <w:sz w:val="24"/>
        </w:rPr>
        <w:t>以</w:t>
      </w:r>
      <w:r>
        <w:rPr>
          <w:rFonts w:hint="eastAsia" w:ascii="宋体" w:hAnsi="宋体" w:eastAsia="宋体" w:cs="宋体"/>
          <w:color w:val="auto"/>
          <w:sz w:val="24"/>
          <w:lang w:val="en-US" w:eastAsia="zh-CN"/>
        </w:rPr>
        <w:t>个人信息保护</w:t>
      </w:r>
      <w:r>
        <w:rPr>
          <w:rFonts w:hint="eastAsia" w:ascii="宋体" w:hAnsi="宋体" w:eastAsia="宋体" w:cs="宋体"/>
          <w:color w:val="auto"/>
          <w:sz w:val="24"/>
        </w:rPr>
        <w:t>为例，在大数据</w:t>
      </w:r>
      <w:r>
        <w:rPr>
          <w:rFonts w:hint="eastAsia" w:ascii="宋体" w:hAnsi="宋体" w:eastAsia="宋体" w:cs="宋体"/>
          <w:color w:val="auto"/>
          <w:sz w:val="24"/>
          <w:lang w:val="en-US" w:eastAsia="zh-CN"/>
        </w:rPr>
        <w:t>技术</w:t>
      </w:r>
      <w:r>
        <w:rPr>
          <w:rFonts w:hint="eastAsia" w:ascii="宋体" w:hAnsi="宋体" w:eastAsia="宋体" w:cs="宋体"/>
          <w:color w:val="auto"/>
          <w:sz w:val="24"/>
        </w:rPr>
        <w:t>使信息普遍数据化与数字化的背景下，数据立法设定的每一项权利义务内容，都与所有个体的人格权益或财产性利益紧密关联。问题是，正是由于所有个人或组织都受益于数据安全保障，</w:t>
      </w:r>
      <w:r>
        <w:rPr>
          <w:rFonts w:hint="eastAsia" w:ascii="宋体" w:hAnsi="宋体" w:eastAsia="宋体" w:cs="宋体"/>
          <w:color w:val="auto"/>
          <w:sz w:val="24"/>
          <w:lang w:val="en-US" w:eastAsia="zh-CN"/>
        </w:rPr>
        <w:t>使得</w:t>
      </w:r>
      <w:r>
        <w:rPr>
          <w:rFonts w:hint="eastAsia" w:ascii="宋体" w:hAnsi="宋体" w:eastAsia="宋体" w:cs="宋体"/>
          <w:color w:val="auto"/>
          <w:sz w:val="24"/>
        </w:rPr>
        <w:t>盈利点由此也大幅提高，而平均下来每个主体所享有的收益</w:t>
      </w:r>
      <w:r>
        <w:rPr>
          <w:rFonts w:hint="eastAsia" w:ascii="宋体" w:hAnsi="宋体" w:eastAsia="宋体" w:cs="宋体"/>
          <w:color w:val="auto"/>
          <w:sz w:val="24"/>
          <w:lang w:val="en-US" w:eastAsia="zh-CN"/>
        </w:rPr>
        <w:t>也</w:t>
      </w:r>
      <w:r>
        <w:rPr>
          <w:rFonts w:hint="eastAsia" w:ascii="宋体" w:hAnsi="宋体" w:eastAsia="宋体" w:cs="宋体"/>
          <w:color w:val="auto"/>
          <w:sz w:val="24"/>
        </w:rPr>
        <w:t>会</w:t>
      </w:r>
      <w:r>
        <w:rPr>
          <w:rFonts w:hint="eastAsia" w:ascii="宋体" w:hAnsi="宋体" w:eastAsia="宋体" w:cs="宋体"/>
          <w:color w:val="auto"/>
          <w:sz w:val="24"/>
          <w:lang w:val="en-US" w:eastAsia="zh-CN"/>
        </w:rPr>
        <w:t>相应</w:t>
      </w:r>
      <w:r>
        <w:rPr>
          <w:rFonts w:hint="eastAsia" w:ascii="宋体" w:hAnsi="宋体" w:eastAsia="宋体" w:cs="宋体"/>
          <w:color w:val="auto"/>
          <w:sz w:val="24"/>
        </w:rPr>
        <w:t>大幅降低。就好比设定“所有人不可随意吐痰”的社会规范，社会整体虽然能</w:t>
      </w:r>
      <w:r>
        <w:rPr>
          <w:rFonts w:hint="eastAsia" w:ascii="宋体" w:hAnsi="宋体" w:eastAsia="宋体" w:cs="宋体"/>
          <w:color w:val="auto"/>
          <w:sz w:val="24"/>
          <w:lang w:val="en-US" w:eastAsia="zh-CN"/>
        </w:rPr>
        <w:t>享受</w:t>
      </w:r>
      <w:r>
        <w:rPr>
          <w:rFonts w:hint="eastAsia" w:ascii="宋体" w:hAnsi="宋体" w:eastAsia="宋体" w:cs="宋体"/>
          <w:color w:val="auto"/>
          <w:sz w:val="24"/>
        </w:rPr>
        <w:t>“不吐痰”的巨大收益，但分散到</w:t>
      </w:r>
      <w:r>
        <w:rPr>
          <w:rFonts w:hint="eastAsia" w:ascii="宋体" w:hAnsi="宋体" w:eastAsia="宋体" w:cs="宋体"/>
          <w:color w:val="auto"/>
          <w:sz w:val="24"/>
          <w:lang w:val="en-US" w:eastAsia="zh-CN"/>
        </w:rPr>
        <w:t>社会</w:t>
      </w:r>
      <w:r>
        <w:rPr>
          <w:rFonts w:hint="eastAsia" w:ascii="宋体" w:hAnsi="宋体" w:eastAsia="宋体" w:cs="宋体"/>
          <w:color w:val="auto"/>
          <w:sz w:val="24"/>
        </w:rPr>
        <w:t>个体</w:t>
      </w:r>
      <w:r>
        <w:rPr>
          <w:rFonts w:hint="eastAsia" w:ascii="宋体" w:hAnsi="宋体" w:eastAsia="宋体" w:cs="宋体"/>
          <w:color w:val="auto"/>
          <w:sz w:val="24"/>
          <w:lang w:val="en-US" w:eastAsia="zh-CN"/>
        </w:rPr>
        <w:t>的收益</w:t>
      </w:r>
      <w:r>
        <w:rPr>
          <w:rFonts w:hint="eastAsia" w:ascii="宋体" w:hAnsi="宋体" w:eastAsia="宋体" w:cs="宋体"/>
          <w:color w:val="auto"/>
          <w:sz w:val="24"/>
        </w:rPr>
        <w:t>却非常少，</w:t>
      </w:r>
      <w:r>
        <w:rPr>
          <w:rFonts w:hint="eastAsia" w:ascii="宋体" w:hAnsi="宋体" w:eastAsia="宋体" w:cs="宋体"/>
          <w:color w:val="auto"/>
          <w:sz w:val="24"/>
          <w:lang w:val="en-US" w:eastAsia="zh-CN"/>
        </w:rPr>
        <w:t>导致</w:t>
      </w:r>
      <w:r>
        <w:rPr>
          <w:rFonts w:hint="eastAsia" w:ascii="宋体" w:hAnsi="宋体" w:eastAsia="宋体" w:cs="宋体"/>
          <w:color w:val="auto"/>
          <w:sz w:val="24"/>
        </w:rPr>
        <w:t>许多人还是会继续随意吐痰。因此</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就需要运用社会力量对人们的行动实行制约和限制，使之与“</w:t>
      </w:r>
      <w:r>
        <w:rPr>
          <w:rFonts w:hint="eastAsia" w:ascii="宋体" w:hAnsi="宋体" w:eastAsia="宋体" w:cs="宋体"/>
          <w:color w:val="auto"/>
          <w:sz w:val="24"/>
        </w:rPr>
        <w:t>不吐痰</w:t>
      </w:r>
      <w:r>
        <w:rPr>
          <w:rFonts w:hint="eastAsia" w:ascii="宋体" w:hAnsi="宋体" w:eastAsia="宋体" w:cs="宋体"/>
          <w:color w:val="auto"/>
          <w:sz w:val="24"/>
          <w:lang w:val="en-US" w:eastAsia="zh-CN"/>
        </w:rPr>
        <w:t>”的社会规范保持一致，这个过程被称为“社会控制”。数据</w:t>
      </w:r>
      <w:r>
        <w:rPr>
          <w:rFonts w:hint="eastAsia" w:ascii="宋体" w:hAnsi="宋体" w:eastAsia="宋体" w:cs="宋体"/>
          <w:color w:val="auto"/>
          <w:sz w:val="24"/>
        </w:rPr>
        <w:t>立法的公众参与亦是同理</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缺乏社会控制的民主立法程序无法激励公众积极参与立法。</w:t>
      </w:r>
      <w:r>
        <w:rPr>
          <w:rFonts w:hint="eastAsia" w:ascii="宋体" w:hAnsi="宋体" w:eastAsia="宋体" w:cs="宋体"/>
          <w:color w:val="auto"/>
          <w:sz w:val="24"/>
        </w:rPr>
        <w:t>社会控制的手段</w:t>
      </w:r>
      <w:r>
        <w:rPr>
          <w:rFonts w:hint="eastAsia" w:ascii="宋体" w:hAnsi="宋体" w:eastAsia="宋体" w:cs="宋体"/>
          <w:color w:val="auto"/>
          <w:sz w:val="24"/>
          <w:lang w:val="en-US" w:eastAsia="zh-CN"/>
        </w:rPr>
        <w:t>主要</w:t>
      </w:r>
      <w:r>
        <w:rPr>
          <w:rFonts w:hint="eastAsia" w:ascii="宋体" w:hAnsi="宋体" w:eastAsia="宋体" w:cs="宋体"/>
          <w:color w:val="auto"/>
          <w:sz w:val="24"/>
        </w:rPr>
        <w:t>包含法律制度</w:t>
      </w:r>
      <w:r>
        <w:rPr>
          <w:rFonts w:hint="eastAsia" w:ascii="宋体" w:hAnsi="宋体" w:eastAsia="宋体" w:cs="宋体"/>
          <w:color w:val="auto"/>
          <w:sz w:val="24"/>
          <w:lang w:val="en-US" w:eastAsia="zh-CN"/>
        </w:rPr>
        <w:t>与思想观念两</w:t>
      </w:r>
      <w:r>
        <w:rPr>
          <w:rFonts w:hint="eastAsia" w:ascii="宋体" w:hAnsi="宋体" w:eastAsia="宋体" w:cs="宋体"/>
          <w:color w:val="auto"/>
          <w:sz w:val="24"/>
        </w:rPr>
        <w:t>类</w:t>
      </w:r>
      <w:r>
        <w:rPr>
          <w:rFonts w:hint="eastAsia" w:ascii="宋体" w:hAnsi="宋体" w:eastAsia="宋体" w:cs="宋体"/>
          <w:color w:val="auto"/>
          <w:sz w:val="24"/>
          <w:lang w:eastAsia="zh-CN"/>
        </w:rPr>
        <w:t>，</w:t>
      </w:r>
      <w:r>
        <w:rPr>
          <w:rStyle w:val="17"/>
          <w:rFonts w:hint="default" w:ascii="Calibri" w:hAnsi="Calibri" w:eastAsia="宋体" w:cs="Calibri"/>
          <w:color w:val="auto"/>
          <w:sz w:val="24"/>
          <w:szCs w:val="24"/>
        </w:rPr>
        <w:footnoteReference w:id="25"/>
      </w:r>
      <w:r>
        <w:rPr>
          <w:rFonts w:hint="eastAsia" w:ascii="宋体" w:hAnsi="宋体" w:eastAsia="宋体" w:cs="宋体"/>
          <w:color w:val="auto"/>
          <w:sz w:val="24"/>
        </w:rPr>
        <w:t>鉴于以权利为本质的“社会公众参与”不可能依赖于强制性</w:t>
      </w:r>
      <w:r>
        <w:rPr>
          <w:rFonts w:hint="eastAsia" w:ascii="宋体" w:hAnsi="宋体" w:eastAsia="宋体" w:cs="宋体"/>
          <w:color w:val="auto"/>
          <w:sz w:val="24"/>
          <w:lang w:val="en-US" w:eastAsia="zh-CN"/>
        </w:rPr>
        <w:t>手段加以规制</w:t>
      </w:r>
      <w:r>
        <w:rPr>
          <w:rFonts w:hint="eastAsia" w:ascii="宋体" w:hAnsi="宋体" w:eastAsia="宋体" w:cs="宋体"/>
          <w:color w:val="auto"/>
          <w:sz w:val="24"/>
        </w:rPr>
        <w:t>，因此借助</w:t>
      </w:r>
      <w:r>
        <w:rPr>
          <w:rFonts w:hint="eastAsia" w:ascii="宋体" w:hAnsi="宋体" w:eastAsia="宋体" w:cs="宋体"/>
          <w:color w:val="auto"/>
          <w:sz w:val="24"/>
          <w:lang w:val="en-US" w:eastAsia="zh-CN"/>
        </w:rPr>
        <w:t>思想意识的“软控制”是更为有效的路径。</w:t>
      </w:r>
    </w:p>
    <w:p w14:paraId="1FC189FC">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default" w:ascii="宋体" w:hAnsi="宋体" w:eastAsia="宋体" w:cs="宋体"/>
          <w:color w:val="auto"/>
          <w:sz w:val="24"/>
          <w:lang w:val="en-US" w:eastAsia="zh-CN"/>
        </w:rPr>
      </w:pPr>
      <w:r>
        <w:rPr>
          <w:rFonts w:hint="eastAsia" w:ascii="宋体" w:hAnsi="宋体" w:eastAsia="宋体" w:cs="宋体"/>
          <w:color w:val="auto"/>
          <w:sz w:val="24"/>
          <w:lang w:val="en-US" w:eastAsia="zh-CN"/>
        </w:rPr>
        <w:t>（三）从“中华民族共同体意识”到“公众积极参与立法”的民主立法路径</w:t>
      </w:r>
    </w:p>
    <w:p w14:paraId="2DB2121F">
      <w:pPr>
        <w:keepNext w:val="0"/>
        <w:pageBreakBefore w:val="0"/>
        <w:kinsoku/>
        <w:wordWrap/>
        <w:overflowPunct/>
        <w:topLinePunct w:val="0"/>
        <w:autoSpaceDE/>
        <w:autoSpaceDN/>
        <w:bidi w:val="0"/>
        <w:adjustRightInd/>
        <w:snapToGrid w:val="0"/>
        <w:spacing w:line="360" w:lineRule="auto"/>
        <w:ind w:firstLine="480" w:firstLineChars="200"/>
        <w:textAlignment w:val="auto"/>
        <w:rPr>
          <w:rFonts w:ascii="宋体" w:hAnsi="宋体" w:eastAsia="宋体" w:cs="宋体"/>
          <w:color w:val="auto"/>
          <w:sz w:val="24"/>
        </w:rPr>
      </w:pPr>
      <w:r>
        <w:rPr>
          <w:rFonts w:hint="eastAsia" w:ascii="宋体" w:hAnsi="宋体" w:eastAsia="宋体" w:cs="宋体"/>
          <w:color w:val="auto"/>
          <w:sz w:val="24"/>
          <w:lang w:val="en-US" w:eastAsia="zh-CN"/>
        </w:rPr>
        <w:t>对于尚未完成数据立法的部分地区而言（例如甘肃、青海、西藏、宁夏），</w:t>
      </w:r>
      <w:r>
        <w:rPr>
          <w:rFonts w:hint="eastAsia" w:ascii="宋体" w:hAnsi="宋体" w:eastAsia="宋体" w:cs="宋体"/>
          <w:color w:val="auto"/>
          <w:sz w:val="24"/>
        </w:rPr>
        <w:t>多民族共存</w:t>
      </w:r>
      <w:r>
        <w:rPr>
          <w:rFonts w:hint="eastAsia" w:ascii="宋体" w:hAnsi="宋体" w:eastAsia="宋体" w:cs="宋体"/>
          <w:color w:val="auto"/>
          <w:sz w:val="24"/>
          <w:lang w:val="en-US" w:eastAsia="zh-CN"/>
        </w:rPr>
        <w:t>背景</w:t>
      </w:r>
      <w:r>
        <w:rPr>
          <w:rFonts w:hint="eastAsia" w:ascii="宋体" w:hAnsi="宋体" w:eastAsia="宋体" w:cs="宋体"/>
          <w:color w:val="auto"/>
          <w:sz w:val="24"/>
        </w:rPr>
        <w:t>下的中华民族共同体意识，就是推动</w:t>
      </w:r>
      <w:r>
        <w:rPr>
          <w:rFonts w:hint="eastAsia" w:ascii="宋体" w:hAnsi="宋体" w:eastAsia="宋体" w:cs="宋体"/>
          <w:color w:val="auto"/>
          <w:sz w:val="24"/>
          <w:lang w:val="en-US" w:eastAsia="zh-CN"/>
        </w:rPr>
        <w:t>上述地区社会</w:t>
      </w:r>
      <w:r>
        <w:rPr>
          <w:rFonts w:hint="eastAsia" w:ascii="宋体" w:hAnsi="宋体" w:eastAsia="宋体" w:cs="宋体"/>
          <w:color w:val="auto"/>
          <w:sz w:val="24"/>
        </w:rPr>
        <w:t>公众参与数据立法的社会控制。“中华民族共同体意识”由“中华民族共同体”和“意识”</w:t>
      </w:r>
      <w:r>
        <w:rPr>
          <w:rFonts w:hint="eastAsia" w:ascii="宋体" w:hAnsi="宋体" w:eastAsia="宋体" w:cs="宋体"/>
          <w:color w:val="auto"/>
          <w:sz w:val="24"/>
          <w:lang w:eastAsia="zh-CN"/>
        </w:rPr>
        <w:t>两部分</w:t>
      </w:r>
      <w:r>
        <w:rPr>
          <w:rFonts w:hint="eastAsia" w:ascii="宋体" w:hAnsi="宋体" w:eastAsia="宋体" w:cs="宋体"/>
          <w:color w:val="auto"/>
          <w:sz w:val="24"/>
        </w:rPr>
        <w:t>组</w:t>
      </w:r>
      <w:r>
        <w:rPr>
          <w:rFonts w:hint="eastAsia" w:ascii="宋体" w:hAnsi="宋体" w:eastAsia="宋体" w:cs="宋体"/>
          <w:color w:val="auto"/>
          <w:sz w:val="24"/>
          <w:lang w:val="en-US" w:eastAsia="zh-CN"/>
        </w:rPr>
        <w:t>成</w:t>
      </w:r>
      <w:r>
        <w:rPr>
          <w:rFonts w:hint="eastAsia" w:ascii="宋体" w:hAnsi="宋体" w:eastAsia="宋体" w:cs="宋体"/>
          <w:color w:val="auto"/>
          <w:sz w:val="24"/>
        </w:rPr>
        <w:t>。“中华民族共同体”是一种客观存在，而“意识”属于思想观念层面</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因此可以把</w:t>
      </w:r>
      <w:r>
        <w:rPr>
          <w:rFonts w:hint="eastAsia" w:ascii="宋体" w:hAnsi="宋体" w:eastAsia="宋体" w:cs="宋体"/>
          <w:color w:val="auto"/>
          <w:sz w:val="24"/>
        </w:rPr>
        <w:t>“中华民族共同体意识”</w:t>
      </w:r>
      <w:r>
        <w:rPr>
          <w:rFonts w:hint="eastAsia" w:ascii="宋体" w:hAnsi="宋体" w:eastAsia="宋体" w:cs="宋体"/>
          <w:color w:val="auto"/>
          <w:sz w:val="24"/>
          <w:lang w:val="en-US" w:eastAsia="zh-CN"/>
        </w:rPr>
        <w:t>解释为对“中华民族共同体”客观存在的主观认同</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它</w:t>
      </w:r>
      <w:r>
        <w:rPr>
          <w:rFonts w:hint="eastAsia" w:ascii="宋体" w:hAnsi="宋体" w:eastAsia="宋体" w:cs="宋体"/>
          <w:color w:val="auto"/>
          <w:sz w:val="24"/>
        </w:rPr>
        <w:t>作为一种实践意志，以各族裔、各行业、各地域等共善生活为导向，汇聚了中华民族的行为意愿，而</w:t>
      </w:r>
      <w:r>
        <w:rPr>
          <w:rFonts w:ascii="宋体" w:hAnsi="宋体" w:eastAsia="宋体" w:cs="宋体"/>
          <w:color w:val="auto"/>
          <w:sz w:val="24"/>
        </w:rPr>
        <w:t>行为意愿的实现方案</w:t>
      </w:r>
      <w:r>
        <w:rPr>
          <w:rFonts w:hint="eastAsia" w:ascii="宋体" w:hAnsi="宋体" w:eastAsia="宋体" w:cs="宋体"/>
          <w:color w:val="auto"/>
          <w:sz w:val="24"/>
        </w:rPr>
        <w:t>之一就是积极参与</w:t>
      </w:r>
      <w:r>
        <w:rPr>
          <w:rFonts w:ascii="宋体" w:hAnsi="宋体" w:eastAsia="宋体" w:cs="宋体"/>
          <w:color w:val="auto"/>
          <w:sz w:val="24"/>
        </w:rPr>
        <w:t>国家层面的顶层设计</w:t>
      </w:r>
      <w:r>
        <w:rPr>
          <w:rFonts w:hint="eastAsia" w:ascii="宋体" w:hAnsi="宋体" w:eastAsia="宋体" w:cs="宋体"/>
          <w:color w:val="auto"/>
          <w:sz w:val="24"/>
        </w:rPr>
        <w:t>。</w:t>
      </w:r>
      <w:r>
        <w:rPr>
          <w:rStyle w:val="17"/>
          <w:rFonts w:ascii="Calibri" w:hAnsi="Calibri" w:eastAsia="宋体" w:cs="Calibri"/>
          <w:color w:val="auto"/>
          <w:sz w:val="24"/>
          <w:szCs w:val="24"/>
        </w:rPr>
        <w:footnoteReference w:id="26"/>
      </w:r>
      <w:r>
        <w:rPr>
          <w:rFonts w:hint="eastAsia" w:ascii="宋体" w:hAnsi="宋体" w:eastAsia="宋体" w:cs="宋体"/>
          <w:color w:val="auto"/>
          <w:sz w:val="24"/>
          <w:lang w:val="en-US" w:eastAsia="zh-CN"/>
        </w:rPr>
        <w:t>应当注意的是，</w:t>
      </w:r>
      <w:r>
        <w:rPr>
          <w:rFonts w:hint="eastAsia" w:ascii="宋体" w:hAnsi="宋体" w:eastAsia="宋体" w:cs="宋体"/>
          <w:color w:val="auto"/>
          <w:sz w:val="24"/>
        </w:rPr>
        <w:t>根据人类学家斯皮罗（</w:t>
      </w:r>
      <w:r>
        <w:rPr>
          <w:rFonts w:ascii="Times New Roman" w:hAnsi="Times New Roman" w:eastAsia="宋体" w:cs="Times New Roman"/>
          <w:color w:val="auto"/>
          <w:sz w:val="24"/>
        </w:rPr>
        <w:t>E.</w:t>
      </w:r>
      <w:r>
        <w:rPr>
          <w:rFonts w:hint="eastAsia" w:ascii="Times New Roman" w:hAnsi="Times New Roman" w:eastAsia="宋体" w:cs="Times New Roman"/>
          <w:color w:val="auto"/>
          <w:sz w:val="24"/>
        </w:rPr>
        <w:t xml:space="preserve"> </w:t>
      </w:r>
      <w:r>
        <w:rPr>
          <w:rFonts w:ascii="Times New Roman" w:hAnsi="Times New Roman" w:eastAsia="宋体" w:cs="Times New Roman"/>
          <w:color w:val="auto"/>
          <w:sz w:val="24"/>
        </w:rPr>
        <w:t>Spiro</w:t>
      </w:r>
      <w:r>
        <w:rPr>
          <w:rFonts w:hint="eastAsia" w:ascii="宋体" w:hAnsi="宋体" w:eastAsia="宋体" w:cs="宋体"/>
          <w:color w:val="auto"/>
          <w:sz w:val="24"/>
        </w:rPr>
        <w:t>）提出的“文化动因论”，尽管人们的</w:t>
      </w:r>
      <w:r>
        <w:rPr>
          <w:color w:val="auto"/>
        </w:rPr>
        <w:fldChar w:fldCharType="begin"/>
      </w:r>
      <w:r>
        <w:rPr>
          <w:color w:val="auto"/>
        </w:rPr>
        <w:instrText xml:space="preserve"> HYPERLINK "https://baike.baidu.com/item/%E8%A1%8C%E4%B8%BA%E6%96%B9%E5%BC%8F/8969999?fromModule=lemma_inlink" \t "https://baike.baidu.com/item/%E7%A4%BE%E4%BC%9A%E6%8E%A7%E5%88%B6/_blank" </w:instrText>
      </w:r>
      <w:r>
        <w:rPr>
          <w:color w:val="auto"/>
        </w:rPr>
        <w:fldChar w:fldCharType="separate"/>
      </w:r>
      <w:r>
        <w:rPr>
          <w:rFonts w:ascii="宋体" w:hAnsi="宋体" w:eastAsia="宋体" w:cs="宋体"/>
          <w:color w:val="auto"/>
          <w:sz w:val="24"/>
        </w:rPr>
        <w:t>行为方式</w:t>
      </w:r>
      <w:r>
        <w:rPr>
          <w:rFonts w:ascii="宋体" w:hAnsi="宋体" w:eastAsia="宋体" w:cs="宋体"/>
          <w:color w:val="auto"/>
          <w:sz w:val="24"/>
        </w:rPr>
        <w:fldChar w:fldCharType="end"/>
      </w:r>
      <w:r>
        <w:rPr>
          <w:rFonts w:ascii="宋体" w:hAnsi="宋体" w:eastAsia="宋体" w:cs="宋体"/>
          <w:color w:val="auto"/>
          <w:sz w:val="24"/>
        </w:rPr>
        <w:t>是受一定</w:t>
      </w:r>
      <w:r>
        <w:rPr>
          <w:rFonts w:hint="eastAsia" w:ascii="宋体" w:hAnsi="宋体" w:eastAsia="宋体" w:cs="宋体"/>
          <w:color w:val="auto"/>
          <w:sz w:val="24"/>
        </w:rPr>
        <w:t>意识</w:t>
      </w:r>
      <w:r>
        <w:rPr>
          <w:rFonts w:ascii="宋体" w:hAnsi="宋体" w:eastAsia="宋体" w:cs="宋体"/>
          <w:color w:val="auto"/>
          <w:sz w:val="24"/>
        </w:rPr>
        <w:t>制约</w:t>
      </w:r>
      <w:r>
        <w:rPr>
          <w:rFonts w:hint="eastAsia" w:ascii="宋体" w:hAnsi="宋体" w:eastAsia="宋体" w:cs="宋体"/>
          <w:color w:val="auto"/>
          <w:sz w:val="24"/>
        </w:rPr>
        <w:t>，但</w:t>
      </w:r>
      <w:r>
        <w:rPr>
          <w:color w:val="auto"/>
        </w:rPr>
        <w:fldChar w:fldCharType="begin"/>
      </w:r>
      <w:r>
        <w:rPr>
          <w:color w:val="auto"/>
        </w:rPr>
        <w:instrText xml:space="preserve"> HYPERLINK "https://baike.baidu.com/item/%E7%A4%BE%E4%BC%9A%E6%96%87%E5%8C%96/1417739?fromModule=lemma_inlink" \t "https://baike.baidu.com/item/%E7%A4%BE%E4%BC%9A%E6%8E%A7%E5%88%B6/_blank" </w:instrText>
      </w:r>
      <w:r>
        <w:rPr>
          <w:color w:val="auto"/>
        </w:rPr>
        <w:fldChar w:fldCharType="separate"/>
      </w:r>
      <w:r>
        <w:rPr>
          <w:rFonts w:ascii="宋体" w:hAnsi="宋体" w:eastAsia="宋体" w:cs="宋体"/>
          <w:color w:val="auto"/>
          <w:sz w:val="24"/>
        </w:rPr>
        <w:t>社会</w:t>
      </w:r>
      <w:r>
        <w:rPr>
          <w:rFonts w:hint="eastAsia" w:ascii="宋体" w:hAnsi="宋体" w:eastAsia="宋体" w:cs="宋体"/>
          <w:color w:val="auto"/>
          <w:sz w:val="24"/>
        </w:rPr>
        <w:t>意识</w:t>
      </w:r>
      <w:r>
        <w:rPr>
          <w:rFonts w:hint="eastAsia" w:ascii="宋体" w:hAnsi="宋体" w:eastAsia="宋体" w:cs="宋体"/>
          <w:color w:val="auto"/>
          <w:sz w:val="24"/>
        </w:rPr>
        <w:fldChar w:fldCharType="end"/>
      </w:r>
      <w:r>
        <w:rPr>
          <w:rFonts w:hint="eastAsia" w:ascii="宋体" w:hAnsi="宋体" w:eastAsia="宋体" w:cs="宋体"/>
          <w:color w:val="auto"/>
          <w:sz w:val="24"/>
        </w:rPr>
        <w:t>本身并非</w:t>
      </w:r>
      <w:r>
        <w:rPr>
          <w:rFonts w:ascii="宋体" w:hAnsi="宋体" w:eastAsia="宋体" w:cs="宋体"/>
          <w:color w:val="auto"/>
          <w:sz w:val="24"/>
        </w:rPr>
        <w:t>直接发挥作用</w:t>
      </w:r>
      <w:r>
        <w:rPr>
          <w:rFonts w:hint="eastAsia" w:ascii="宋体" w:hAnsi="宋体" w:eastAsia="宋体" w:cs="宋体"/>
          <w:color w:val="auto"/>
          <w:sz w:val="24"/>
        </w:rPr>
        <w:t>。其只有在成为个体的需要与动机时，社会控制</w:t>
      </w:r>
      <w:r>
        <w:rPr>
          <w:rFonts w:hint="eastAsia" w:ascii="宋体" w:hAnsi="宋体" w:eastAsia="宋体" w:cs="宋体"/>
          <w:color w:val="auto"/>
          <w:sz w:val="24"/>
          <w:lang w:val="en-US" w:eastAsia="zh-CN"/>
        </w:rPr>
        <w:t>才能生效</w:t>
      </w:r>
      <w:r>
        <w:rPr>
          <w:rFonts w:hint="eastAsia" w:ascii="宋体" w:hAnsi="宋体" w:eastAsia="宋体" w:cs="宋体"/>
          <w:color w:val="auto"/>
          <w:sz w:val="24"/>
        </w:rPr>
        <w:t>。</w:t>
      </w:r>
      <w:r>
        <w:rPr>
          <w:rFonts w:hint="eastAsia" w:ascii="宋体" w:hAnsi="宋体" w:eastAsia="宋体" w:cs="宋体"/>
          <w:color w:val="auto"/>
          <w:sz w:val="24"/>
          <w:lang w:val="en-US" w:eastAsia="zh-CN"/>
        </w:rPr>
        <w:t>这也恰好印证“集体行动困境”提出的“个人的理性不会促进集体的公共利益，除非有利可图。”</w:t>
      </w:r>
      <w:r>
        <w:rPr>
          <w:rFonts w:hint="eastAsia" w:ascii="宋体" w:hAnsi="宋体" w:eastAsia="宋体" w:cs="宋体"/>
          <w:color w:val="auto"/>
          <w:sz w:val="24"/>
        </w:rPr>
        <w:t>具言之，有效的社会控制之目的必须与人的需要相契合。</w:t>
      </w:r>
    </w:p>
    <w:p w14:paraId="67B499F4">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黑体" w:hAnsi="黑体" w:eastAsia="黑体" w:cs="黑体"/>
          <w:color w:val="auto"/>
          <w:sz w:val="28"/>
          <w:szCs w:val="28"/>
          <w:lang w:val="en-US" w:eastAsia="zh-CN"/>
        </w:rPr>
      </w:pPr>
      <w:r>
        <w:rPr>
          <w:rFonts w:hint="eastAsia" w:ascii="宋体" w:hAnsi="宋体" w:eastAsia="宋体" w:cs="宋体"/>
          <w:color w:val="auto"/>
          <w:sz w:val="24"/>
        </w:rPr>
        <w:t>马克思主义认为，</w:t>
      </w:r>
      <w:r>
        <w:rPr>
          <w:rFonts w:ascii="宋体" w:hAnsi="宋体" w:eastAsia="宋体" w:cs="宋体"/>
          <w:color w:val="auto"/>
          <w:sz w:val="24"/>
        </w:rPr>
        <w:t>每一个民族都</w:t>
      </w:r>
      <w:r>
        <w:rPr>
          <w:rFonts w:hint="eastAsia" w:ascii="宋体" w:hAnsi="宋体" w:eastAsia="宋体" w:cs="宋体"/>
          <w:color w:val="auto"/>
          <w:sz w:val="24"/>
        </w:rPr>
        <w:t>是基于</w:t>
      </w:r>
      <w:r>
        <w:rPr>
          <w:rFonts w:ascii="宋体" w:hAnsi="宋体" w:eastAsia="宋体" w:cs="宋体"/>
          <w:color w:val="auto"/>
          <w:sz w:val="24"/>
        </w:rPr>
        <w:t>物质关系和物质利益而团结在一起</w:t>
      </w:r>
      <w:r>
        <w:rPr>
          <w:rFonts w:hint="eastAsia" w:ascii="宋体" w:hAnsi="宋体" w:eastAsia="宋体" w:cs="宋体"/>
          <w:color w:val="auto"/>
          <w:sz w:val="24"/>
        </w:rPr>
        <w:t>，</w:t>
      </w:r>
      <w:r>
        <w:rPr>
          <w:rStyle w:val="17"/>
          <w:rFonts w:ascii="Calibri" w:hAnsi="Calibri" w:eastAsia="宋体" w:cs="Calibri"/>
          <w:color w:val="auto"/>
          <w:szCs w:val="21"/>
        </w:rPr>
        <w:footnoteReference w:id="27"/>
      </w:r>
      <w:r>
        <w:rPr>
          <w:rFonts w:hint="eastAsia" w:ascii="宋体" w:hAnsi="宋体" w:eastAsia="宋体" w:cs="宋体"/>
          <w:color w:val="auto"/>
          <w:sz w:val="24"/>
        </w:rPr>
        <w:t>因而物质需求能否得到满足就成为</w:t>
      </w:r>
      <w:r>
        <w:rPr>
          <w:rFonts w:hint="eastAsia" w:ascii="宋体" w:hAnsi="宋体" w:eastAsia="宋体" w:cs="宋体"/>
          <w:color w:val="auto"/>
          <w:sz w:val="24"/>
          <w:lang w:eastAsia="zh-CN"/>
        </w:rPr>
        <w:t>“</w:t>
      </w:r>
      <w:r>
        <w:rPr>
          <w:rFonts w:hint="eastAsia" w:ascii="宋体" w:hAnsi="宋体" w:eastAsia="宋体" w:cs="宋体"/>
          <w:color w:val="auto"/>
          <w:sz w:val="24"/>
        </w:rPr>
        <w:t>中华民族共同体意识</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形成</w:t>
      </w:r>
      <w:r>
        <w:rPr>
          <w:rFonts w:hint="eastAsia" w:ascii="宋体" w:hAnsi="宋体" w:eastAsia="宋体" w:cs="宋体"/>
          <w:color w:val="auto"/>
          <w:sz w:val="24"/>
        </w:rPr>
        <w:t>的关键。现有观点认为，深化中华民族共同体意识的途径主要包括教育灌输、拓宽思想传播途径与加强经济联系。关于教育灌输的培养方式，其重点在于形成一种“共同体意识”。共同体意识最早源于市民社会，而市民社会的</w:t>
      </w:r>
      <w:r>
        <w:rPr>
          <w:rFonts w:ascii="宋体" w:hAnsi="宋体" w:eastAsia="宋体" w:cs="宋体"/>
          <w:color w:val="auto"/>
          <w:sz w:val="24"/>
        </w:rPr>
        <w:t>概念在我国</w:t>
      </w:r>
      <w:r>
        <w:rPr>
          <w:rFonts w:hint="eastAsia" w:ascii="宋体" w:hAnsi="宋体" w:eastAsia="宋体" w:cs="宋体"/>
          <w:color w:val="auto"/>
          <w:sz w:val="24"/>
        </w:rPr>
        <w:t>缺乏公共理性的</w:t>
      </w:r>
      <w:r>
        <w:rPr>
          <w:rFonts w:ascii="宋体" w:hAnsi="宋体" w:eastAsia="宋体" w:cs="宋体"/>
          <w:color w:val="auto"/>
          <w:sz w:val="24"/>
        </w:rPr>
        <w:t>思想基础</w:t>
      </w:r>
      <w:r>
        <w:rPr>
          <w:rFonts w:hint="eastAsia" w:ascii="宋体" w:hAnsi="宋体" w:eastAsia="宋体" w:cs="宋体"/>
          <w:color w:val="auto"/>
          <w:sz w:val="24"/>
        </w:rPr>
        <w:t>与</w:t>
      </w:r>
      <w:r>
        <w:rPr>
          <w:rFonts w:ascii="宋体" w:hAnsi="宋体" w:eastAsia="宋体" w:cs="宋体"/>
          <w:color w:val="auto"/>
          <w:sz w:val="24"/>
        </w:rPr>
        <w:t>实践经验</w:t>
      </w:r>
      <w:r>
        <w:rPr>
          <w:rFonts w:hint="eastAsia" w:ascii="宋体" w:hAnsi="宋体" w:eastAsia="宋体" w:cs="宋体"/>
          <w:color w:val="auto"/>
          <w:sz w:val="24"/>
        </w:rPr>
        <w:t>。社会经济地位模型表明，优越的外在物质环境有利于培育积极的公民意识和参政观念，也易于培养公民参政技能、积累参政知识，使经济地位高的个体比地位低的个体更有可能形成公共理性。</w:t>
      </w:r>
      <w:r>
        <w:rPr>
          <w:rStyle w:val="17"/>
          <w:rFonts w:ascii="Calibri" w:hAnsi="Calibri" w:eastAsia="宋体" w:cs="Calibri"/>
          <w:color w:val="auto"/>
          <w:sz w:val="24"/>
          <w:szCs w:val="24"/>
        </w:rPr>
        <w:footnoteReference w:id="28"/>
      </w:r>
      <w:r>
        <w:rPr>
          <w:rFonts w:hint="eastAsia" w:ascii="宋体" w:hAnsi="宋体" w:eastAsia="宋体" w:cs="宋体"/>
          <w:color w:val="auto"/>
          <w:sz w:val="24"/>
        </w:rPr>
        <w:t>就目前</w:t>
      </w:r>
      <w:r>
        <w:rPr>
          <w:rFonts w:hint="eastAsia" w:ascii="宋体" w:hAnsi="宋体" w:eastAsia="宋体" w:cs="宋体"/>
          <w:color w:val="auto"/>
          <w:sz w:val="24"/>
          <w:lang w:val="en-US" w:eastAsia="zh-CN"/>
        </w:rPr>
        <w:t>甘肃、青海、西藏、宁夏</w:t>
      </w:r>
      <w:r>
        <w:rPr>
          <w:rFonts w:hint="eastAsia" w:ascii="宋体" w:hAnsi="宋体" w:eastAsia="宋体" w:cs="宋体"/>
          <w:color w:val="auto"/>
          <w:sz w:val="24"/>
        </w:rPr>
        <w:t>经济发展现状而言，纯粹通过教育的方式来培育中华民族共同体意识，必然伴随着漫无边际</w:t>
      </w:r>
      <w:r>
        <w:rPr>
          <w:rFonts w:ascii="宋体" w:hAnsi="宋体" w:eastAsia="宋体" w:cs="宋体"/>
          <w:color w:val="auto"/>
          <w:sz w:val="24"/>
        </w:rPr>
        <w:t>的</w:t>
      </w:r>
      <w:r>
        <w:rPr>
          <w:rFonts w:hint="eastAsia" w:ascii="宋体" w:hAnsi="宋体" w:eastAsia="宋体" w:cs="宋体"/>
          <w:color w:val="auto"/>
          <w:sz w:val="24"/>
        </w:rPr>
        <w:t>教育周期。至于拓展思想传播途径的方式，其功能本身可由有效的激励机制所完成。因为激励所带来的物质或精神奖励本质上都是一种社会资本，资本天然具有流动性，流动性所产生的资讯传播就带动了思想意识的普及化与知名化。综上，加强经济联系就是培育中华民族共同体意识的根本途径，其在立法实践中具体表现为：社会公众凡是参与涉及“民族集体、个体的权利、权益或利益调整之立法”且作出突出贡献的，将获得一定的物质激励。如此</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在物质激励巩固下的“</w:t>
      </w:r>
      <w:r>
        <w:rPr>
          <w:rFonts w:hint="eastAsia" w:ascii="宋体" w:hAnsi="宋体" w:eastAsia="宋体" w:cs="宋体"/>
          <w:color w:val="auto"/>
          <w:sz w:val="24"/>
        </w:rPr>
        <w:t>中华民族共同体意识—公众积极参与立法”的民主立法完善路径就建立起来。</w:t>
      </w:r>
    </w:p>
    <w:p w14:paraId="244FD19D">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0"/>
        <w:rPr>
          <w:rFonts w:hint="default" w:ascii="宋体" w:hAnsi="宋体" w:eastAsia="宋体" w:cs="宋体"/>
          <w:b/>
          <w:bCs/>
          <w:color w:val="auto"/>
          <w:sz w:val="24"/>
          <w:lang w:val="en-US"/>
        </w:rPr>
      </w:pPr>
      <w:r>
        <w:rPr>
          <w:rFonts w:hint="eastAsia" w:ascii="黑体" w:hAnsi="黑体" w:eastAsia="黑体" w:cs="黑体"/>
          <w:color w:val="auto"/>
          <w:sz w:val="28"/>
          <w:szCs w:val="28"/>
          <w:lang w:val="en-US" w:eastAsia="zh-CN"/>
        </w:rPr>
        <w:t>四、依法立法：设定地方数据立法的重复率区间</w:t>
      </w:r>
    </w:p>
    <w:p w14:paraId="0154B56D">
      <w:pPr>
        <w:keepNext w:val="0"/>
        <w:pageBreakBefore w:val="0"/>
        <w:kinsoku/>
        <w:wordWrap/>
        <w:overflowPunct/>
        <w:topLinePunct w:val="0"/>
        <w:autoSpaceDE/>
        <w:autoSpaceDN/>
        <w:bidi w:val="0"/>
        <w:adjustRightInd/>
        <w:snapToGrid w:val="0"/>
        <w:spacing w:line="360" w:lineRule="auto"/>
        <w:ind w:firstLine="480" w:firstLineChars="200"/>
        <w:textAlignment w:val="auto"/>
        <w:outlineLvl w:val="1"/>
        <w:rPr>
          <w:rFonts w:hint="eastAsia" w:ascii="黑体" w:hAnsi="黑体" w:eastAsia="黑体" w:cs="黑体"/>
          <w:b w:val="0"/>
          <w:bCs w:val="0"/>
          <w:color w:val="auto"/>
          <w:sz w:val="24"/>
          <w:lang w:val="en-US" w:eastAsia="zh-CN"/>
        </w:rPr>
      </w:pPr>
      <w:commentRangeStart w:id="6"/>
      <w:r>
        <w:rPr>
          <w:rFonts w:hint="eastAsia" w:ascii="黑体" w:hAnsi="黑体" w:eastAsia="黑体" w:cs="黑体"/>
          <w:b w:val="0"/>
          <w:bCs w:val="0"/>
          <w:color w:val="auto"/>
          <w:sz w:val="24"/>
          <w:lang w:val="en-US" w:eastAsia="zh-CN"/>
        </w:rPr>
        <w:t>（一）地方性数据立法沦为上位法的“搬运工”</w:t>
      </w:r>
      <w:commentRangeEnd w:id="6"/>
      <w:r>
        <w:rPr>
          <w:color w:val="auto"/>
        </w:rPr>
        <w:commentReference w:id="6"/>
      </w:r>
    </w:p>
    <w:p w14:paraId="6FE895B4">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lang w:val="en-US" w:eastAsia="zh-CN"/>
        </w:rPr>
      </w:pPr>
      <w:r>
        <w:rPr>
          <w:rFonts w:hint="eastAsia" w:ascii="宋体" w:hAnsi="宋体" w:eastAsia="宋体" w:cs="宋体"/>
          <w:color w:val="auto"/>
          <w:sz w:val="24"/>
          <w:highlight w:val="none"/>
        </w:rPr>
        <w:t>现如今</w:t>
      </w:r>
      <w:r>
        <w:rPr>
          <w:rFonts w:hint="eastAsia" w:ascii="宋体" w:hAnsi="宋体" w:eastAsia="宋体" w:cs="宋体"/>
          <w:color w:val="auto"/>
          <w:sz w:val="24"/>
          <w:highlight w:val="none"/>
          <w:lang w:eastAsia="zh-CN"/>
        </w:rPr>
        <w:t>，</w:t>
      </w:r>
      <w:r>
        <w:rPr>
          <w:rFonts w:hint="eastAsia" w:ascii="宋体" w:hAnsi="宋体" w:eastAsia="宋体" w:cs="宋体"/>
          <w:color w:val="auto"/>
          <w:sz w:val="24"/>
          <w:highlight w:val="none"/>
        </w:rPr>
        <w:t>许多地方</w:t>
      </w:r>
      <w:r>
        <w:rPr>
          <w:rFonts w:hint="eastAsia" w:ascii="宋体" w:hAnsi="宋体" w:eastAsia="宋体" w:cs="宋体"/>
          <w:color w:val="auto"/>
          <w:sz w:val="24"/>
          <w:highlight w:val="none"/>
          <w:lang w:val="en-US" w:eastAsia="zh-CN"/>
        </w:rPr>
        <w:t>数据</w:t>
      </w:r>
      <w:r>
        <w:rPr>
          <w:rFonts w:hint="eastAsia" w:ascii="宋体" w:hAnsi="宋体" w:eastAsia="宋体" w:cs="宋体"/>
          <w:color w:val="auto"/>
          <w:sz w:val="24"/>
          <w:highlight w:val="none"/>
        </w:rPr>
        <w:t>立法呈现的一种“保守有余，创新不足”</w:t>
      </w:r>
      <w:r>
        <w:rPr>
          <w:rFonts w:hint="eastAsia" w:ascii="宋体" w:hAnsi="宋体" w:eastAsia="宋体" w:cs="宋体"/>
          <w:color w:val="auto"/>
          <w:sz w:val="24"/>
          <w:highlight w:val="none"/>
          <w:lang w:val="en-US" w:eastAsia="zh-CN"/>
        </w:rPr>
        <w:t>趋势</w:t>
      </w:r>
      <w:r>
        <w:rPr>
          <w:rFonts w:hint="eastAsia" w:ascii="宋体" w:hAnsi="宋体" w:eastAsia="宋体" w:cs="宋体"/>
          <w:color w:val="auto"/>
          <w:sz w:val="24"/>
          <w:highlight w:val="none"/>
        </w:rPr>
        <w:t>，明显把“法制统一”置于“地方创新”之上。</w:t>
      </w:r>
      <w:r>
        <w:rPr>
          <w:rStyle w:val="17"/>
          <w:rFonts w:ascii="Calibri" w:hAnsi="Calibri" w:eastAsia="宋体" w:cs="Calibri"/>
          <w:color w:val="auto"/>
          <w:sz w:val="24"/>
          <w:szCs w:val="24"/>
          <w:highlight w:val="none"/>
        </w:rPr>
        <w:footnoteReference w:id="29"/>
      </w:r>
      <w:r>
        <w:rPr>
          <w:rFonts w:hint="eastAsia" w:ascii="宋体" w:hAnsi="宋体" w:eastAsia="宋体" w:cs="宋体"/>
          <w:color w:val="auto"/>
          <w:sz w:val="24"/>
          <w:highlight w:val="none"/>
        </w:rPr>
        <w:t>这种能动性消解产生的原因分析</w:t>
      </w:r>
      <w:r>
        <w:rPr>
          <w:rFonts w:hint="eastAsia" w:ascii="宋体" w:hAnsi="宋体" w:eastAsia="宋体" w:cs="宋体"/>
          <w:color w:val="auto"/>
          <w:sz w:val="24"/>
          <w:highlight w:val="none"/>
          <w:lang w:eastAsia="zh-CN"/>
        </w:rPr>
        <w:t>，</w:t>
      </w:r>
      <w:r>
        <w:rPr>
          <w:rFonts w:hint="eastAsia" w:ascii="宋体" w:hAnsi="宋体" w:eastAsia="宋体" w:cs="宋体"/>
          <w:color w:val="auto"/>
          <w:sz w:val="24"/>
          <w:highlight w:val="none"/>
          <w:lang w:val="en-US" w:eastAsia="zh-CN"/>
        </w:rPr>
        <w:t>有学者提出的</w:t>
      </w:r>
      <w:r>
        <w:rPr>
          <w:rFonts w:hint="eastAsia" w:ascii="宋体" w:hAnsi="宋体" w:eastAsia="宋体" w:cs="宋体"/>
          <w:color w:val="auto"/>
          <w:sz w:val="24"/>
          <w:highlight w:val="none"/>
        </w:rPr>
        <w:t>诸如中央与地方立法权限边界与“不抵触”标准</w:t>
      </w:r>
      <w:r>
        <w:rPr>
          <w:rFonts w:hint="eastAsia" w:ascii="宋体" w:hAnsi="宋体" w:eastAsia="宋体" w:cs="宋体"/>
          <w:color w:val="auto"/>
          <w:sz w:val="24"/>
        </w:rPr>
        <w:t>的模糊性、立法问责的风险性，与地方立法主体理论研究不充分性的</w:t>
      </w:r>
      <w:r>
        <w:rPr>
          <w:rFonts w:hint="eastAsia" w:ascii="宋体" w:hAnsi="宋体" w:eastAsia="宋体" w:cs="宋体"/>
          <w:color w:val="auto"/>
          <w:sz w:val="24"/>
          <w:lang w:val="en-US" w:eastAsia="zh-CN"/>
        </w:rPr>
        <w:t>归因，</w:t>
      </w:r>
      <w:r>
        <w:rPr>
          <w:rFonts w:hint="eastAsia" w:ascii="宋体" w:hAnsi="宋体" w:eastAsia="宋体" w:cs="宋体"/>
          <w:color w:val="auto"/>
          <w:sz w:val="24"/>
        </w:rPr>
        <w:t>也确实揭露了问题的多个方面，但实质上是秉持着一种“头痛治头，足痛治足”的</w:t>
      </w:r>
      <w:r>
        <w:rPr>
          <w:rFonts w:hint="eastAsia" w:ascii="宋体" w:hAnsi="宋体" w:eastAsia="宋体" w:cs="宋体"/>
          <w:color w:val="auto"/>
          <w:sz w:val="24"/>
          <w:lang w:val="en-US" w:eastAsia="zh-CN"/>
        </w:rPr>
        <w:t>固有思维</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还有学者从财权的角度出发，认为当前财权与事权的错位是造成地方特色性立法不足的根本原因。</w:t>
      </w:r>
      <w:r>
        <w:rPr>
          <w:rStyle w:val="17"/>
          <w:rFonts w:hint="default" w:ascii="Calibri" w:hAnsi="Calibri" w:eastAsia="宋体" w:cs="Calibri"/>
          <w:color w:val="auto"/>
          <w:sz w:val="24"/>
          <w:lang w:val="en-US" w:eastAsia="zh-CN"/>
        </w:rPr>
        <w:footnoteReference w:id="30"/>
      </w:r>
      <w:r>
        <w:rPr>
          <w:rFonts w:hint="eastAsia" w:ascii="宋体" w:hAnsi="宋体" w:eastAsia="宋体" w:cs="宋体"/>
          <w:color w:val="auto"/>
          <w:sz w:val="24"/>
          <w:lang w:val="en-US" w:eastAsia="zh-CN"/>
        </w:rPr>
        <w:t>然而，财权与事权的匹配意味着所承担的行政任务与财政汲取能力相适应，所谓与财权相对应的事权主要是执行权，与立法权分配并无直接关系。实践中我国绝大部分行政管理事务由县、乡两级政府承担，它们处理事务所依据的规范均由上级立法或行政机关所制定，可见事权与立法权分配的并非是强关联的，因此也不宜将地方创设性立法不足的顽疾归因于事权与财权的错位。</w:t>
      </w:r>
    </w:p>
    <w:p w14:paraId="166946CF">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rPr>
      </w:pPr>
      <w:r>
        <w:rPr>
          <w:rFonts w:hint="eastAsia" w:ascii="宋体" w:hAnsi="宋体" w:eastAsia="宋体" w:cs="宋体"/>
          <w:color w:val="auto"/>
          <w:sz w:val="24"/>
          <w:lang w:val="en-US" w:eastAsia="zh-CN"/>
        </w:rPr>
        <w:t>还有一种更可能的归因是中央与地方政府在事权上存在“职能同构”。根据《宪法》第89条，《地方组织法》第59条、第61条规定，除国防、外交，军事等中央专属事项外，地方政府，包括乡镇一级政府的事权数量与中央政府近乎相等，这意味着地方政府从事实上成为中央政府的翻版。</w:t>
      </w:r>
      <w:r>
        <w:rPr>
          <w:rStyle w:val="17"/>
          <w:rFonts w:hint="default" w:ascii="Calibri" w:hAnsi="Calibri" w:eastAsia="宋体" w:cs="Calibri"/>
          <w:color w:val="auto"/>
          <w:sz w:val="24"/>
          <w:szCs w:val="24"/>
          <w:lang w:val="en-US" w:eastAsia="zh-CN"/>
        </w:rPr>
        <w:footnoteReference w:id="31"/>
      </w:r>
      <w:r>
        <w:rPr>
          <w:rFonts w:hint="eastAsia" w:ascii="宋体" w:hAnsi="宋体" w:eastAsia="宋体" w:cs="宋体"/>
          <w:color w:val="auto"/>
          <w:sz w:val="24"/>
          <w:lang w:val="en-US" w:eastAsia="zh-CN"/>
        </w:rPr>
        <w:t>央地政府关系所呈现的职能同构现象，导致同一立法事项被多个地方立法主体加以规范调整，后者往往是将上位法具体规则内容诸如期间、地点、行为主体等法律事实稍加改动后就完成一部地方性法规，地方立法创新性由此大幅消弭。这种观点的创新性在于跳出了立法者的行为动机和外部约束角度的分析，从国家治理结构和政府组织形态这一更根本的层面揭示了地方立法趋同的系统性病因。但是应当注意的是“职能同构”是一个行政组织学的问题，亦是一个客观的结构性问题，它没有继续追问为什么这种同构体制能够形成并被长期遵循？本文认为，问题的答案或许在于</w:t>
      </w:r>
      <w:r>
        <w:rPr>
          <w:rFonts w:hint="eastAsia" w:ascii="宋体" w:hAnsi="宋体" w:eastAsia="宋体" w:cs="宋体"/>
          <w:color w:val="auto"/>
          <w:sz w:val="24"/>
          <w:lang w:eastAsia="zh-CN"/>
        </w:rPr>
        <w:t>“职能同构”是“果”</w:t>
      </w:r>
      <w:r>
        <w:rPr>
          <w:rFonts w:hint="eastAsia" w:ascii="宋体" w:hAnsi="宋体" w:eastAsia="宋体" w:cs="宋体"/>
          <w:color w:val="auto"/>
          <w:sz w:val="24"/>
          <w:lang w:val="en-US" w:eastAsia="zh-CN"/>
        </w:rPr>
        <w:t>和</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体</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而“广义政府”思维才是“因”以及“魂”。因而不妨说</w:t>
      </w:r>
      <w:r>
        <w:rPr>
          <w:rFonts w:hint="eastAsia" w:ascii="宋体" w:hAnsi="宋体" w:eastAsia="宋体" w:cs="宋体"/>
          <w:color w:val="auto"/>
          <w:sz w:val="24"/>
        </w:rPr>
        <w:t>地方立法能动性</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主体性消解</w:t>
      </w:r>
      <w:r>
        <w:rPr>
          <w:rFonts w:hint="eastAsia" w:ascii="宋体" w:hAnsi="宋体" w:eastAsia="宋体" w:cs="宋体"/>
          <w:color w:val="auto"/>
          <w:sz w:val="24"/>
        </w:rPr>
        <w:t>的逻辑</w:t>
      </w:r>
      <w:r>
        <w:rPr>
          <w:rFonts w:hint="eastAsia" w:ascii="宋体" w:hAnsi="宋体" w:eastAsia="宋体" w:cs="宋体"/>
          <w:color w:val="auto"/>
          <w:sz w:val="24"/>
          <w:lang w:val="en-US" w:eastAsia="zh-CN"/>
        </w:rPr>
        <w:t>原</w:t>
      </w:r>
      <w:r>
        <w:rPr>
          <w:rFonts w:hint="eastAsia" w:ascii="宋体" w:hAnsi="宋体" w:eastAsia="宋体" w:cs="宋体"/>
          <w:color w:val="auto"/>
          <w:sz w:val="24"/>
        </w:rPr>
        <w:t>点</w:t>
      </w:r>
      <w:r>
        <w:rPr>
          <w:rFonts w:hint="eastAsia" w:ascii="宋体" w:hAnsi="宋体" w:eastAsia="宋体" w:cs="宋体"/>
          <w:color w:val="auto"/>
          <w:sz w:val="24"/>
          <w:lang w:val="en-US" w:eastAsia="zh-CN"/>
        </w:rPr>
        <w:t>始于“</w:t>
      </w:r>
      <w:r>
        <w:rPr>
          <w:rFonts w:hint="eastAsia" w:ascii="宋体" w:hAnsi="宋体" w:eastAsia="宋体" w:cs="宋体"/>
          <w:color w:val="auto"/>
          <w:sz w:val="24"/>
        </w:rPr>
        <w:t>广义政府</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的单一身份认同</w:t>
      </w:r>
      <w:r>
        <w:rPr>
          <w:rFonts w:hint="eastAsia" w:ascii="宋体" w:hAnsi="宋体" w:eastAsia="宋体" w:cs="宋体"/>
          <w:color w:val="auto"/>
          <w:sz w:val="24"/>
        </w:rPr>
        <w:t>客观</w:t>
      </w:r>
      <w:r>
        <w:rPr>
          <w:rFonts w:hint="eastAsia" w:ascii="宋体" w:hAnsi="宋体" w:eastAsia="宋体" w:cs="宋体"/>
          <w:color w:val="auto"/>
          <w:sz w:val="24"/>
          <w:lang w:val="en-US" w:eastAsia="zh-CN"/>
        </w:rPr>
        <w:t>存在于所有立法者和行政者的深层认知中</w:t>
      </w:r>
      <w:r>
        <w:rPr>
          <w:rFonts w:hint="eastAsia" w:ascii="宋体" w:hAnsi="宋体" w:eastAsia="宋体" w:cs="宋体"/>
          <w:color w:val="auto"/>
          <w:sz w:val="24"/>
        </w:rPr>
        <w:t>。</w:t>
      </w:r>
    </w:p>
    <w:p w14:paraId="48177701">
      <w:pPr>
        <w:keepNext w:val="0"/>
        <w:pageBreakBefore w:val="0"/>
        <w:kinsoku/>
        <w:wordWrap/>
        <w:overflowPunct/>
        <w:topLinePunct w:val="0"/>
        <w:autoSpaceDE/>
        <w:autoSpaceDN/>
        <w:bidi w:val="0"/>
        <w:adjustRightInd/>
        <w:snapToGrid w:val="0"/>
        <w:spacing w:line="360" w:lineRule="auto"/>
        <w:ind w:firstLine="480" w:firstLineChars="200"/>
        <w:textAlignment w:val="auto"/>
        <w:rPr>
          <w:rStyle w:val="17"/>
          <w:rFonts w:eastAsia="宋体" w:cs="Calibri"/>
          <w:color w:val="auto"/>
          <w:szCs w:val="21"/>
        </w:rPr>
      </w:pPr>
      <w:r>
        <w:rPr>
          <w:rFonts w:hint="eastAsia" w:ascii="宋体" w:hAnsi="宋体" w:eastAsia="宋体" w:cs="宋体"/>
          <w:color w:val="auto"/>
          <w:sz w:val="24"/>
        </w:rPr>
        <w:t>地方立法能动性式微的真正逻辑起点在于“广义政府”概念的客观存在。不同于西方外部权力结构中“立法权（国会）、行政权（政府）、司法权（法院）”的分立情势以及“政府属于国家，政党属于社会”的“国家—社会”二分形态，“政府”在中国传统上历来就是广义的。不仅党委、行政机关，甚至是人大、政协、公检法系统，在广大人民眼里都是作为统合整体的“广义政府”。</w:t>
      </w:r>
      <w:r>
        <w:rPr>
          <w:rStyle w:val="17"/>
          <w:rFonts w:ascii="Calibri" w:hAnsi="Calibri" w:eastAsia="宋体" w:cs="Calibri"/>
          <w:color w:val="auto"/>
          <w:sz w:val="24"/>
          <w:szCs w:val="24"/>
        </w:rPr>
        <w:footnoteReference w:id="32"/>
      </w:r>
      <w:r>
        <w:rPr>
          <w:rFonts w:hint="eastAsia" w:ascii="宋体" w:hAnsi="宋体" w:eastAsia="宋体" w:cs="宋体"/>
          <w:color w:val="auto"/>
          <w:sz w:val="24"/>
        </w:rPr>
        <w:t>广义政府通过其整体性结构成功把“一党领政”的理论概念转换为制度实践，是中国特定情境下无涉政党竞争和政党轮替条件下形成的政治制度</w:t>
      </w:r>
      <w:r>
        <w:rPr>
          <w:rFonts w:hint="eastAsia" w:ascii="宋体" w:hAnsi="宋体" w:eastAsia="宋体" w:cs="宋体"/>
          <w:color w:val="auto"/>
          <w:sz w:val="24"/>
          <w:lang w:eastAsia="zh-CN"/>
        </w:rPr>
        <w:t>。</w:t>
      </w:r>
      <w:r>
        <w:rPr>
          <w:rStyle w:val="17"/>
          <w:rFonts w:ascii="Calibri" w:hAnsi="Calibri" w:eastAsia="宋体" w:cs="Calibri"/>
          <w:color w:val="auto"/>
          <w:sz w:val="24"/>
          <w:szCs w:val="24"/>
        </w:rPr>
        <w:footnoteReference w:id="33"/>
      </w:r>
      <w:r>
        <w:rPr>
          <w:rFonts w:hint="eastAsia" w:ascii="宋体" w:hAnsi="宋体" w:eastAsia="宋体" w:cs="宋体"/>
          <w:color w:val="auto"/>
          <w:sz w:val="24"/>
        </w:rPr>
        <w:t>与此同时，也让异质于立法机关的利益表达、利益综合、政策制定与政策实施的政治过程渗透至立法体制当中，从而对立法过程造成立法技术或部门分工以外的影响，具体表现是治理逻辑从“过程导向、法治准则与科层化常规治理”转变为“结果导向、纪律为先与集中化运动治理”。</w:t>
      </w:r>
      <w:r>
        <w:rPr>
          <w:rStyle w:val="17"/>
          <w:rFonts w:ascii="Calibri" w:hAnsi="Calibri" w:eastAsia="宋体" w:cs="Calibri"/>
          <w:color w:val="auto"/>
          <w:sz w:val="24"/>
          <w:szCs w:val="24"/>
        </w:rPr>
        <w:footnoteReference w:id="34"/>
      </w:r>
      <w:r>
        <w:rPr>
          <w:rFonts w:hint="eastAsia" w:ascii="宋体" w:hAnsi="宋体" w:eastAsia="宋体" w:cs="宋体"/>
          <w:color w:val="auto"/>
          <w:sz w:val="24"/>
        </w:rPr>
        <w:t>其中的影响是极易使代议机构的结构及组织本身将为它们所承担的政府治理任务的需求所支配。</w:t>
      </w:r>
      <w:r>
        <w:rPr>
          <w:rStyle w:val="17"/>
          <w:rFonts w:eastAsia="宋体" w:cs="Calibri"/>
          <w:color w:val="auto"/>
          <w:sz w:val="24"/>
          <w:szCs w:val="24"/>
        </w:rPr>
        <w:footnoteReference w:id="35"/>
      </w:r>
    </w:p>
    <w:p w14:paraId="66AA91E2">
      <w:pPr>
        <w:keepNext w:val="0"/>
        <w:pageBreakBefore w:val="0"/>
        <w:kinsoku/>
        <w:wordWrap/>
        <w:overflowPunct/>
        <w:topLinePunct w:val="0"/>
        <w:autoSpaceDE/>
        <w:autoSpaceDN/>
        <w:bidi w:val="0"/>
        <w:adjustRightInd/>
        <w:snapToGrid w:val="0"/>
        <w:spacing w:line="360" w:lineRule="auto"/>
        <w:ind w:firstLine="480" w:firstLineChars="200"/>
        <w:textAlignment w:val="auto"/>
        <w:rPr>
          <w:rFonts w:ascii="宋体" w:hAnsi="宋体" w:eastAsia="宋体" w:cs="宋体"/>
          <w:color w:val="auto"/>
          <w:sz w:val="24"/>
        </w:rPr>
      </w:pPr>
      <w:r>
        <w:rPr>
          <w:rFonts w:hint="eastAsia" w:ascii="宋体" w:hAnsi="宋体" w:eastAsia="宋体" w:cs="宋体"/>
          <w:color w:val="auto"/>
          <w:sz w:val="24"/>
        </w:rPr>
        <w:t>此外，广义政府所衍生的“内部三权分工合作体制”（以下简称“三权体制”），后者内部“决策权”与“执行权”概念之间的模糊边界也制约了地方数据立法的能动性发展。根据郑永年教授的观点，广义政府的制度体现就是做好“决策权”“执行权”“监督权”的功能性分权的框架设计。</w:t>
      </w:r>
      <w:r>
        <w:rPr>
          <w:rStyle w:val="17"/>
          <w:rFonts w:ascii="Calibri" w:hAnsi="Calibri" w:eastAsia="宋体" w:cs="Calibri"/>
          <w:color w:val="auto"/>
          <w:szCs w:val="21"/>
        </w:rPr>
        <w:footnoteReference w:id="36"/>
      </w:r>
      <w:r>
        <w:rPr>
          <w:rFonts w:hint="eastAsia" w:ascii="宋体" w:hAnsi="宋体" w:eastAsia="宋体" w:cs="宋体"/>
          <w:color w:val="auto"/>
          <w:sz w:val="24"/>
        </w:rPr>
        <w:t>在该逻辑的支配下，各权力主体被置于决策、执行、监督的三事分工、三职分定和三责分置的权力结构中。相对于党委负责决策，人民政府在广义政府中承担执行功能。</w:t>
      </w:r>
      <w:r>
        <w:rPr>
          <w:rStyle w:val="17"/>
          <w:rFonts w:ascii="Calibri" w:hAnsi="Calibri" w:eastAsia="宋体" w:cs="Calibri"/>
          <w:color w:val="auto"/>
          <w:szCs w:val="21"/>
        </w:rPr>
        <w:t xml:space="preserve"> </w:t>
      </w:r>
      <w:r>
        <w:rPr>
          <w:rStyle w:val="17"/>
          <w:rFonts w:ascii="Calibri" w:hAnsi="Calibri" w:eastAsia="宋体" w:cs="Calibri"/>
          <w:color w:val="auto"/>
          <w:szCs w:val="21"/>
        </w:rPr>
        <w:footnoteReference w:id="37"/>
      </w:r>
      <w:r>
        <w:rPr>
          <w:rFonts w:hint="eastAsia" w:ascii="宋体" w:hAnsi="宋体" w:eastAsia="宋体" w:cs="宋体"/>
          <w:color w:val="auto"/>
          <w:sz w:val="24"/>
        </w:rPr>
        <w:t>一般而言，共时态下的三权体制有横向与纵向两种权力配置形式。在横向分工配置上，其表现为各级党委或人大行使决策权、政府行使执行权、纪检法行使监督权。类似于轮辐式权力结构，轴心把控方向，辐条支撑轴心，轮辋约束矫正（见图2）</w:t>
      </w:r>
      <w:r>
        <w:rPr>
          <w:rFonts w:hint="eastAsia" w:ascii="宋体" w:hAnsi="宋体" w:eastAsia="宋体" w:cs="宋体"/>
          <w:color w:val="auto"/>
          <w:sz w:val="24"/>
          <w:lang w:eastAsia="zh-CN"/>
        </w:rPr>
        <w:t>。</w:t>
      </w:r>
    </w:p>
    <w:p w14:paraId="2FD06A59">
      <w:pPr>
        <w:keepNext w:val="0"/>
        <w:pageBreakBefore w:val="0"/>
        <w:kinsoku/>
        <w:wordWrap/>
        <w:overflowPunct/>
        <w:topLinePunct w:val="0"/>
        <w:autoSpaceDE/>
        <w:autoSpaceDN/>
        <w:bidi w:val="0"/>
        <w:adjustRightInd/>
        <w:snapToGrid w:val="0"/>
        <w:spacing w:line="360" w:lineRule="auto"/>
        <w:jc w:val="center"/>
        <w:textAlignment w:val="auto"/>
        <w:rPr>
          <w:rFonts w:ascii="宋体" w:hAnsi="宋体" w:eastAsia="宋体" w:cs="宋体"/>
          <w:color w:val="auto"/>
          <w:sz w:val="24"/>
        </w:rPr>
      </w:pPr>
      <w:r>
        <w:rPr>
          <w:rFonts w:hint="eastAsia" w:ascii="宋体" w:hAnsi="宋体" w:eastAsia="宋体" w:cs="宋体"/>
          <w:color w:val="auto"/>
          <w:sz w:val="24"/>
        </w:rPr>
        <w:drawing>
          <wp:inline distT="0" distB="0" distL="114300" distR="114300">
            <wp:extent cx="3258185" cy="1183640"/>
            <wp:effectExtent l="0" t="0" r="18415" b="1016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12"/>
                    <a:stretch>
                      <a:fillRect/>
                    </a:stretch>
                  </pic:blipFill>
                  <pic:spPr>
                    <a:xfrm>
                      <a:off x="0" y="0"/>
                      <a:ext cx="3258185" cy="1183640"/>
                    </a:xfrm>
                    <a:prstGeom prst="rect">
                      <a:avLst/>
                    </a:prstGeom>
                    <a:noFill/>
                    <a:ln>
                      <a:noFill/>
                    </a:ln>
                  </pic:spPr>
                </pic:pic>
              </a:graphicData>
            </a:graphic>
          </wp:inline>
        </w:drawing>
      </w:r>
    </w:p>
    <w:p w14:paraId="7A96AAC7">
      <w:pPr>
        <w:keepNext w:val="0"/>
        <w:pageBreakBefore w:val="0"/>
        <w:kinsoku/>
        <w:wordWrap/>
        <w:overflowPunct/>
        <w:topLinePunct w:val="0"/>
        <w:autoSpaceDE/>
        <w:autoSpaceDN/>
        <w:bidi w:val="0"/>
        <w:adjustRightInd/>
        <w:snapToGrid w:val="0"/>
        <w:spacing w:line="360" w:lineRule="auto"/>
        <w:ind w:firstLine="2520" w:firstLineChars="1200"/>
        <w:textAlignment w:val="auto"/>
        <w:rPr>
          <w:color w:val="auto"/>
        </w:rPr>
      </w:pPr>
      <w:r>
        <w:rPr>
          <w:rFonts w:hint="eastAsia"/>
          <w:color w:val="auto"/>
        </w:rPr>
        <w:t>图</w:t>
      </w:r>
      <w:r>
        <w:rPr>
          <w:rFonts w:ascii="Times New Roman" w:hAnsi="Times New Roman" w:cs="Times New Roman"/>
          <w:color w:val="auto"/>
        </w:rPr>
        <w:t>2</w:t>
      </w:r>
      <w:r>
        <w:rPr>
          <w:rFonts w:hint="eastAsia"/>
          <w:color w:val="auto"/>
        </w:rPr>
        <w:t xml:space="preserve">  广义政府内部分权</w:t>
      </w:r>
    </w:p>
    <w:p w14:paraId="3284D6FC">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rPr>
      </w:pPr>
      <w:r>
        <w:rPr>
          <w:rFonts w:hint="eastAsia" w:ascii="宋体" w:hAnsi="宋体" w:eastAsia="宋体" w:cs="宋体"/>
          <w:color w:val="auto"/>
          <w:sz w:val="24"/>
        </w:rPr>
        <w:t>然而问题是在纵向上，同类型组织体系的前提下是否可以认为上级行使的是决策权、下级行使的是执行权？广义政府责任链条是通过对上负责和对下控制双向运作来实现的，这种责任机制既包括地方领导干部对作为上级政治权威的中央负责，也涉及下级对其上一级组织机构的负责，其形式包含权力授予、人事任免与责任履行。</w:t>
      </w:r>
      <w:r>
        <w:rPr>
          <w:rStyle w:val="17"/>
          <w:rFonts w:ascii="Calibri" w:hAnsi="Calibri" w:eastAsia="宋体" w:cs="Calibri"/>
          <w:color w:val="auto"/>
          <w:sz w:val="24"/>
          <w:szCs w:val="24"/>
        </w:rPr>
        <w:footnoteReference w:id="38"/>
      </w:r>
      <w:r>
        <w:rPr>
          <w:rFonts w:hint="eastAsia" w:ascii="宋体" w:hAnsi="宋体" w:eastAsia="宋体" w:cs="宋体"/>
          <w:color w:val="auto"/>
          <w:sz w:val="24"/>
        </w:rPr>
        <w:t>那么作为广义政府组成部分之一的代议制机关——人大及其常委会，是否意味着上级人大对下级人大行使的就是决策权，下级人大相对于上级人大行使的就是执行权？倘若上下级人大之间的工作关系属于“决策-执行”，那么“领导-服从”的政治逻辑也将随之产生，即下级对上级负责。然而显见不争的是地方人大并不隶属于全国人大，后者对前者仅存在选举上的指导、法律上的监督与工作上的联系</w:t>
      </w:r>
      <w:r>
        <w:rPr>
          <w:rFonts w:hint="eastAsia" w:ascii="宋体" w:hAnsi="宋体" w:eastAsia="宋体" w:cs="宋体"/>
          <w:color w:val="auto"/>
          <w:sz w:val="24"/>
          <w:lang w:eastAsia="zh-CN"/>
        </w:rPr>
        <w:t>。</w:t>
      </w:r>
      <w:r>
        <w:rPr>
          <w:rStyle w:val="17"/>
          <w:rFonts w:hint="default" w:ascii="Calibri" w:hAnsi="Calibri" w:eastAsia="宋体" w:cs="Calibri"/>
          <w:color w:val="auto"/>
          <w:sz w:val="24"/>
          <w:szCs w:val="24"/>
        </w:rPr>
        <w:footnoteReference w:id="39"/>
      </w:r>
      <w:r>
        <w:rPr>
          <w:rFonts w:hint="eastAsia" w:ascii="宋体" w:hAnsi="宋体" w:eastAsia="宋体" w:cs="宋体"/>
          <w:color w:val="auto"/>
          <w:sz w:val="24"/>
        </w:rPr>
        <w:t>把三权体制直接“照搬”于人大及其常委会立法程序的做法，涉嫌违背代议制机构的基本组织规律——</w:t>
      </w:r>
      <w:r>
        <w:rPr>
          <w:rFonts w:hint="eastAsia" w:ascii="宋体" w:hAnsi="宋体" w:eastAsia="宋体" w:cs="宋体"/>
          <w:color w:val="auto"/>
          <w:sz w:val="24"/>
          <w:lang w:val="en-US" w:eastAsia="zh-CN"/>
        </w:rPr>
        <w:t>仅</w:t>
      </w:r>
      <w:r>
        <w:rPr>
          <w:rFonts w:hint="eastAsia" w:ascii="宋体" w:hAnsi="宋体" w:eastAsia="宋体" w:cs="宋体"/>
          <w:color w:val="auto"/>
          <w:sz w:val="24"/>
        </w:rPr>
        <w:t>对所代表的人民利益负责。</w:t>
      </w:r>
      <w:r>
        <w:rPr>
          <w:rFonts w:hint="eastAsia" w:ascii="宋体" w:hAnsi="宋体" w:eastAsia="宋体" w:cs="宋体"/>
          <w:color w:val="auto"/>
          <w:sz w:val="24"/>
          <w:lang w:val="en-US" w:eastAsia="zh-CN"/>
        </w:rPr>
        <w:t>但现实情况却表明</w:t>
      </w:r>
      <w:r>
        <w:rPr>
          <w:rFonts w:hint="eastAsia" w:ascii="宋体" w:hAnsi="宋体" w:eastAsia="宋体" w:cs="宋体"/>
          <w:color w:val="auto"/>
          <w:sz w:val="24"/>
        </w:rPr>
        <w:t>，由于行政权的本质是一种直接而主动的管理性职权，现阶段权力体系内原属于立法权的自留空间，愈</w:t>
      </w:r>
      <w:r>
        <w:rPr>
          <w:rFonts w:hint="eastAsia" w:ascii="宋体" w:hAnsi="宋体" w:eastAsia="宋体" w:cs="宋体"/>
          <w:color w:val="auto"/>
          <w:sz w:val="24"/>
        </w:rPr>
        <w:t>发被具有自我扩张性的行政权所稀释</w:t>
      </w:r>
      <w:r>
        <w:rPr>
          <w:rFonts w:hint="eastAsia" w:ascii="宋体" w:hAnsi="宋体" w:eastAsia="宋体" w:cs="宋体"/>
          <w:color w:val="auto"/>
          <w:sz w:val="24"/>
        </w:rPr>
        <w:t>。例如比较人大及其常委会“重大事项决定权”与党委“领导权”的内容就可发现，两者在“重大事项讨论与组织内部建设”存在部分职能重合，在“贯彻执行上位决议或立法文件”的职能上甚至完全重合。</w:t>
      </w:r>
      <w:r>
        <w:rPr>
          <w:rFonts w:hint="eastAsia" w:ascii="宋体" w:hAnsi="宋体" w:eastAsia="宋体" w:cs="宋体"/>
          <w:color w:val="auto"/>
          <w:sz w:val="24"/>
          <w:lang w:val="en-US" w:eastAsia="zh-CN"/>
        </w:rPr>
        <w:t>质言之</w:t>
      </w:r>
      <w:r>
        <w:rPr>
          <w:rFonts w:hint="eastAsia" w:ascii="宋体" w:hAnsi="宋体" w:eastAsia="宋体" w:cs="宋体"/>
          <w:color w:val="auto"/>
          <w:sz w:val="24"/>
        </w:rPr>
        <w:t>，</w:t>
      </w:r>
      <w:r>
        <w:rPr>
          <w:rFonts w:hint="eastAsia" w:ascii="宋体" w:hAnsi="宋体" w:eastAsia="宋体" w:cs="宋体"/>
          <w:color w:val="auto"/>
          <w:sz w:val="24"/>
          <w:lang w:val="en-US" w:eastAsia="zh-CN"/>
        </w:rPr>
        <w:t>在</w:t>
      </w:r>
      <w:r>
        <w:rPr>
          <w:rFonts w:hint="eastAsia" w:ascii="宋体" w:hAnsi="宋体" w:eastAsia="宋体" w:cs="宋体"/>
          <w:color w:val="auto"/>
          <w:sz w:val="24"/>
        </w:rPr>
        <w:t>“广义政府”</w:t>
      </w:r>
      <w:r>
        <w:rPr>
          <w:rFonts w:hint="eastAsia" w:ascii="宋体" w:hAnsi="宋体" w:eastAsia="宋体" w:cs="宋体"/>
          <w:color w:val="auto"/>
          <w:sz w:val="24"/>
          <w:lang w:val="en-US" w:eastAsia="zh-CN"/>
        </w:rPr>
        <w:t>为逻辑起点的</w:t>
      </w:r>
      <w:r>
        <w:rPr>
          <w:rFonts w:hint="eastAsia" w:ascii="宋体" w:hAnsi="宋体" w:eastAsia="宋体" w:cs="宋体"/>
          <w:color w:val="auto"/>
          <w:sz w:val="24"/>
        </w:rPr>
        <w:t>“中央决策，地方执行”思</w:t>
      </w:r>
      <w:r>
        <w:rPr>
          <w:rFonts w:hint="eastAsia" w:ascii="宋体" w:hAnsi="宋体" w:eastAsia="宋体" w:cs="宋体"/>
          <w:color w:val="auto"/>
          <w:sz w:val="24"/>
          <w:lang w:val="en-US" w:eastAsia="zh-CN"/>
        </w:rPr>
        <w:t>想钢印影响</w:t>
      </w:r>
      <w:r>
        <w:rPr>
          <w:rFonts w:hint="eastAsia" w:ascii="宋体" w:hAnsi="宋体" w:eastAsia="宋体" w:cs="宋体"/>
          <w:color w:val="auto"/>
          <w:sz w:val="24"/>
        </w:rPr>
        <w:t>下，与其说全国人大与地方人大在立法事权（事项）上</w:t>
      </w:r>
      <w:r>
        <w:rPr>
          <w:rFonts w:hint="eastAsia" w:ascii="宋体" w:hAnsi="宋体" w:eastAsia="宋体" w:cs="宋体"/>
          <w:color w:val="auto"/>
          <w:sz w:val="24"/>
          <w:lang w:val="en-US" w:eastAsia="zh-CN"/>
        </w:rPr>
        <w:t>存在权力划分、责任适配</w:t>
      </w:r>
      <w:r>
        <w:rPr>
          <w:rFonts w:hint="eastAsia" w:ascii="宋体" w:hAnsi="宋体" w:eastAsia="宋体" w:cs="宋体"/>
          <w:color w:val="auto"/>
          <w:sz w:val="24"/>
        </w:rPr>
        <w:t>，毋宁说两者只是分别负责不同的立法阶段</w:t>
      </w:r>
      <w:r>
        <w:rPr>
          <w:rFonts w:hint="eastAsia" w:ascii="宋体" w:hAnsi="宋体" w:eastAsia="宋体" w:cs="宋体"/>
          <w:color w:val="auto"/>
          <w:sz w:val="24"/>
          <w:lang w:eastAsia="zh-CN"/>
        </w:rPr>
        <w:t>——</w:t>
      </w:r>
      <w:r>
        <w:rPr>
          <w:rFonts w:hint="eastAsia" w:ascii="宋体" w:hAnsi="宋体" w:eastAsia="宋体" w:cs="宋体"/>
          <w:color w:val="auto"/>
          <w:sz w:val="24"/>
        </w:rPr>
        <w:t>法律</w:t>
      </w:r>
      <w:r>
        <w:rPr>
          <w:rFonts w:hint="eastAsia" w:ascii="宋体" w:hAnsi="宋体" w:eastAsia="宋体" w:cs="宋体"/>
          <w:color w:val="auto"/>
          <w:sz w:val="24"/>
          <w:lang w:eastAsia="zh-CN"/>
        </w:rPr>
        <w:t>、</w:t>
      </w:r>
      <w:r>
        <w:rPr>
          <w:rFonts w:hint="eastAsia" w:ascii="宋体" w:hAnsi="宋体" w:eastAsia="宋体" w:cs="宋体"/>
          <w:color w:val="auto"/>
          <w:sz w:val="24"/>
        </w:rPr>
        <w:t>行政法规</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出身高贵</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却往往</w:t>
      </w:r>
      <w:r>
        <w:rPr>
          <w:rFonts w:hint="eastAsia" w:ascii="宋体" w:hAnsi="宋体" w:eastAsia="宋体" w:cs="宋体"/>
          <w:color w:val="auto"/>
          <w:sz w:val="24"/>
        </w:rPr>
        <w:t>无涉立法的具体执行，</w:t>
      </w:r>
      <w:r>
        <w:rPr>
          <w:rFonts w:hint="eastAsia" w:ascii="宋体" w:hAnsi="宋体" w:eastAsia="宋体" w:cs="宋体"/>
          <w:color w:val="auto"/>
          <w:sz w:val="24"/>
          <w:lang w:val="en-US" w:eastAsia="zh-CN"/>
        </w:rPr>
        <w:t>而是由地方性法规承担上位</w:t>
      </w:r>
      <w:r>
        <w:rPr>
          <w:rFonts w:hint="eastAsia" w:ascii="宋体" w:hAnsi="宋体" w:eastAsia="宋体" w:cs="宋体"/>
          <w:color w:val="auto"/>
          <w:sz w:val="24"/>
        </w:rPr>
        <w:t>法</w:t>
      </w:r>
      <w:r>
        <w:rPr>
          <w:rFonts w:hint="eastAsia" w:ascii="宋体" w:hAnsi="宋体" w:eastAsia="宋体" w:cs="宋体"/>
          <w:color w:val="auto"/>
          <w:sz w:val="24"/>
          <w:lang w:eastAsia="zh-CN"/>
        </w:rPr>
        <w:t>的</w:t>
      </w:r>
      <w:r>
        <w:rPr>
          <w:rFonts w:hint="eastAsia" w:ascii="宋体" w:hAnsi="宋体" w:eastAsia="宋体" w:cs="宋体"/>
          <w:color w:val="auto"/>
          <w:sz w:val="24"/>
          <w:lang w:val="en-US" w:eastAsia="zh-CN"/>
        </w:rPr>
        <w:t>具体执行</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由此</w:t>
      </w:r>
      <w:r>
        <w:rPr>
          <w:rFonts w:hint="eastAsia" w:ascii="宋体" w:hAnsi="宋体" w:eastAsia="宋体" w:cs="宋体"/>
          <w:color w:val="auto"/>
          <w:sz w:val="24"/>
        </w:rPr>
        <w:t>地方立法体制催生</w:t>
      </w:r>
      <w:r>
        <w:rPr>
          <w:rFonts w:hint="eastAsia" w:ascii="宋体" w:hAnsi="宋体" w:eastAsia="宋体" w:cs="宋体"/>
          <w:color w:val="auto"/>
          <w:sz w:val="24"/>
          <w:lang w:eastAsia="zh-CN"/>
        </w:rPr>
        <w:t>的</w:t>
      </w:r>
      <w:r>
        <w:rPr>
          <w:rFonts w:hint="eastAsia" w:ascii="宋体" w:hAnsi="宋体" w:eastAsia="宋体" w:cs="宋体"/>
          <w:color w:val="auto"/>
          <w:sz w:val="24"/>
        </w:rPr>
        <w:t>“对上负责”“法制统一”的惯性思维，进而抑制了立法创造力、想象力的萌芽</w:t>
      </w:r>
      <w:r>
        <w:rPr>
          <w:rFonts w:hint="eastAsia" w:ascii="宋体" w:hAnsi="宋体" w:eastAsia="宋体" w:cs="宋体"/>
          <w:color w:val="auto"/>
          <w:sz w:val="24"/>
          <w:lang w:eastAsia="zh-CN"/>
        </w:rPr>
        <w:t>。</w:t>
      </w:r>
      <w:r>
        <w:rPr>
          <w:rFonts w:hint="eastAsia" w:ascii="宋体" w:hAnsi="宋体" w:eastAsia="宋体" w:cs="宋体"/>
          <w:color w:val="auto"/>
          <w:sz w:val="24"/>
        </w:rPr>
        <w:t>这种法治悖论造成立法机关双重角色矛盾冲突的</w:t>
      </w:r>
      <w:r>
        <w:rPr>
          <w:rFonts w:hint="eastAsia" w:ascii="宋体" w:hAnsi="宋体" w:eastAsia="宋体" w:cs="宋体"/>
          <w:color w:val="auto"/>
          <w:sz w:val="24"/>
          <w:lang w:val="en-US" w:eastAsia="zh-CN"/>
        </w:rPr>
        <w:t>具象</w:t>
      </w:r>
      <w:r>
        <w:rPr>
          <w:rFonts w:hint="eastAsia" w:ascii="宋体" w:hAnsi="宋体" w:eastAsia="宋体" w:cs="宋体"/>
          <w:color w:val="auto"/>
          <w:sz w:val="24"/>
        </w:rPr>
        <w:t>化。近年来国家频繁出台的数据上位法与大数据行业政策，也使先行先试的地方数据立法与后期制定的法律或行政法规相抵触的风险剧增，这就可能</w:t>
      </w:r>
      <w:r>
        <w:rPr>
          <w:rFonts w:hint="eastAsia" w:ascii="宋体" w:hAnsi="宋体" w:eastAsia="宋体" w:cs="宋体"/>
          <w:color w:val="auto"/>
          <w:sz w:val="24"/>
          <w:lang w:val="en-US" w:eastAsia="zh-CN"/>
        </w:rPr>
        <w:t>使</w:t>
      </w:r>
      <w:r>
        <w:rPr>
          <w:rFonts w:hint="eastAsia" w:ascii="宋体" w:hAnsi="宋体" w:eastAsia="宋体" w:cs="宋体"/>
          <w:color w:val="auto"/>
          <w:sz w:val="24"/>
        </w:rPr>
        <w:t>“盲目追求法制统一”的立法能动性消解在地方数据立</w:t>
      </w:r>
      <w:r>
        <w:rPr>
          <w:rFonts w:hint="eastAsia" w:ascii="宋体" w:hAnsi="宋体" w:eastAsia="宋体" w:cs="宋体"/>
          <w:color w:val="auto"/>
          <w:sz w:val="24"/>
          <w:lang w:eastAsia="zh-CN"/>
        </w:rPr>
        <w:t>法中</w:t>
      </w:r>
      <w:r>
        <w:rPr>
          <w:rFonts w:hint="eastAsia" w:ascii="宋体" w:hAnsi="宋体" w:eastAsia="宋体" w:cs="宋体"/>
          <w:color w:val="auto"/>
          <w:sz w:val="24"/>
        </w:rPr>
        <w:t>表现得更为显著，</w:t>
      </w:r>
      <w:r>
        <w:rPr>
          <w:rFonts w:hint="eastAsia" w:ascii="宋体" w:hAnsi="宋体" w:eastAsia="宋体" w:cs="宋体"/>
          <w:color w:val="auto"/>
          <w:sz w:val="24"/>
          <w:lang w:val="en-US" w:eastAsia="zh-CN"/>
        </w:rPr>
        <w:t>从而导致</w:t>
      </w:r>
      <w:r>
        <w:rPr>
          <w:rFonts w:hint="eastAsia" w:ascii="宋体" w:hAnsi="宋体" w:eastAsia="宋体" w:cs="宋体"/>
          <w:color w:val="auto"/>
          <w:sz w:val="24"/>
        </w:rPr>
        <w:t>精细化制度设计</w:t>
      </w:r>
      <w:r>
        <w:rPr>
          <w:rFonts w:hint="eastAsia" w:ascii="宋体" w:hAnsi="宋体" w:eastAsia="宋体" w:cs="宋体"/>
          <w:color w:val="auto"/>
          <w:sz w:val="24"/>
          <w:lang w:val="en-US" w:eastAsia="zh-CN"/>
        </w:rPr>
        <w:t>的滞后甚至缺位</w:t>
      </w:r>
      <w:r>
        <w:rPr>
          <w:rFonts w:hint="eastAsia" w:ascii="宋体" w:hAnsi="宋体" w:eastAsia="宋体" w:cs="宋体"/>
          <w:color w:val="auto"/>
          <w:sz w:val="24"/>
        </w:rPr>
        <w:t>。</w:t>
      </w:r>
      <w:bookmarkStart w:id="0" w:name="_Toc131159878"/>
      <w:bookmarkStart w:id="1" w:name="_Toc132798861"/>
    </w:p>
    <w:p w14:paraId="136CE73B">
      <w:pPr>
        <w:keepNext w:val="0"/>
        <w:pageBreakBefore w:val="0"/>
        <w:kinsoku/>
        <w:wordWrap/>
        <w:overflowPunct/>
        <w:topLinePunct w:val="0"/>
        <w:autoSpaceDE/>
        <w:autoSpaceDN/>
        <w:bidi w:val="0"/>
        <w:adjustRightInd/>
        <w:snapToGrid w:val="0"/>
        <w:spacing w:line="360" w:lineRule="auto"/>
        <w:ind w:firstLine="480" w:firstLineChars="200"/>
        <w:textAlignment w:val="auto"/>
        <w:outlineLvl w:val="1"/>
        <w:rPr>
          <w:rFonts w:hint="default" w:ascii="黑体" w:hAnsi="黑体" w:eastAsia="黑体" w:cs="黑体"/>
          <w:b w:val="0"/>
          <w:bCs w:val="0"/>
          <w:color w:val="auto"/>
          <w:sz w:val="24"/>
          <w:lang w:val="en-US" w:eastAsia="zh-CN"/>
        </w:rPr>
      </w:pPr>
      <w:r>
        <w:rPr>
          <w:rFonts w:hint="eastAsia" w:ascii="黑体" w:hAnsi="黑体" w:eastAsia="黑体" w:cs="黑体"/>
          <w:b w:val="0"/>
          <w:bCs w:val="0"/>
          <w:color w:val="auto"/>
          <w:sz w:val="24"/>
          <w:lang w:val="en-US" w:eastAsia="zh-CN"/>
        </w:rPr>
        <w:t>（二）地方数据立法的“法治统一</w:t>
      </w:r>
      <w:r>
        <w:rPr>
          <w:rFonts w:hint="default" w:ascii="黑体" w:hAnsi="黑体" w:eastAsia="黑体" w:cs="黑体"/>
          <w:b w:val="0"/>
          <w:bCs w:val="0"/>
          <w:color w:val="auto"/>
          <w:sz w:val="24"/>
          <w:lang w:val="en-US" w:eastAsia="zh-CN"/>
        </w:rPr>
        <w:t>”</w:t>
      </w:r>
      <w:r>
        <w:rPr>
          <w:rFonts w:hint="eastAsia" w:ascii="黑体" w:hAnsi="黑体" w:eastAsia="黑体" w:cs="黑体"/>
          <w:b w:val="0"/>
          <w:bCs w:val="0"/>
          <w:color w:val="auto"/>
          <w:sz w:val="24"/>
          <w:lang w:val="en-US" w:eastAsia="zh-CN"/>
        </w:rPr>
        <w:t>与“地方差别”并非矛盾</w:t>
      </w:r>
    </w:p>
    <w:p w14:paraId="60481683">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地方数据立法的</w:t>
      </w:r>
      <w:r>
        <w:rPr>
          <w:rFonts w:hint="eastAsia" w:ascii="宋体" w:hAnsi="宋体" w:eastAsia="宋体" w:cs="宋体"/>
          <w:color w:val="auto"/>
          <w:sz w:val="24"/>
          <w:lang w:eastAsia="zh-CN"/>
        </w:rPr>
        <w:t>“</w:t>
      </w:r>
      <w:r>
        <w:rPr>
          <w:rFonts w:hint="eastAsia" w:ascii="宋体" w:hAnsi="宋体" w:eastAsia="宋体" w:cs="宋体"/>
          <w:color w:val="auto"/>
          <w:sz w:val="24"/>
        </w:rPr>
        <w:t>法制统一</w:t>
      </w:r>
      <w:r>
        <w:rPr>
          <w:rFonts w:hint="eastAsia" w:ascii="宋体" w:hAnsi="宋体" w:eastAsia="宋体" w:cs="宋体"/>
          <w:color w:val="auto"/>
          <w:sz w:val="24"/>
          <w:lang w:eastAsia="zh-CN"/>
        </w:rPr>
        <w:t>”</w:t>
      </w:r>
      <w:r>
        <w:rPr>
          <w:rFonts w:hint="eastAsia" w:ascii="宋体" w:hAnsi="宋体" w:eastAsia="宋体" w:cs="宋体"/>
          <w:color w:val="auto"/>
          <w:sz w:val="24"/>
        </w:rPr>
        <w:t>与“地方性”之间的关系处理，是地方立法机关长期面临的</w:t>
      </w:r>
      <w:r>
        <w:rPr>
          <w:rFonts w:hint="eastAsia" w:ascii="宋体" w:hAnsi="宋体" w:eastAsia="宋体" w:cs="宋体"/>
          <w:color w:val="auto"/>
          <w:sz w:val="24"/>
          <w:lang w:val="en-US" w:eastAsia="zh-CN"/>
        </w:rPr>
        <w:t>实践</w:t>
      </w:r>
      <w:r>
        <w:rPr>
          <w:rFonts w:hint="eastAsia" w:ascii="宋体" w:hAnsi="宋体" w:eastAsia="宋体" w:cs="宋体"/>
          <w:color w:val="auto"/>
          <w:sz w:val="24"/>
        </w:rPr>
        <w:t>问题。一方面，失去地方性的</w:t>
      </w:r>
      <w:r>
        <w:rPr>
          <w:rFonts w:ascii="宋体" w:hAnsi="宋体" w:eastAsia="宋体" w:cs="宋体"/>
          <w:color w:val="auto"/>
          <w:sz w:val="24"/>
        </w:rPr>
        <w:t>地方立法就失去存在的价值</w:t>
      </w:r>
      <w:r>
        <w:rPr>
          <w:rFonts w:hint="eastAsia" w:ascii="宋体" w:hAnsi="宋体" w:eastAsia="宋体" w:cs="宋体"/>
          <w:color w:val="auto"/>
          <w:sz w:val="24"/>
        </w:rPr>
        <w:t>。</w:t>
      </w:r>
      <w:r>
        <w:rPr>
          <w:rStyle w:val="17"/>
          <w:rFonts w:ascii="Calibri" w:hAnsi="Calibri" w:eastAsia="宋体" w:cs="Calibri"/>
          <w:color w:val="auto"/>
          <w:sz w:val="24"/>
          <w:szCs w:val="24"/>
        </w:rPr>
        <w:footnoteReference w:id="40"/>
      </w:r>
      <w:r>
        <w:rPr>
          <w:rFonts w:hint="eastAsia" w:ascii="宋体" w:hAnsi="宋体" w:eastAsia="宋体" w:cs="宋体"/>
          <w:color w:val="auto"/>
          <w:sz w:val="24"/>
        </w:rPr>
        <w:t>立法内容不仅是主观的选择结果，更是立法需求的现实表达，</w:t>
      </w:r>
      <w:r>
        <w:rPr>
          <w:rFonts w:hint="eastAsia" w:ascii="宋体" w:hAnsi="宋体" w:eastAsia="宋体" w:cs="宋体"/>
          <w:color w:val="auto"/>
          <w:sz w:val="24"/>
          <w:lang w:val="en-US" w:eastAsia="zh-CN"/>
        </w:rPr>
        <w:t>地方</w:t>
      </w:r>
      <w:r>
        <w:rPr>
          <w:rFonts w:hint="eastAsia" w:ascii="宋体" w:hAnsi="宋体" w:eastAsia="宋体" w:cs="宋体"/>
          <w:color w:val="auto"/>
          <w:sz w:val="24"/>
        </w:rPr>
        <w:t>数据</w:t>
      </w:r>
      <w:r>
        <w:rPr>
          <w:rFonts w:hint="eastAsia" w:ascii="宋体" w:hAnsi="宋体" w:eastAsia="宋体" w:cs="宋体"/>
          <w:color w:val="auto"/>
          <w:sz w:val="24"/>
          <w:lang w:val="en-US" w:eastAsia="zh-CN"/>
        </w:rPr>
        <w:t>立法</w:t>
      </w:r>
      <w:r>
        <w:rPr>
          <w:rFonts w:hint="eastAsia" w:ascii="宋体" w:hAnsi="宋体" w:eastAsia="宋体" w:cs="宋体"/>
          <w:color w:val="auto"/>
          <w:sz w:val="24"/>
        </w:rPr>
        <w:t>应立足于本土特</w:t>
      </w:r>
      <w:r>
        <w:rPr>
          <w:rFonts w:hint="eastAsia" w:ascii="宋体" w:hAnsi="宋体" w:eastAsia="宋体" w:cs="宋体"/>
          <w:color w:val="auto"/>
          <w:sz w:val="24"/>
          <w:lang w:val="en-US" w:eastAsia="zh-CN"/>
        </w:rPr>
        <w:t>情</w:t>
      </w:r>
      <w:r>
        <w:rPr>
          <w:rFonts w:hint="eastAsia" w:ascii="宋体" w:hAnsi="宋体" w:eastAsia="宋体" w:cs="宋体"/>
          <w:color w:val="auto"/>
          <w:sz w:val="24"/>
        </w:rPr>
        <w:t>。另一方面，国家的法制统一</w:t>
      </w:r>
      <w:r>
        <w:rPr>
          <w:rFonts w:hint="eastAsia" w:ascii="宋体" w:hAnsi="宋体" w:eastAsia="宋体" w:cs="宋体"/>
          <w:color w:val="auto"/>
          <w:sz w:val="24"/>
          <w:lang w:val="en-US" w:eastAsia="zh-CN"/>
        </w:rPr>
        <w:t>不仅</w:t>
      </w:r>
      <w:r>
        <w:rPr>
          <w:rFonts w:hint="eastAsia" w:ascii="宋体" w:hAnsi="宋体" w:eastAsia="宋体" w:cs="宋体"/>
          <w:color w:val="auto"/>
          <w:sz w:val="24"/>
        </w:rPr>
        <w:t>是构建中国特色社会主义法律体系的基本经验</w:t>
      </w:r>
      <w:r>
        <w:rPr>
          <w:rFonts w:hint="eastAsia" w:ascii="宋体" w:hAnsi="宋体" w:eastAsia="宋体" w:cs="宋体"/>
          <w:color w:val="auto"/>
          <w:sz w:val="24"/>
          <w:lang w:eastAsia="zh-CN"/>
        </w:rPr>
        <w:t>。</w:t>
      </w:r>
      <w:r>
        <w:rPr>
          <w:rStyle w:val="17"/>
          <w:rFonts w:ascii="Calibri" w:hAnsi="Calibri" w:eastAsia="宋体" w:cs="Calibri"/>
          <w:color w:val="auto"/>
          <w:sz w:val="24"/>
          <w:szCs w:val="24"/>
        </w:rPr>
        <w:footnoteReference w:id="41"/>
      </w:r>
      <w:r>
        <w:rPr>
          <w:rFonts w:hint="eastAsia" w:ascii="宋体" w:hAnsi="宋体" w:eastAsia="宋体" w:cs="宋体"/>
          <w:color w:val="auto"/>
          <w:sz w:val="24"/>
          <w:lang w:val="en-US" w:eastAsia="zh-CN"/>
        </w:rPr>
        <w:t>不同于行政法、教育法等非市场经济类法律法规，数据立法由于其强市场经济属性而同质化程度更高，风格也更趋近于“法制统一”。具体表现如下：</w:t>
      </w:r>
    </w:p>
    <w:p w14:paraId="250DF959">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outlineLvl w:val="2"/>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1. 作为地方法：地方数据立法天然具有地方性</w:t>
      </w:r>
    </w:p>
    <w:p w14:paraId="58ADFAE6">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由于</w:t>
      </w:r>
      <w:r>
        <w:rPr>
          <w:rFonts w:hint="eastAsia" w:ascii="宋体" w:hAnsi="宋体" w:eastAsia="宋体" w:cs="宋体"/>
          <w:color w:val="auto"/>
          <w:sz w:val="24"/>
        </w:rPr>
        <w:t>法律、行政法规通常在全国范围发挥效力，</w:t>
      </w:r>
      <w:r>
        <w:rPr>
          <w:rFonts w:hint="eastAsia" w:ascii="宋体" w:hAnsi="宋体" w:eastAsia="宋体" w:cs="宋体"/>
          <w:color w:val="auto"/>
          <w:sz w:val="24"/>
          <w:lang w:val="en-US" w:eastAsia="zh-CN"/>
        </w:rPr>
        <w:t>地方法</w:t>
      </w:r>
      <w:r>
        <w:rPr>
          <w:rFonts w:hint="eastAsia" w:ascii="宋体" w:hAnsi="宋体" w:eastAsia="宋体" w:cs="宋体"/>
          <w:color w:val="auto"/>
          <w:sz w:val="24"/>
        </w:rPr>
        <w:t>内容常带有基础性、全面性和综合性的特点，</w:t>
      </w:r>
      <w:r>
        <w:rPr>
          <w:rFonts w:hint="eastAsia" w:ascii="宋体" w:hAnsi="宋体" w:eastAsia="宋体" w:cs="宋体"/>
          <w:color w:val="auto"/>
          <w:sz w:val="24"/>
          <w:lang w:val="en-US" w:eastAsia="zh-CN"/>
        </w:rPr>
        <w:t>所以</w:t>
      </w:r>
      <w:r>
        <w:rPr>
          <w:rFonts w:hint="eastAsia" w:ascii="宋体" w:hAnsi="宋体" w:eastAsia="宋体" w:cs="宋体"/>
          <w:color w:val="auto"/>
          <w:sz w:val="24"/>
        </w:rPr>
        <w:t>无法</w:t>
      </w:r>
      <w:r>
        <w:rPr>
          <w:rFonts w:hint="eastAsia" w:ascii="宋体" w:hAnsi="宋体" w:eastAsia="宋体" w:cs="宋体"/>
          <w:color w:val="auto"/>
          <w:sz w:val="24"/>
          <w:lang w:val="en-US" w:eastAsia="zh-CN"/>
        </w:rPr>
        <w:t>面面俱到地</w:t>
      </w:r>
      <w:r>
        <w:rPr>
          <w:rFonts w:hint="eastAsia" w:ascii="宋体" w:hAnsi="宋体" w:eastAsia="宋体" w:cs="宋体"/>
          <w:color w:val="auto"/>
          <w:sz w:val="24"/>
        </w:rPr>
        <w:t>反映各地经济发展不平衡、人文地理复杂多样的实际状况。作为国家立法与</w:t>
      </w:r>
      <w:r>
        <w:rPr>
          <w:rFonts w:hint="eastAsia" w:ascii="宋体" w:hAnsi="宋体" w:eastAsia="宋体" w:cs="宋体"/>
          <w:color w:val="auto"/>
          <w:sz w:val="24"/>
          <w:lang w:val="en-US" w:eastAsia="zh-CN"/>
        </w:rPr>
        <w:t>地方</w:t>
      </w:r>
      <w:r>
        <w:rPr>
          <w:rFonts w:hint="eastAsia" w:ascii="宋体" w:hAnsi="宋体" w:eastAsia="宋体" w:cs="宋体"/>
          <w:color w:val="auto"/>
          <w:sz w:val="24"/>
        </w:rPr>
        <w:t>实际立法需求之间相互贯通的桥梁，</w:t>
      </w:r>
      <w:r>
        <w:rPr>
          <w:rFonts w:hint="eastAsia" w:ascii="宋体" w:hAnsi="宋体" w:eastAsia="宋体" w:cs="宋体"/>
          <w:color w:val="auto"/>
          <w:sz w:val="24"/>
          <w:lang w:val="en-US" w:eastAsia="zh-CN"/>
        </w:rPr>
        <w:t>地方性数据法规</w:t>
      </w:r>
      <w:r>
        <w:rPr>
          <w:rFonts w:hint="eastAsia" w:ascii="宋体" w:hAnsi="宋体" w:eastAsia="宋体" w:cs="宋体"/>
          <w:color w:val="auto"/>
          <w:sz w:val="24"/>
        </w:rPr>
        <w:t>被赋予创设</w:t>
      </w:r>
      <w:r>
        <w:rPr>
          <w:rFonts w:hint="eastAsia" w:ascii="宋体" w:hAnsi="宋体" w:eastAsia="宋体" w:cs="宋体"/>
          <w:color w:val="auto"/>
          <w:sz w:val="24"/>
          <w:lang w:val="en-US" w:eastAsia="zh-CN"/>
        </w:rPr>
        <w:t>的</w:t>
      </w:r>
      <w:r>
        <w:rPr>
          <w:rFonts w:hint="eastAsia" w:ascii="宋体" w:hAnsi="宋体" w:eastAsia="宋体" w:cs="宋体"/>
          <w:color w:val="auto"/>
          <w:sz w:val="24"/>
        </w:rPr>
        <w:t>必要性。</w:t>
      </w:r>
      <w:r>
        <w:rPr>
          <w:rFonts w:hint="eastAsia" w:ascii="宋体" w:hAnsi="宋体" w:eastAsia="宋体" w:cs="宋体"/>
          <w:color w:val="auto"/>
          <w:sz w:val="24"/>
          <w:lang w:val="en-US" w:eastAsia="zh-CN"/>
        </w:rPr>
        <w:t>我国各地方针对区域独特的经济政策、地理区位等特点，正在开展诸多有益的尝试，例如</w:t>
      </w:r>
      <w:r>
        <w:rPr>
          <w:rFonts w:hint="eastAsia" w:ascii="宋体" w:hAnsi="宋体" w:eastAsia="宋体" w:cs="宋体"/>
          <w:color w:val="auto"/>
          <w:sz w:val="24"/>
        </w:rPr>
        <w:t>《海南省大数据开发应用条例》</w:t>
      </w:r>
      <w:r>
        <w:rPr>
          <w:rFonts w:hint="eastAsia" w:ascii="宋体" w:hAnsi="宋体" w:eastAsia="宋体" w:cs="宋体"/>
          <w:color w:val="auto"/>
          <w:sz w:val="24"/>
          <w:lang w:val="en-US" w:eastAsia="zh-CN"/>
        </w:rPr>
        <w:t>明确指出</w:t>
      </w:r>
      <w:r>
        <w:rPr>
          <w:rFonts w:hint="eastAsia" w:ascii="宋体" w:hAnsi="宋体" w:eastAsia="宋体" w:cs="宋体"/>
          <w:color w:val="auto"/>
          <w:sz w:val="24"/>
        </w:rPr>
        <w:t>大数据</w:t>
      </w:r>
      <w:r>
        <w:rPr>
          <w:rFonts w:hint="eastAsia" w:ascii="宋体" w:hAnsi="宋体" w:eastAsia="宋体" w:cs="宋体"/>
          <w:color w:val="auto"/>
          <w:sz w:val="24"/>
          <w:lang w:val="en-US" w:eastAsia="zh-CN"/>
        </w:rPr>
        <w:t>应有益于</w:t>
      </w:r>
      <w:r>
        <w:rPr>
          <w:rFonts w:hint="eastAsia" w:ascii="宋体" w:hAnsi="宋体" w:eastAsia="宋体" w:cs="宋体"/>
          <w:color w:val="auto"/>
          <w:sz w:val="24"/>
        </w:rPr>
        <w:t>海南自贸区、自贸港</w:t>
      </w:r>
      <w:r>
        <w:rPr>
          <w:rFonts w:hint="eastAsia" w:ascii="宋体" w:hAnsi="宋体" w:eastAsia="宋体" w:cs="宋体"/>
          <w:color w:val="auto"/>
          <w:sz w:val="24"/>
          <w:lang w:val="en-US" w:eastAsia="zh-CN"/>
        </w:rPr>
        <w:t>的</w:t>
      </w:r>
      <w:r>
        <w:rPr>
          <w:rFonts w:hint="eastAsia" w:ascii="宋体" w:hAnsi="宋体" w:eastAsia="宋体" w:cs="宋体"/>
          <w:color w:val="auto"/>
          <w:sz w:val="24"/>
        </w:rPr>
        <w:t>建设</w:t>
      </w:r>
      <w:r>
        <w:rPr>
          <w:rFonts w:hint="eastAsia" w:ascii="宋体" w:hAnsi="宋体" w:eastAsia="宋体" w:cs="宋体"/>
          <w:color w:val="auto"/>
          <w:sz w:val="24"/>
          <w:lang w:eastAsia="zh-CN"/>
        </w:rPr>
        <w:t>；</w:t>
      </w:r>
      <w:r>
        <w:rPr>
          <w:rFonts w:hint="eastAsia" w:ascii="宋体" w:hAnsi="宋体" w:eastAsia="宋体" w:cs="宋体"/>
          <w:color w:val="auto"/>
          <w:sz w:val="24"/>
        </w:rPr>
        <w:t>《上海市数据条例》</w:t>
      </w:r>
      <w:r>
        <w:rPr>
          <w:rFonts w:hint="eastAsia" w:ascii="宋体" w:hAnsi="宋体" w:eastAsia="宋体" w:cs="宋体"/>
          <w:color w:val="auto"/>
          <w:sz w:val="24"/>
          <w:lang w:val="en-US" w:eastAsia="zh-CN"/>
        </w:rPr>
        <w:t>也提出要依托好“</w:t>
      </w:r>
      <w:r>
        <w:rPr>
          <w:rFonts w:hint="eastAsia" w:ascii="宋体" w:hAnsi="宋体" w:eastAsia="宋体" w:cs="宋体"/>
          <w:color w:val="auto"/>
          <w:sz w:val="24"/>
        </w:rPr>
        <w:t>上海自由贸易试验区临港新片区</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的平台，</w:t>
      </w:r>
      <w:r>
        <w:rPr>
          <w:rFonts w:hint="eastAsia" w:ascii="宋体" w:hAnsi="宋体" w:eastAsia="宋体" w:cs="宋体"/>
          <w:color w:val="auto"/>
          <w:sz w:val="24"/>
        </w:rPr>
        <w:t>打造</w:t>
      </w:r>
      <w:r>
        <w:rPr>
          <w:rFonts w:hint="eastAsia" w:ascii="宋体" w:hAnsi="宋体" w:eastAsia="宋体" w:cs="宋体"/>
          <w:color w:val="auto"/>
          <w:sz w:val="24"/>
          <w:lang w:val="en-US" w:eastAsia="zh-CN"/>
        </w:rPr>
        <w:t>中国式大数据</w:t>
      </w:r>
      <w:r>
        <w:rPr>
          <w:rFonts w:hint="eastAsia" w:ascii="宋体" w:hAnsi="宋体" w:eastAsia="宋体" w:cs="宋体"/>
          <w:color w:val="auto"/>
          <w:sz w:val="24"/>
        </w:rPr>
        <w:t>现代化建设引领区</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另外《重庆市数据条例》《安徽省大数据发展条例》在区域协同方面，分别就“川渝”和“长三角”地区的协调发展作数据标准一体化建设。总之，地方数据立法必须立足于本地区的经济社会发展水平，充分调研分析本地区的产业结构及增长方式、基础设施建设水平、地区发展的比较优势、经济发展要素差异等。</w:t>
      </w:r>
    </w:p>
    <w:p w14:paraId="2C1D5CEF">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outlineLvl w:val="2"/>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2. 作为经济法：地方数据立法同时具有统一性</w:t>
      </w:r>
    </w:p>
    <w:p w14:paraId="49A01D12">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color w:val="auto"/>
          <w:sz w:val="24"/>
          <w:lang w:val="en-US" w:eastAsia="zh-CN"/>
        </w:rPr>
        <w:t>有学者对世界上二十个主要的联邦制国家或国家联盟的不同法律领域的“法制统一”程度进行排名，排名越靠前的法律领域，地方（州）立法与中央（联邦）立法的同质化程度就越高（见表4）。</w:t>
      </w:r>
      <w:r>
        <w:rPr>
          <w:rStyle w:val="17"/>
          <w:rFonts w:hint="default" w:ascii="Calibri" w:hAnsi="Calibri" w:eastAsia="宋体" w:cs="Calibri"/>
          <w:b w:val="0"/>
          <w:bCs w:val="0"/>
          <w:color w:val="auto"/>
          <w:sz w:val="24"/>
          <w:szCs w:val="24"/>
          <w:lang w:val="en-US" w:eastAsia="zh-CN"/>
        </w:rPr>
        <w:footnoteReference w:id="42"/>
      </w:r>
      <w:r>
        <w:rPr>
          <w:rFonts w:hint="eastAsia" w:ascii="宋体" w:hAnsi="宋体" w:eastAsia="宋体" w:cs="宋体"/>
          <w:color w:val="auto"/>
          <w:sz w:val="24"/>
          <w:lang w:val="en-US" w:eastAsia="zh-CN"/>
        </w:rPr>
        <w:t>这说明即便在权力高度分化的联邦制政体，经济类立法权仍然普遍由中央立法机关掌握，而行政管理法、行政程序法和教育类法律普遍异质性程度较高。因而不同于其他高度分散化的法律领域，数据立法被视为是推动数字经济更好服务和融入新发展格局的必然要求。这是因为，不仅数据本身的产权、加工权、经营权，以及数据作为生产要素的属性都属于中央立法的法律保留范畴；而且全国统一大市场建设要求的“统一流通体系”“统一监管体系”“统一竞争标准”，必然也需要“统一的法律法规体系”的制度支撑，否则将大为削弱中央政府的经济调节功能。域外经验表明，在未对经济事务实行强制管制的印度，地方政府大量的“放牧”式经济管理导致了蔓延全国的财政赤字。而在俄罗斯，由于地方政府的大规模分权，自身逐步被地方寡头俘获。</w:t>
      </w:r>
      <w:r>
        <w:rPr>
          <w:rStyle w:val="17"/>
          <w:rFonts w:hint="default" w:ascii="Calibri" w:hAnsi="Calibri" w:eastAsia="宋体" w:cs="Calibri"/>
          <w:color w:val="auto"/>
          <w:sz w:val="24"/>
          <w:szCs w:val="24"/>
          <w:lang w:val="en-US" w:eastAsia="zh-CN"/>
        </w:rPr>
        <w:footnoteReference w:id="43"/>
      </w:r>
      <w:r>
        <w:rPr>
          <w:rFonts w:hint="eastAsia" w:ascii="宋体" w:hAnsi="宋体" w:eastAsia="宋体" w:cs="宋体"/>
          <w:color w:val="auto"/>
          <w:sz w:val="24"/>
          <w:lang w:val="en-US" w:eastAsia="zh-CN"/>
        </w:rPr>
        <w:t>实践中，数字经济浪潮下国内不同地区、群体、产业部门之间发展不平衡，利益纠纷特征明显。数据市场被视为全国统一大市场有机组成部分的现状，决定了各地数据立法的同质性需求相较于非“市场经济类”法律法规也将更为显著。</w:t>
      </w:r>
    </w:p>
    <w:p w14:paraId="1A596981">
      <w:pPr>
        <w:keepNext w:val="0"/>
        <w:pageBreakBefore w:val="0"/>
        <w:kinsoku/>
        <w:wordWrap/>
        <w:overflowPunct/>
        <w:topLinePunct w:val="0"/>
        <w:autoSpaceDE/>
        <w:autoSpaceDN/>
        <w:bidi w:val="0"/>
        <w:adjustRightInd/>
        <w:snapToGrid w:val="0"/>
        <w:spacing w:line="360" w:lineRule="auto"/>
        <w:jc w:val="center"/>
        <w:textAlignment w:val="auto"/>
        <w:rPr>
          <w:rFonts w:hint="default"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表4  20个联邦制国家不同法律领域的同质化程度排名</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960D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12" w:space="0"/>
              <w:left w:val="nil"/>
              <w:right w:val="nil"/>
            </w:tcBorders>
            <w:noWrap w:val="0"/>
            <w:vAlign w:val="top"/>
          </w:tcPr>
          <w:p w14:paraId="26E9C97C">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法律领域</w:t>
            </w:r>
          </w:p>
        </w:tc>
        <w:tc>
          <w:tcPr>
            <w:tcW w:w="4261" w:type="dxa"/>
            <w:tcBorders>
              <w:top w:val="single" w:color="auto" w:sz="12" w:space="0"/>
              <w:left w:val="nil"/>
              <w:right w:val="nil"/>
            </w:tcBorders>
            <w:noWrap w:val="0"/>
            <w:vAlign w:val="top"/>
          </w:tcPr>
          <w:p w14:paraId="2481971F">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同质化程度排名</w:t>
            </w:r>
          </w:p>
        </w:tc>
      </w:tr>
      <w:tr w14:paraId="35C7A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left w:val="nil"/>
              <w:bottom w:val="nil"/>
              <w:right w:val="nil"/>
            </w:tcBorders>
            <w:noWrap w:val="0"/>
            <w:vAlign w:val="top"/>
          </w:tcPr>
          <w:p w14:paraId="7949B5DD">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黑体" w:hAnsi="黑体" w:eastAsia="黑体" w:cs="黑体"/>
                <w:b w:val="0"/>
                <w:bCs w:val="0"/>
                <w:color w:val="auto"/>
                <w:sz w:val="24"/>
                <w:vertAlign w:val="baseline"/>
                <w:lang w:val="en-US" w:eastAsia="zh-CN"/>
              </w:rPr>
            </w:pPr>
            <w:r>
              <w:rPr>
                <w:rFonts w:hint="eastAsia" w:ascii="宋体" w:hAnsi="宋体" w:eastAsia="宋体" w:cs="宋体"/>
                <w:b w:val="0"/>
                <w:bCs w:val="0"/>
                <w:color w:val="auto"/>
                <w:sz w:val="21"/>
                <w:szCs w:val="21"/>
                <w:lang w:val="en-US" w:eastAsia="zh-CN"/>
              </w:rPr>
              <w:t>市场交易法</w:t>
            </w:r>
          </w:p>
        </w:tc>
        <w:tc>
          <w:tcPr>
            <w:tcW w:w="4261" w:type="dxa"/>
            <w:tcBorders>
              <w:left w:val="nil"/>
              <w:bottom w:val="nil"/>
              <w:right w:val="nil"/>
            </w:tcBorders>
            <w:noWrap w:val="0"/>
            <w:vAlign w:val="top"/>
          </w:tcPr>
          <w:p w14:paraId="6B191DA0">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eastAsia="黑体" w:cs="Times New Roman"/>
                <w:b w:val="0"/>
                <w:bCs w:val="0"/>
                <w:color w:val="auto"/>
                <w:sz w:val="24"/>
                <w:vertAlign w:val="baseline"/>
                <w:lang w:val="en-US" w:eastAsia="zh-CN"/>
              </w:rPr>
            </w:pPr>
            <w:r>
              <w:rPr>
                <w:rFonts w:hint="default" w:ascii="Times New Roman" w:hAnsi="Times New Roman" w:eastAsia="黑体" w:cs="Times New Roman"/>
                <w:b w:val="0"/>
                <w:bCs w:val="0"/>
                <w:color w:val="auto"/>
                <w:sz w:val="24"/>
                <w:vertAlign w:val="baseline"/>
                <w:lang w:val="en-US" w:eastAsia="zh-CN"/>
              </w:rPr>
              <w:t>1</w:t>
            </w:r>
          </w:p>
        </w:tc>
      </w:tr>
      <w:tr w14:paraId="72804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noWrap w:val="0"/>
            <w:vAlign w:val="top"/>
          </w:tcPr>
          <w:p w14:paraId="55ABD4BE">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黑体" w:hAnsi="黑体" w:eastAsia="黑体" w:cs="黑体"/>
                <w:b w:val="0"/>
                <w:bCs w:val="0"/>
                <w:color w:val="auto"/>
                <w:sz w:val="24"/>
                <w:vertAlign w:val="baseline"/>
                <w:lang w:val="en-US" w:eastAsia="zh-CN"/>
              </w:rPr>
            </w:pPr>
            <w:r>
              <w:rPr>
                <w:rFonts w:hint="eastAsia" w:ascii="宋体" w:hAnsi="宋体" w:eastAsia="宋体" w:cs="宋体"/>
                <w:b w:val="0"/>
                <w:bCs w:val="0"/>
                <w:color w:val="auto"/>
                <w:sz w:val="21"/>
                <w:szCs w:val="21"/>
                <w:lang w:val="en-US" w:eastAsia="zh-CN"/>
              </w:rPr>
              <w:t>宪法性法律</w:t>
            </w:r>
          </w:p>
        </w:tc>
        <w:tc>
          <w:tcPr>
            <w:tcW w:w="4261" w:type="dxa"/>
            <w:tcBorders>
              <w:top w:val="nil"/>
              <w:left w:val="nil"/>
              <w:bottom w:val="nil"/>
              <w:right w:val="nil"/>
            </w:tcBorders>
            <w:noWrap w:val="0"/>
            <w:vAlign w:val="top"/>
          </w:tcPr>
          <w:p w14:paraId="437F9590">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eastAsia="黑体" w:cs="Times New Roman"/>
                <w:b w:val="0"/>
                <w:bCs w:val="0"/>
                <w:color w:val="auto"/>
                <w:sz w:val="24"/>
                <w:vertAlign w:val="baseline"/>
                <w:lang w:val="en-US" w:eastAsia="zh-CN"/>
              </w:rPr>
            </w:pPr>
            <w:r>
              <w:rPr>
                <w:rFonts w:hint="default" w:ascii="Times New Roman" w:hAnsi="Times New Roman" w:eastAsia="黑体" w:cs="Times New Roman"/>
                <w:b w:val="0"/>
                <w:bCs w:val="0"/>
                <w:color w:val="auto"/>
                <w:sz w:val="24"/>
                <w:vertAlign w:val="baseline"/>
                <w:lang w:val="en-US" w:eastAsia="zh-CN"/>
              </w:rPr>
              <w:t>2</w:t>
            </w:r>
          </w:p>
        </w:tc>
      </w:tr>
      <w:tr w14:paraId="3CC62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noWrap w:val="0"/>
            <w:vAlign w:val="top"/>
          </w:tcPr>
          <w:p w14:paraId="7A6C8E19">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黑体" w:hAnsi="黑体" w:eastAsia="黑体" w:cs="黑体"/>
                <w:b w:val="0"/>
                <w:bCs w:val="0"/>
                <w:color w:val="auto"/>
                <w:sz w:val="24"/>
                <w:vertAlign w:val="baseline"/>
                <w:lang w:val="en-US" w:eastAsia="zh-CN"/>
              </w:rPr>
            </w:pPr>
            <w:r>
              <w:rPr>
                <w:rFonts w:hint="eastAsia" w:ascii="宋体" w:hAnsi="宋体" w:eastAsia="宋体" w:cs="宋体"/>
                <w:b w:val="0"/>
                <w:bCs w:val="0"/>
                <w:color w:val="auto"/>
                <w:sz w:val="21"/>
                <w:szCs w:val="21"/>
                <w:lang w:val="en-US" w:eastAsia="zh-CN"/>
              </w:rPr>
              <w:t>一般民事法律</w:t>
            </w:r>
          </w:p>
        </w:tc>
        <w:tc>
          <w:tcPr>
            <w:tcW w:w="4261" w:type="dxa"/>
            <w:tcBorders>
              <w:top w:val="nil"/>
              <w:left w:val="nil"/>
              <w:bottom w:val="nil"/>
              <w:right w:val="nil"/>
            </w:tcBorders>
            <w:noWrap w:val="0"/>
            <w:vAlign w:val="top"/>
          </w:tcPr>
          <w:p w14:paraId="4ADD8032">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eastAsia="黑体" w:cs="Times New Roman"/>
                <w:b w:val="0"/>
                <w:bCs w:val="0"/>
                <w:color w:val="auto"/>
                <w:sz w:val="24"/>
                <w:vertAlign w:val="baseline"/>
                <w:lang w:val="en-US" w:eastAsia="zh-CN"/>
              </w:rPr>
            </w:pPr>
            <w:r>
              <w:rPr>
                <w:rFonts w:hint="default" w:ascii="Times New Roman" w:hAnsi="Times New Roman" w:eastAsia="黑体" w:cs="Times New Roman"/>
                <w:b w:val="0"/>
                <w:bCs w:val="0"/>
                <w:color w:val="auto"/>
                <w:sz w:val="24"/>
                <w:vertAlign w:val="baseline"/>
                <w:lang w:val="en-US" w:eastAsia="zh-CN"/>
              </w:rPr>
              <w:t>3</w:t>
            </w:r>
          </w:p>
        </w:tc>
      </w:tr>
      <w:tr w14:paraId="69E13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tcBorders>
              <w:top w:val="nil"/>
              <w:left w:val="nil"/>
              <w:bottom w:val="nil"/>
              <w:right w:val="nil"/>
            </w:tcBorders>
            <w:noWrap w:val="0"/>
            <w:vAlign w:val="top"/>
          </w:tcPr>
          <w:p w14:paraId="26EF91A3">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刑法</w:t>
            </w:r>
          </w:p>
        </w:tc>
        <w:tc>
          <w:tcPr>
            <w:tcW w:w="4261" w:type="dxa"/>
            <w:tcBorders>
              <w:top w:val="nil"/>
              <w:left w:val="nil"/>
              <w:bottom w:val="nil"/>
              <w:right w:val="nil"/>
            </w:tcBorders>
            <w:noWrap w:val="0"/>
            <w:vAlign w:val="top"/>
          </w:tcPr>
          <w:p w14:paraId="1150A586">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eastAsia="黑体" w:cs="Times New Roman"/>
                <w:b w:val="0"/>
                <w:bCs w:val="0"/>
                <w:color w:val="auto"/>
                <w:sz w:val="24"/>
                <w:vertAlign w:val="baseline"/>
                <w:lang w:val="en-US" w:eastAsia="zh-CN"/>
              </w:rPr>
            </w:pPr>
            <w:r>
              <w:rPr>
                <w:rFonts w:hint="default" w:ascii="Times New Roman" w:hAnsi="Times New Roman" w:eastAsia="黑体" w:cs="Times New Roman"/>
                <w:b w:val="0"/>
                <w:bCs w:val="0"/>
                <w:color w:val="auto"/>
                <w:sz w:val="24"/>
                <w:vertAlign w:val="baseline"/>
                <w:lang w:val="en-US" w:eastAsia="zh-CN"/>
              </w:rPr>
              <w:t>4</w:t>
            </w:r>
          </w:p>
        </w:tc>
      </w:tr>
      <w:tr w14:paraId="4744B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noWrap w:val="0"/>
            <w:vAlign w:val="top"/>
          </w:tcPr>
          <w:p w14:paraId="0672582A">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国际私法</w:t>
            </w:r>
          </w:p>
        </w:tc>
        <w:tc>
          <w:tcPr>
            <w:tcW w:w="4261" w:type="dxa"/>
            <w:tcBorders>
              <w:top w:val="nil"/>
              <w:left w:val="nil"/>
              <w:bottom w:val="nil"/>
              <w:right w:val="nil"/>
            </w:tcBorders>
            <w:noWrap w:val="0"/>
            <w:vAlign w:val="top"/>
          </w:tcPr>
          <w:p w14:paraId="1699D431">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eastAsia="黑体" w:cs="Times New Roman"/>
                <w:b w:val="0"/>
                <w:bCs w:val="0"/>
                <w:color w:val="auto"/>
                <w:sz w:val="24"/>
                <w:vertAlign w:val="baseline"/>
                <w:lang w:val="en-US" w:eastAsia="zh-CN"/>
              </w:rPr>
            </w:pPr>
            <w:r>
              <w:rPr>
                <w:rFonts w:hint="default" w:ascii="Times New Roman" w:hAnsi="Times New Roman" w:eastAsia="黑体" w:cs="Times New Roman"/>
                <w:b w:val="0"/>
                <w:bCs w:val="0"/>
                <w:color w:val="auto"/>
                <w:sz w:val="24"/>
                <w:vertAlign w:val="baseline"/>
                <w:lang w:val="en-US" w:eastAsia="zh-CN"/>
              </w:rPr>
              <w:t>5</w:t>
            </w:r>
          </w:p>
        </w:tc>
      </w:tr>
      <w:tr w14:paraId="5C99D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noWrap w:val="0"/>
            <w:vAlign w:val="top"/>
          </w:tcPr>
          <w:p w14:paraId="04CDBA38">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诉讼法</w:t>
            </w:r>
          </w:p>
        </w:tc>
        <w:tc>
          <w:tcPr>
            <w:tcW w:w="4261" w:type="dxa"/>
            <w:tcBorders>
              <w:top w:val="nil"/>
              <w:left w:val="nil"/>
              <w:bottom w:val="nil"/>
              <w:right w:val="nil"/>
            </w:tcBorders>
            <w:noWrap w:val="0"/>
            <w:vAlign w:val="top"/>
          </w:tcPr>
          <w:p w14:paraId="334329B3">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eastAsia="黑体" w:cs="Times New Roman"/>
                <w:b w:val="0"/>
                <w:bCs w:val="0"/>
                <w:color w:val="auto"/>
                <w:sz w:val="24"/>
                <w:vertAlign w:val="baseline"/>
                <w:lang w:val="en-US" w:eastAsia="zh-CN"/>
              </w:rPr>
            </w:pPr>
            <w:r>
              <w:rPr>
                <w:rFonts w:hint="default" w:ascii="Times New Roman" w:hAnsi="Times New Roman" w:eastAsia="黑体" w:cs="Times New Roman"/>
                <w:b w:val="0"/>
                <w:bCs w:val="0"/>
                <w:color w:val="auto"/>
                <w:sz w:val="24"/>
                <w:vertAlign w:val="baseline"/>
                <w:lang w:val="en-US" w:eastAsia="zh-CN"/>
              </w:rPr>
              <w:t>6</w:t>
            </w:r>
          </w:p>
        </w:tc>
      </w:tr>
      <w:tr w14:paraId="60430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noWrap w:val="0"/>
            <w:vAlign w:val="top"/>
          </w:tcPr>
          <w:p w14:paraId="4A650CBA">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家庭与继承法</w:t>
            </w:r>
          </w:p>
        </w:tc>
        <w:tc>
          <w:tcPr>
            <w:tcW w:w="4261" w:type="dxa"/>
            <w:tcBorders>
              <w:top w:val="nil"/>
              <w:left w:val="nil"/>
              <w:bottom w:val="nil"/>
              <w:right w:val="nil"/>
            </w:tcBorders>
            <w:noWrap w:val="0"/>
            <w:vAlign w:val="top"/>
          </w:tcPr>
          <w:p w14:paraId="26DA364F">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eastAsia="黑体" w:cs="Times New Roman"/>
                <w:b w:val="0"/>
                <w:bCs w:val="0"/>
                <w:color w:val="auto"/>
                <w:sz w:val="24"/>
                <w:vertAlign w:val="baseline"/>
                <w:lang w:val="en-US" w:eastAsia="zh-CN"/>
              </w:rPr>
            </w:pPr>
            <w:r>
              <w:rPr>
                <w:rFonts w:hint="default" w:ascii="Times New Roman" w:hAnsi="Times New Roman" w:eastAsia="黑体" w:cs="Times New Roman"/>
                <w:b w:val="0"/>
                <w:bCs w:val="0"/>
                <w:color w:val="auto"/>
                <w:sz w:val="24"/>
                <w:vertAlign w:val="baseline"/>
                <w:lang w:val="en-US" w:eastAsia="zh-CN"/>
              </w:rPr>
              <w:t>7</w:t>
            </w:r>
          </w:p>
        </w:tc>
      </w:tr>
      <w:tr w14:paraId="2A7A8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noWrap w:val="0"/>
            <w:vAlign w:val="top"/>
          </w:tcPr>
          <w:p w14:paraId="4450CF83">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税法</w:t>
            </w:r>
          </w:p>
        </w:tc>
        <w:tc>
          <w:tcPr>
            <w:tcW w:w="4261" w:type="dxa"/>
            <w:tcBorders>
              <w:top w:val="nil"/>
              <w:left w:val="nil"/>
              <w:bottom w:val="nil"/>
              <w:right w:val="nil"/>
            </w:tcBorders>
            <w:noWrap w:val="0"/>
            <w:vAlign w:val="top"/>
          </w:tcPr>
          <w:p w14:paraId="1BF9ACD8">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eastAsia="黑体" w:cs="Times New Roman"/>
                <w:b w:val="0"/>
                <w:bCs w:val="0"/>
                <w:color w:val="auto"/>
                <w:sz w:val="24"/>
                <w:vertAlign w:val="baseline"/>
                <w:lang w:val="en-US" w:eastAsia="zh-CN"/>
              </w:rPr>
            </w:pPr>
            <w:r>
              <w:rPr>
                <w:rFonts w:hint="default" w:ascii="Times New Roman" w:hAnsi="Times New Roman" w:eastAsia="黑体" w:cs="Times New Roman"/>
                <w:b w:val="0"/>
                <w:bCs w:val="0"/>
                <w:color w:val="auto"/>
                <w:sz w:val="24"/>
                <w:vertAlign w:val="baseline"/>
                <w:lang w:val="en-US" w:eastAsia="zh-CN"/>
              </w:rPr>
              <w:t>8</w:t>
            </w:r>
          </w:p>
        </w:tc>
      </w:tr>
      <w:tr w14:paraId="1D343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noWrap w:val="0"/>
            <w:vAlign w:val="top"/>
          </w:tcPr>
          <w:p w14:paraId="20CAC405">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行政程序法</w:t>
            </w:r>
          </w:p>
        </w:tc>
        <w:tc>
          <w:tcPr>
            <w:tcW w:w="4261" w:type="dxa"/>
            <w:tcBorders>
              <w:top w:val="nil"/>
              <w:left w:val="nil"/>
              <w:bottom w:val="nil"/>
              <w:right w:val="nil"/>
            </w:tcBorders>
            <w:noWrap w:val="0"/>
            <w:vAlign w:val="top"/>
          </w:tcPr>
          <w:p w14:paraId="0340B71E">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eastAsia="黑体" w:cs="Times New Roman"/>
                <w:b w:val="0"/>
                <w:bCs w:val="0"/>
                <w:color w:val="auto"/>
                <w:sz w:val="24"/>
                <w:vertAlign w:val="baseline"/>
                <w:lang w:val="en-US" w:eastAsia="zh-CN"/>
              </w:rPr>
            </w:pPr>
            <w:r>
              <w:rPr>
                <w:rFonts w:hint="default" w:ascii="Times New Roman" w:hAnsi="Times New Roman" w:eastAsia="黑体" w:cs="Times New Roman"/>
                <w:b w:val="0"/>
                <w:bCs w:val="0"/>
                <w:color w:val="auto"/>
                <w:sz w:val="24"/>
                <w:vertAlign w:val="baseline"/>
                <w:lang w:val="en-US" w:eastAsia="zh-CN"/>
              </w:rPr>
              <w:t>9</w:t>
            </w:r>
          </w:p>
        </w:tc>
      </w:tr>
      <w:tr w14:paraId="71E53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noWrap w:val="0"/>
            <w:vAlign w:val="top"/>
          </w:tcPr>
          <w:p w14:paraId="00B3AA12">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教育法</w:t>
            </w:r>
          </w:p>
        </w:tc>
        <w:tc>
          <w:tcPr>
            <w:tcW w:w="4261" w:type="dxa"/>
            <w:tcBorders>
              <w:top w:val="nil"/>
              <w:left w:val="nil"/>
              <w:bottom w:val="nil"/>
              <w:right w:val="nil"/>
            </w:tcBorders>
            <w:noWrap w:val="0"/>
            <w:vAlign w:val="top"/>
          </w:tcPr>
          <w:p w14:paraId="51112970">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eastAsia="黑体" w:cs="Times New Roman"/>
                <w:b w:val="0"/>
                <w:bCs w:val="0"/>
                <w:color w:val="auto"/>
                <w:sz w:val="24"/>
                <w:vertAlign w:val="baseline"/>
                <w:lang w:val="en-US" w:eastAsia="zh-CN"/>
              </w:rPr>
            </w:pPr>
            <w:r>
              <w:rPr>
                <w:rFonts w:hint="default" w:ascii="Times New Roman" w:hAnsi="Times New Roman" w:eastAsia="黑体" w:cs="Times New Roman"/>
                <w:b w:val="0"/>
                <w:bCs w:val="0"/>
                <w:color w:val="auto"/>
                <w:sz w:val="24"/>
                <w:vertAlign w:val="baseline"/>
                <w:lang w:val="en-US" w:eastAsia="zh-CN"/>
              </w:rPr>
              <w:t>10</w:t>
            </w:r>
          </w:p>
        </w:tc>
      </w:tr>
      <w:tr w14:paraId="660E3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single" w:color="auto" w:sz="12" w:space="0"/>
              <w:right w:val="nil"/>
            </w:tcBorders>
            <w:noWrap w:val="0"/>
            <w:vAlign w:val="top"/>
          </w:tcPr>
          <w:p w14:paraId="35A197B1">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行政管理法</w:t>
            </w:r>
          </w:p>
        </w:tc>
        <w:tc>
          <w:tcPr>
            <w:tcW w:w="4261" w:type="dxa"/>
            <w:tcBorders>
              <w:top w:val="nil"/>
              <w:left w:val="nil"/>
              <w:bottom w:val="single" w:color="auto" w:sz="12" w:space="0"/>
              <w:right w:val="nil"/>
            </w:tcBorders>
            <w:noWrap w:val="0"/>
            <w:vAlign w:val="top"/>
          </w:tcPr>
          <w:p w14:paraId="4387A239">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eastAsia="黑体" w:cs="Times New Roman"/>
                <w:b w:val="0"/>
                <w:bCs w:val="0"/>
                <w:color w:val="auto"/>
                <w:sz w:val="24"/>
                <w:vertAlign w:val="baseline"/>
                <w:lang w:val="en-US" w:eastAsia="zh-CN"/>
              </w:rPr>
            </w:pPr>
            <w:r>
              <w:rPr>
                <w:rFonts w:hint="default" w:ascii="Times New Roman" w:hAnsi="Times New Roman" w:eastAsia="黑体" w:cs="Times New Roman"/>
                <w:b w:val="0"/>
                <w:bCs w:val="0"/>
                <w:color w:val="auto"/>
                <w:sz w:val="24"/>
                <w:vertAlign w:val="baseline"/>
                <w:lang w:val="en-US" w:eastAsia="zh-CN"/>
              </w:rPr>
              <w:t>11</w:t>
            </w:r>
          </w:p>
        </w:tc>
      </w:tr>
      <w:bookmarkEnd w:id="0"/>
      <w:bookmarkEnd w:id="1"/>
    </w:tbl>
    <w:p w14:paraId="13E53A7D">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outlineLvl w:val="2"/>
        <w:rPr>
          <w:rFonts w:hint="default" w:ascii="宋体" w:hAnsi="宋体" w:eastAsia="宋体" w:cs="宋体"/>
          <w:color w:val="auto"/>
          <w:sz w:val="24"/>
          <w:lang w:val="en-US" w:eastAsia="zh-CN"/>
        </w:rPr>
      </w:pPr>
      <w:r>
        <w:rPr>
          <w:rFonts w:hint="default" w:ascii="宋体" w:hAnsi="宋体" w:eastAsia="宋体" w:cs="宋体"/>
          <w:color w:val="auto"/>
          <w:sz w:val="24"/>
          <w:lang w:val="en-US" w:eastAsia="zh-CN"/>
        </w:rPr>
        <w:t>3</w:t>
      </w:r>
      <w:r>
        <w:rPr>
          <w:rFonts w:hint="eastAsia" w:ascii="宋体" w:hAnsi="宋体" w:eastAsia="宋体" w:cs="宋体"/>
          <w:color w:val="auto"/>
          <w:sz w:val="24"/>
          <w:lang w:val="en-US" w:eastAsia="zh-CN"/>
        </w:rPr>
        <w:t>.“法制统一”与“地方差别”对立统一性之确证</w:t>
      </w:r>
    </w:p>
    <w:p w14:paraId="302B5EE4">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outlineLvl w:val="9"/>
        <w:rPr>
          <w:rFonts w:hint="default" w:ascii="黑体" w:hAnsi="黑体" w:eastAsia="黑体" w:cs="黑体"/>
          <w:b w:val="0"/>
          <w:bCs w:val="0"/>
          <w:color w:val="auto"/>
          <w:sz w:val="24"/>
          <w:lang w:val="en-US" w:eastAsia="zh-CN"/>
        </w:rPr>
      </w:pPr>
      <w:r>
        <w:rPr>
          <w:rFonts w:hint="eastAsia" w:ascii="Times New Roman" w:hAnsi="Times New Roman" w:eastAsia="宋体" w:cs="Times New Roman"/>
          <w:color w:val="auto"/>
          <w:sz w:val="24"/>
        </w:rPr>
        <w:t>三权体制是我国政治体制改革的宝贵经验之一，且正处于日臻完善的阶段</w:t>
      </w:r>
      <w:r>
        <w:rPr>
          <w:rFonts w:hint="eastAsia" w:ascii="Times New Roman" w:hAnsi="Times New Roman" w:eastAsia="宋体" w:cs="Times New Roman"/>
          <w:color w:val="auto"/>
          <w:sz w:val="24"/>
          <w:lang w:eastAsia="zh-CN"/>
        </w:rPr>
        <w:t>，</w:t>
      </w:r>
      <w:r>
        <w:rPr>
          <w:rFonts w:hint="eastAsia" w:ascii="Times New Roman" w:hAnsi="Times New Roman" w:eastAsia="宋体" w:cs="Times New Roman"/>
          <w:color w:val="auto"/>
          <w:sz w:val="24"/>
        </w:rPr>
        <w:t>通过把既有体制推倒重来以破解对法制统一盲从的方式，不仅成本过于高昂，也不是“发展的问题要在发展中解决”的应有之义。</w:t>
      </w:r>
      <w:r>
        <w:rPr>
          <w:rFonts w:hint="eastAsia" w:ascii="Times New Roman" w:hAnsi="Times New Roman" w:eastAsia="宋体" w:cs="Times New Roman"/>
          <w:color w:val="auto"/>
          <w:sz w:val="24"/>
          <w:lang w:val="en-US" w:eastAsia="zh-CN"/>
        </w:rPr>
        <w:t>因此</w:t>
      </w:r>
      <w:r>
        <w:rPr>
          <w:rFonts w:hint="eastAsia" w:ascii="Times New Roman" w:hAnsi="Times New Roman" w:eastAsia="宋体" w:cs="Times New Roman"/>
          <w:color w:val="auto"/>
          <w:sz w:val="24"/>
        </w:rPr>
        <w:t>如何解释</w:t>
      </w:r>
      <w:r>
        <w:rPr>
          <w:rFonts w:hint="eastAsia" w:ascii="Times New Roman" w:hAnsi="Times New Roman" w:eastAsia="宋体" w:cs="Times New Roman"/>
          <w:color w:val="auto"/>
          <w:sz w:val="24"/>
          <w:lang w:val="en-US" w:eastAsia="zh-CN"/>
        </w:rPr>
        <w:t>“法制统一”就成为解决</w:t>
      </w:r>
      <w:r>
        <w:rPr>
          <w:rFonts w:hint="eastAsia" w:ascii="Times New Roman" w:hAnsi="Times New Roman" w:eastAsia="宋体" w:cs="Times New Roman"/>
          <w:color w:val="auto"/>
          <w:sz w:val="24"/>
        </w:rPr>
        <w:t>问题</w:t>
      </w:r>
      <w:r>
        <w:rPr>
          <w:rFonts w:hint="eastAsia" w:ascii="Times New Roman" w:hAnsi="Times New Roman" w:eastAsia="宋体" w:cs="Times New Roman"/>
          <w:color w:val="auto"/>
          <w:sz w:val="24"/>
          <w:lang w:val="en-US" w:eastAsia="zh-CN"/>
        </w:rPr>
        <w:t>的</w:t>
      </w:r>
      <w:r>
        <w:rPr>
          <w:rFonts w:hint="eastAsia" w:ascii="Times New Roman" w:hAnsi="Times New Roman" w:eastAsia="宋体" w:cs="Times New Roman"/>
          <w:color w:val="auto"/>
          <w:sz w:val="24"/>
        </w:rPr>
        <w:t>关键。许多学者对</w:t>
      </w:r>
      <w:r>
        <w:rPr>
          <w:rFonts w:hint="eastAsia" w:ascii="Times New Roman" w:hAnsi="Times New Roman" w:eastAsia="宋体" w:cs="Times New Roman"/>
          <w:color w:val="auto"/>
          <w:sz w:val="24"/>
          <w:lang w:val="en-US" w:eastAsia="zh-CN"/>
        </w:rPr>
        <w:t>“法制统一”</w:t>
      </w:r>
      <w:r>
        <w:rPr>
          <w:rFonts w:hint="eastAsia" w:ascii="Times New Roman" w:hAnsi="Times New Roman" w:eastAsia="宋体" w:cs="Times New Roman"/>
          <w:color w:val="auto"/>
          <w:sz w:val="24"/>
        </w:rPr>
        <w:t>的核心要义作出诸多界定，</w:t>
      </w:r>
      <w:r>
        <w:rPr>
          <w:rFonts w:hint="eastAsia" w:ascii="Times New Roman" w:hAnsi="Times New Roman" w:eastAsia="宋体" w:cs="Times New Roman"/>
          <w:color w:val="auto"/>
          <w:sz w:val="24"/>
          <w:lang w:val="en-US" w:eastAsia="zh-CN"/>
        </w:rPr>
        <w:t>最典型的如涉及“中央权威原则”和“市场统一原则”的事项应归于中央立法事务，与政治、经济统一性无关的立法事务下放至较低层级的立法主体。</w:t>
      </w:r>
      <w:r>
        <w:rPr>
          <w:rStyle w:val="17"/>
          <w:rFonts w:hint="default" w:ascii="Calibri" w:hAnsi="Calibri" w:eastAsia="宋体" w:cs="Calibri"/>
          <w:color w:val="auto"/>
          <w:sz w:val="24"/>
          <w:szCs w:val="24"/>
          <w:lang w:val="en-US" w:eastAsia="zh-CN"/>
        </w:rPr>
        <w:footnoteReference w:id="44"/>
      </w:r>
      <w:r>
        <w:rPr>
          <w:rFonts w:hint="eastAsia" w:ascii="Times New Roman" w:hAnsi="Times New Roman" w:eastAsia="宋体" w:cs="Times New Roman"/>
          <w:color w:val="auto"/>
          <w:sz w:val="24"/>
          <w:lang w:val="en-US" w:eastAsia="zh-CN"/>
        </w:rPr>
        <w:t>然而</w:t>
      </w:r>
      <w:r>
        <w:rPr>
          <w:rFonts w:hint="eastAsia" w:ascii="Times New Roman" w:hAnsi="Times New Roman" w:eastAsia="宋体" w:cs="Times New Roman"/>
          <w:color w:val="auto"/>
          <w:sz w:val="24"/>
        </w:rPr>
        <w:t>这种“贴标签”的做法，</w:t>
      </w:r>
      <w:r>
        <w:rPr>
          <w:rFonts w:hint="eastAsia" w:ascii="Times New Roman" w:hAnsi="Times New Roman" w:eastAsia="宋体" w:cs="Times New Roman"/>
          <w:color w:val="auto"/>
          <w:sz w:val="24"/>
          <w:lang w:val="en-US" w:eastAsia="zh-CN"/>
        </w:rPr>
        <w:t>不仅</w:t>
      </w:r>
      <w:r>
        <w:rPr>
          <w:rFonts w:hint="eastAsia" w:ascii="Times New Roman" w:hAnsi="Times New Roman" w:eastAsia="宋体" w:cs="Times New Roman"/>
          <w:color w:val="auto"/>
          <w:sz w:val="24"/>
        </w:rPr>
        <w:t>等于间接限缩了法制统一的内涵与外延</w:t>
      </w:r>
      <w:r>
        <w:rPr>
          <w:rFonts w:hint="eastAsia" w:ascii="Times New Roman" w:hAnsi="Times New Roman" w:eastAsia="宋体" w:cs="Times New Roman"/>
          <w:color w:val="auto"/>
          <w:sz w:val="24"/>
          <w:lang w:eastAsia="zh-CN"/>
        </w:rPr>
        <w:t>，</w:t>
      </w:r>
      <w:r>
        <w:rPr>
          <w:rFonts w:hint="eastAsia" w:ascii="Times New Roman" w:hAnsi="Times New Roman" w:eastAsia="宋体" w:cs="Times New Roman"/>
          <w:color w:val="auto"/>
          <w:sz w:val="24"/>
          <w:lang w:val="en-US" w:eastAsia="zh-CN"/>
        </w:rPr>
        <w:t>造成</w:t>
      </w:r>
      <w:r>
        <w:rPr>
          <w:rFonts w:hint="eastAsia" w:ascii="Times New Roman" w:hAnsi="Times New Roman" w:eastAsia="宋体" w:cs="Times New Roman"/>
          <w:color w:val="auto"/>
          <w:sz w:val="24"/>
        </w:rPr>
        <w:t>即使是鼓励地方创新的本意异化为抵制创新</w:t>
      </w:r>
      <w:r>
        <w:rPr>
          <w:rFonts w:hint="eastAsia" w:ascii="Times New Roman" w:hAnsi="Times New Roman" w:eastAsia="宋体" w:cs="Times New Roman"/>
          <w:color w:val="auto"/>
          <w:sz w:val="24"/>
          <w:lang w:eastAsia="zh-CN"/>
        </w:rPr>
        <w:t>，</w:t>
      </w:r>
      <w:r>
        <w:rPr>
          <w:rFonts w:hint="eastAsia" w:ascii="Times New Roman" w:hAnsi="Times New Roman" w:eastAsia="宋体" w:cs="Times New Roman"/>
          <w:color w:val="auto"/>
          <w:sz w:val="24"/>
          <w:lang w:val="en-US" w:eastAsia="zh-CN"/>
        </w:rPr>
        <w:t>而且在遭遇中央立法事项与地方立法事项发生竞合的情况时，这种交叉糅合往往也令以上两个原则无所适从。</w:t>
      </w:r>
      <w:r>
        <w:rPr>
          <w:rStyle w:val="17"/>
          <w:rFonts w:hint="default" w:ascii="Calibri" w:hAnsi="Calibri" w:eastAsia="宋体" w:cs="Calibri"/>
          <w:color w:val="auto"/>
          <w:sz w:val="24"/>
          <w:szCs w:val="24"/>
          <w:lang w:val="en-US" w:eastAsia="zh-CN"/>
        </w:rPr>
        <w:footnoteReference w:id="45"/>
      </w:r>
      <w:r>
        <w:rPr>
          <w:rFonts w:hint="eastAsia" w:ascii="Times New Roman" w:hAnsi="Times New Roman" w:eastAsia="宋体" w:cs="Times New Roman"/>
          <w:color w:val="auto"/>
          <w:sz w:val="24"/>
        </w:rPr>
        <w:t>法制统一与地方法创新之间的矛盾纾解，症结在于部分地方立法机关并未正确认识“</w:t>
      </w:r>
      <w:r>
        <w:rPr>
          <w:rFonts w:hint="eastAsia" w:ascii="Times New Roman" w:hAnsi="Times New Roman" w:eastAsia="宋体" w:cs="Times New Roman"/>
          <w:color w:val="auto"/>
          <w:sz w:val="24"/>
          <w:lang w:val="en-US" w:eastAsia="zh-CN"/>
        </w:rPr>
        <w:t>法制</w:t>
      </w:r>
      <w:r>
        <w:rPr>
          <w:rFonts w:hint="eastAsia" w:ascii="Times New Roman" w:hAnsi="Times New Roman" w:eastAsia="宋体" w:cs="Times New Roman"/>
          <w:color w:val="auto"/>
          <w:sz w:val="24"/>
        </w:rPr>
        <w:t>统一”与</w:t>
      </w:r>
      <w:r>
        <w:rPr>
          <w:rFonts w:hint="eastAsia" w:ascii="Times New Roman" w:hAnsi="Times New Roman" w:eastAsia="宋体" w:cs="Times New Roman"/>
          <w:color w:val="auto"/>
          <w:sz w:val="24"/>
          <w:lang w:eastAsia="zh-CN"/>
        </w:rPr>
        <w:t>“</w:t>
      </w:r>
      <w:r>
        <w:rPr>
          <w:rFonts w:hint="eastAsia" w:ascii="Times New Roman" w:hAnsi="Times New Roman" w:eastAsia="宋体" w:cs="Times New Roman"/>
          <w:color w:val="auto"/>
          <w:sz w:val="24"/>
        </w:rPr>
        <w:t>法制差异”。从文义上</w:t>
      </w:r>
      <w:r>
        <w:rPr>
          <w:rFonts w:hint="eastAsia" w:ascii="Times New Roman" w:hAnsi="Times New Roman" w:eastAsia="宋体" w:cs="Times New Roman"/>
          <w:color w:val="auto"/>
          <w:sz w:val="24"/>
          <w:lang w:val="en-US" w:eastAsia="zh-CN"/>
        </w:rPr>
        <w:t>看</w:t>
      </w:r>
      <w:r>
        <w:rPr>
          <w:rFonts w:hint="eastAsia" w:ascii="Times New Roman" w:hAnsi="Times New Roman" w:eastAsia="宋体" w:cs="Times New Roman"/>
          <w:color w:val="auto"/>
          <w:sz w:val="24"/>
        </w:rPr>
        <w:t>，法制统一以法制差异为前提，没有地方差别，就没有法制统一，两者是对立统一的关系</w:t>
      </w:r>
      <w:r>
        <w:rPr>
          <w:rFonts w:hint="eastAsia" w:ascii="Times New Roman" w:hAnsi="Times New Roman" w:eastAsia="宋体" w:cs="Times New Roman"/>
          <w:color w:val="auto"/>
          <w:sz w:val="24"/>
          <w:lang w:eastAsia="zh-CN"/>
        </w:rPr>
        <w:t>。</w:t>
      </w:r>
      <w:r>
        <w:rPr>
          <w:rFonts w:hint="eastAsia" w:ascii="Times New Roman" w:hAnsi="Times New Roman" w:eastAsia="宋体" w:cs="Times New Roman"/>
          <w:color w:val="auto"/>
          <w:sz w:val="24"/>
        </w:rPr>
        <w:t>通过消灭地方差别以实现中央立法的权威，在经济性和效用性上既不可欲也不可能。众所周知，市场经济与民主政治以承认差异为前提。</w:t>
      </w:r>
      <w:r>
        <w:rPr>
          <w:rStyle w:val="17"/>
          <w:rFonts w:hint="default" w:ascii="Calibri" w:hAnsi="Calibri" w:eastAsia="宋体" w:cs="Calibri"/>
          <w:color w:val="auto"/>
          <w:sz w:val="24"/>
          <w:szCs w:val="24"/>
        </w:rPr>
        <w:footnoteReference w:id="46"/>
      </w:r>
      <w:r>
        <w:rPr>
          <w:rFonts w:hint="eastAsia" w:ascii="Times New Roman" w:hAnsi="Times New Roman" w:eastAsia="宋体" w:cs="Times New Roman"/>
          <w:color w:val="auto"/>
          <w:sz w:val="24"/>
        </w:rPr>
        <w:t>市场经济需要尊重不同主体的利益，民主政治也必须最大程度地容纳多元意见。相对应</w:t>
      </w:r>
      <w:r>
        <w:rPr>
          <w:rFonts w:hint="eastAsia" w:ascii="Times New Roman" w:hAnsi="Times New Roman" w:eastAsia="宋体" w:cs="Times New Roman"/>
          <w:color w:val="auto"/>
          <w:sz w:val="24"/>
          <w:lang w:val="en-US" w:eastAsia="zh-CN"/>
        </w:rPr>
        <w:t>地</w:t>
      </w:r>
      <w:r>
        <w:rPr>
          <w:rFonts w:hint="eastAsia" w:ascii="Times New Roman" w:hAnsi="Times New Roman" w:eastAsia="宋体" w:cs="Times New Roman"/>
          <w:color w:val="auto"/>
          <w:sz w:val="24"/>
        </w:rPr>
        <w:t>，由于政治上高度中央集权，以及经济上追求行政指令、排斥市场信号进而压制自主权，主体差异仅在专制政体与计划经济下才有被消灭的可能性。而这种“全有或全无”的政治经济体制，显然与中国特色社会主义法治社会建设的目的相悖；从历史上</w:t>
      </w:r>
      <w:r>
        <w:rPr>
          <w:rFonts w:hint="eastAsia" w:ascii="Times New Roman" w:hAnsi="Times New Roman" w:eastAsia="宋体" w:cs="Times New Roman"/>
          <w:color w:val="auto"/>
          <w:sz w:val="24"/>
          <w:lang w:val="en-US" w:eastAsia="zh-CN"/>
        </w:rPr>
        <w:t>看</w:t>
      </w:r>
      <w:r>
        <w:rPr>
          <w:rFonts w:hint="eastAsia" w:ascii="Times New Roman" w:hAnsi="Times New Roman" w:eastAsia="宋体" w:cs="Times New Roman"/>
          <w:color w:val="auto"/>
          <w:sz w:val="24"/>
        </w:rPr>
        <w:t>，法制统一最早的法律渊源是1982年《宪法》第5条“国家维护社会主义法制的统一和尊严；一切法律、行政法规和地方性法规都不得同宪法相抵触”。可得出这里的法制统一是与宪法的统一，是基于吸取“文革”期间对个体基本人权保护缺失的经验教训。从同期其他法律的修正也可看出，刑法和刑事诉讼法总是最为公众所关注，因为其被认为是“与公民权利相关的基本法律</w:t>
      </w:r>
      <w:r>
        <w:rPr>
          <w:rFonts w:hint="eastAsia" w:ascii="Times New Roman" w:hAnsi="Times New Roman" w:eastAsia="宋体" w:cs="Times New Roman"/>
          <w:color w:val="auto"/>
          <w:sz w:val="24"/>
          <w:lang w:eastAsia="zh-CN"/>
        </w:rPr>
        <w:t>。</w:t>
      </w:r>
      <w:r>
        <w:rPr>
          <w:rFonts w:hint="eastAsia" w:ascii="Times New Roman" w:hAnsi="Times New Roman" w:eastAsia="宋体" w:cs="Times New Roman"/>
          <w:color w:val="auto"/>
          <w:sz w:val="24"/>
        </w:rPr>
        <w:t>”</w:t>
      </w:r>
      <w:r>
        <w:rPr>
          <w:rStyle w:val="17"/>
          <w:rFonts w:ascii="Calibri" w:hAnsi="Calibri" w:eastAsia="宋体" w:cs="Calibri"/>
          <w:color w:val="auto"/>
          <w:sz w:val="24"/>
          <w:szCs w:val="24"/>
        </w:rPr>
        <w:footnoteReference w:id="47"/>
      </w:r>
      <w:r>
        <w:rPr>
          <w:rFonts w:hint="eastAsia" w:ascii="Times New Roman" w:hAnsi="Times New Roman" w:eastAsia="宋体" w:cs="Times New Roman"/>
          <w:color w:val="auto"/>
          <w:sz w:val="24"/>
        </w:rPr>
        <w:t>这就证明了法制统一的最初构想就是为了保障宪法所规定的基本人权，至于如何保障，在不违反大原则的前提下，并不反对合理范围内的地方差别</w:t>
      </w:r>
      <w:r>
        <w:rPr>
          <w:rFonts w:hint="eastAsia" w:ascii="Times New Roman" w:hAnsi="Times New Roman" w:eastAsia="宋体" w:cs="Times New Roman"/>
          <w:color w:val="auto"/>
          <w:sz w:val="24"/>
          <w:lang w:val="en-US" w:eastAsia="zh-CN"/>
        </w:rPr>
        <w:t>。</w:t>
      </w:r>
    </w:p>
    <w:p w14:paraId="67EFFF01">
      <w:pPr>
        <w:keepNext w:val="0"/>
        <w:pageBreakBefore w:val="0"/>
        <w:kinsoku/>
        <w:wordWrap/>
        <w:overflowPunct/>
        <w:topLinePunct w:val="0"/>
        <w:autoSpaceDE/>
        <w:autoSpaceDN/>
        <w:bidi w:val="0"/>
        <w:adjustRightInd/>
        <w:snapToGrid w:val="0"/>
        <w:spacing w:line="360" w:lineRule="auto"/>
        <w:ind w:firstLine="480" w:firstLineChars="200"/>
        <w:textAlignment w:val="auto"/>
        <w:outlineLvl w:val="1"/>
        <w:rPr>
          <w:rFonts w:hint="default" w:ascii="Times New Roman" w:hAnsi="Times New Roman" w:eastAsia="宋体" w:cs="Times New Roman"/>
          <w:color w:val="auto"/>
          <w:sz w:val="24"/>
          <w:lang w:val="en-US" w:eastAsia="zh-CN"/>
        </w:rPr>
      </w:pPr>
      <w:r>
        <w:rPr>
          <w:rFonts w:hint="eastAsia" w:ascii="黑体" w:hAnsi="黑体" w:eastAsia="黑体" w:cs="黑体"/>
          <w:b w:val="0"/>
          <w:bCs w:val="0"/>
          <w:color w:val="auto"/>
          <w:sz w:val="24"/>
          <w:lang w:val="en-US" w:eastAsia="zh-CN"/>
        </w:rPr>
        <w:t>（三）量化地方数据立法重复率的区间</w:t>
      </w:r>
    </w:p>
    <w:p w14:paraId="4D90AE3B">
      <w:pPr>
        <w:pStyle w:val="9"/>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rPr>
      </w:pPr>
      <w:r>
        <w:rPr>
          <w:rFonts w:hint="eastAsia" w:ascii="Times New Roman" w:hAnsi="Times New Roman" w:eastAsia="宋体" w:cs="Times New Roman"/>
          <w:color w:val="auto"/>
          <w:sz w:val="24"/>
          <w:lang w:val="en-US" w:eastAsia="zh-CN"/>
        </w:rPr>
        <w:t>地方数据立法的“地方性</w:t>
      </w:r>
      <w:r>
        <w:rPr>
          <w:rFonts w:hint="default" w:ascii="Times New Roman" w:hAnsi="Times New Roman" w:eastAsia="宋体" w:cs="Times New Roman"/>
          <w:color w:val="auto"/>
          <w:sz w:val="24"/>
          <w:lang w:val="en-US" w:eastAsia="zh-CN"/>
        </w:rPr>
        <w:t>”</w:t>
      </w:r>
      <w:r>
        <w:rPr>
          <w:rFonts w:hint="eastAsia" w:ascii="Times New Roman" w:hAnsi="Times New Roman" w:eastAsia="宋体" w:cs="Times New Roman"/>
          <w:color w:val="auto"/>
          <w:sz w:val="24"/>
          <w:lang w:val="en-US" w:eastAsia="zh-CN"/>
        </w:rPr>
        <w:t>与“统合性”的并存关系表明，立法条文重复率无论是过高与过低都是不适宜的，因此有必要设定立法重复率的上限与下限。</w:t>
      </w:r>
      <w:r>
        <w:rPr>
          <w:rFonts w:hint="eastAsia" w:ascii="Times New Roman" w:hAnsi="Times New Roman" w:eastAsia="宋体" w:cs="Times New Roman"/>
          <w:color w:val="auto"/>
          <w:sz w:val="24"/>
        </w:rPr>
        <w:t>在破除对法制统一的非理性冲动和形式主义之风后，</w:t>
      </w:r>
      <w:r>
        <w:rPr>
          <w:rFonts w:hint="eastAsia" w:ascii="宋体" w:hAnsi="宋体" w:eastAsia="宋体" w:cs="宋体"/>
          <w:color w:val="auto"/>
          <w:sz w:val="24"/>
          <w:lang w:val="en-US" w:eastAsia="zh-CN"/>
        </w:rPr>
        <w:t>尚未完成地方</w:t>
      </w:r>
      <w:r>
        <w:rPr>
          <w:rFonts w:hint="eastAsia" w:ascii="Times New Roman" w:hAnsi="Times New Roman" w:eastAsia="宋体" w:cs="Times New Roman"/>
          <w:color w:val="auto"/>
          <w:sz w:val="24"/>
        </w:rPr>
        <w:t>数据立法</w:t>
      </w:r>
      <w:r>
        <w:rPr>
          <w:rFonts w:hint="eastAsia" w:ascii="Times New Roman" w:hAnsi="Times New Roman" w:eastAsia="宋体" w:cs="Times New Roman"/>
          <w:color w:val="auto"/>
          <w:sz w:val="24"/>
          <w:lang w:val="en-US" w:eastAsia="zh-CN"/>
        </w:rPr>
        <w:t>的立法机关可</w:t>
      </w:r>
      <w:r>
        <w:rPr>
          <w:rFonts w:hint="eastAsia" w:ascii="Times New Roman" w:hAnsi="Times New Roman" w:eastAsia="宋体" w:cs="Times New Roman"/>
          <w:color w:val="auto"/>
          <w:sz w:val="24"/>
        </w:rPr>
        <w:t>在横向比较其他</w:t>
      </w:r>
      <w:r>
        <w:rPr>
          <w:rFonts w:hint="eastAsia" w:ascii="Times New Roman" w:hAnsi="Times New Roman" w:eastAsia="宋体" w:cs="Times New Roman"/>
          <w:color w:val="auto"/>
          <w:sz w:val="24"/>
          <w:lang w:eastAsia="zh-CN"/>
        </w:rPr>
        <w:t>“</w:t>
      </w:r>
      <w:r>
        <w:rPr>
          <w:rFonts w:hint="eastAsia" w:ascii="Times New Roman" w:hAnsi="Times New Roman" w:eastAsia="宋体" w:cs="Times New Roman"/>
          <w:color w:val="auto"/>
          <w:sz w:val="24"/>
          <w:lang w:val="en-US" w:eastAsia="zh-CN"/>
        </w:rPr>
        <w:t>相似</w:t>
      </w:r>
      <w:r>
        <w:rPr>
          <w:rFonts w:hint="eastAsia" w:ascii="Times New Roman" w:hAnsi="Times New Roman" w:eastAsia="宋体" w:cs="Times New Roman"/>
          <w:color w:val="auto"/>
          <w:sz w:val="24"/>
          <w:lang w:eastAsia="zh-CN"/>
        </w:rPr>
        <w:t>”</w:t>
      </w:r>
      <w:r>
        <w:rPr>
          <w:rFonts w:hint="eastAsia" w:ascii="Times New Roman" w:hAnsi="Times New Roman" w:eastAsia="宋体" w:cs="Times New Roman"/>
          <w:color w:val="auto"/>
          <w:sz w:val="24"/>
          <w:lang w:val="en-US" w:eastAsia="zh-CN"/>
        </w:rPr>
        <w:t>地区</w:t>
      </w:r>
      <w:r>
        <w:rPr>
          <w:rFonts w:hint="eastAsia" w:ascii="Times New Roman" w:hAnsi="Times New Roman" w:eastAsia="宋体" w:cs="Times New Roman"/>
          <w:color w:val="auto"/>
          <w:sz w:val="24"/>
        </w:rPr>
        <w:t>地方立法的基础上，建立符合本地实际的地方立法评估标准。</w:t>
      </w:r>
      <w:r>
        <w:rPr>
          <w:rFonts w:hint="eastAsia" w:ascii="Times New Roman" w:hAnsi="Times New Roman" w:eastAsia="宋体" w:cs="Times New Roman"/>
          <w:color w:val="auto"/>
          <w:sz w:val="24"/>
          <w:lang w:val="en-US" w:eastAsia="zh-CN"/>
        </w:rPr>
        <w:t>首先，之所以要“比较立法”，是因为地方立法本身是一种聚集性活动，同一个时期内可能有多个地方都进行类似立法，充分运用比较立法，吸收借鉴其他地区经验做法是必要的，这样可以更加精准把握地方数据立法规律，紧紧围绕“十四五”大数据产业发展规划等国家重大战略，实现全国一盘棋。其次，地方立法评估标准的建构还处于探索当中，各地标准不尽相同。例如，《安徽省人大常委会立法后评估办法（2016）》从合法性、合理性、适应性等六个方面作为立法评估标准体系组成部分；《甘肃省人大常委会地方性法规标准及其保障措施（2005）》则从法理标准、实践标准、技术与实效标准四个方面作出规定；而《广东省人民代表大会常务委员会立法评估工作规定（2013）》第十五条虽没有提出具体标准，但也指出立法评估应主要围绕法规实施的基本情况、合理性、合目的性以及存在的问题展开。也有学者将经济性法规制定中的“合理性”与“地方性”指标设定为最核心的标准，占比为50分（满分为100）。</w:t>
      </w:r>
      <w:r>
        <w:rPr>
          <w:rStyle w:val="17"/>
          <w:rFonts w:hint="default" w:ascii="Calibri" w:hAnsi="Calibri" w:eastAsia="宋体" w:cs="Calibri"/>
          <w:color w:val="auto"/>
          <w:sz w:val="24"/>
          <w:lang w:val="en-US" w:eastAsia="zh-CN"/>
        </w:rPr>
        <w:footnoteReference w:id="48"/>
      </w:r>
      <w:r>
        <w:rPr>
          <w:rFonts w:hint="eastAsia" w:ascii="Times New Roman" w:hAnsi="Times New Roman" w:eastAsia="宋体" w:cs="Times New Roman"/>
          <w:color w:val="auto"/>
          <w:sz w:val="24"/>
          <w:lang w:val="en-US" w:eastAsia="zh-CN"/>
        </w:rPr>
        <w:t>综合而言，合理性标准、合法性标准、实效性标准是地方立法评估体系的核心构成，其中合理性与实效性标准又要求立法符合经济社会发展规律，与地方性需求表达相对应。而</w:t>
      </w:r>
      <w:r>
        <w:rPr>
          <w:rFonts w:hint="eastAsia" w:ascii="宋体" w:hAnsi="宋体" w:eastAsia="宋体" w:cs="宋体"/>
          <w:color w:val="auto"/>
          <w:sz w:val="24"/>
        </w:rPr>
        <w:t>立法的地方性充分彰显的必要条件，就是立法的“整体”重复率要较其他地方</w:t>
      </w:r>
      <w:r>
        <w:rPr>
          <w:rFonts w:hint="eastAsia" w:ascii="宋体" w:hAnsi="宋体" w:eastAsia="宋体" w:cs="宋体"/>
          <w:color w:val="auto"/>
          <w:sz w:val="24"/>
          <w:lang w:val="en-US" w:eastAsia="zh-CN"/>
        </w:rPr>
        <w:t>要</w:t>
      </w:r>
      <w:r>
        <w:rPr>
          <w:rFonts w:hint="eastAsia" w:ascii="宋体" w:hAnsi="宋体" w:eastAsia="宋体" w:cs="宋体"/>
          <w:color w:val="auto"/>
          <w:sz w:val="24"/>
        </w:rPr>
        <w:t>“低”。</w:t>
      </w:r>
      <w:r>
        <w:rPr>
          <w:rFonts w:hint="eastAsia" w:ascii="Times New Roman" w:hAnsi="Times New Roman" w:eastAsia="宋体" w:cs="Times New Roman"/>
          <w:color w:val="auto"/>
          <w:sz w:val="24"/>
          <w:lang w:val="en-US" w:eastAsia="zh-CN"/>
        </w:rPr>
        <w:t>简言之，地方特色是地方立法的灵魂所在，地方立法是否满足地方治理实践、是否回应本地民众的差异化利益偏好与需求，是衡量地方立法合理性与实效性的关键要素</w:t>
      </w:r>
      <w:r>
        <w:rPr>
          <w:rFonts w:hint="eastAsia" w:ascii="Times New Roman" w:hAnsi="Times New Roman" w:eastAsia="宋体" w:cs="Times New Roman"/>
          <w:color w:val="auto"/>
          <w:sz w:val="24"/>
          <w:lang w:eastAsia="zh-CN"/>
        </w:rPr>
        <w:t>。</w:t>
      </w:r>
    </w:p>
    <w:p w14:paraId="7ECE0295">
      <w:pPr>
        <w:pStyle w:val="9"/>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Times New Roman" w:hAnsi="Times New Roman" w:eastAsia="宋体" w:cs="Times New Roman"/>
          <w:color w:val="auto"/>
          <w:sz w:val="20"/>
          <w:szCs w:val="20"/>
          <w:lang w:val="en-US" w:eastAsia="zh-CN"/>
        </w:rPr>
      </w:pPr>
      <w:r>
        <w:rPr>
          <w:rFonts w:hint="eastAsia" w:ascii="Times New Roman" w:hAnsi="Times New Roman" w:eastAsia="宋体" w:cs="Times New Roman"/>
          <w:color w:val="auto"/>
          <w:sz w:val="24"/>
          <w:lang w:val="en-US" w:eastAsia="zh-CN"/>
        </w:rPr>
        <w:t>那么立法重复率如何计算？除了对立法目的、法律概念等法律保留条款的必要重复以外，一般而言，重复立法分为三种情况。第一，原文重复。异位法之间的法条文完全重复，或者相差无几，文字重合率可达到90%以上。此种类型重复最为彻底，虽频率较低，但实践中仍有存在。第二，扩充（缩减）重复，这种重复方式表面上看似与上位法条文相异, 扩充或缩减了上位法条文内容, 但实质上并未改变上位法条文的结构与内涵。第三，拆分（组合）重复，与第一、二种重复方式不同，尽管地方性法规在结构上与上位法发生变化，但内容上仍然一致，只是对上位法条文进行重新排列组合。（见表4，表5）</w:t>
      </w:r>
    </w:p>
    <w:p w14:paraId="02468D71">
      <w:pPr>
        <w:pStyle w:val="9"/>
        <w:keepNext w:val="0"/>
        <w:pageBreakBefore w:val="0"/>
        <w:kinsoku/>
        <w:wordWrap/>
        <w:overflowPunct/>
        <w:topLinePunct w:val="0"/>
        <w:autoSpaceDE/>
        <w:autoSpaceDN/>
        <w:bidi w:val="0"/>
        <w:adjustRightInd/>
        <w:snapToGrid w:val="0"/>
        <w:spacing w:line="360" w:lineRule="auto"/>
        <w:ind w:firstLine="400" w:firstLineChars="200"/>
        <w:jc w:val="center"/>
        <w:textAlignment w:val="auto"/>
        <w:rPr>
          <w:rFonts w:hint="eastAsia" w:ascii="Times New Roman" w:hAnsi="Times New Roman" w:eastAsia="宋体" w:cs="Times New Roman"/>
          <w:color w:val="auto"/>
          <w:sz w:val="20"/>
          <w:szCs w:val="20"/>
          <w:lang w:val="en-US" w:eastAsia="zh-CN"/>
        </w:rPr>
      </w:pPr>
      <w:r>
        <w:rPr>
          <w:rFonts w:hint="eastAsia" w:ascii="Times New Roman" w:hAnsi="Times New Roman" w:eastAsia="宋体" w:cs="Times New Roman"/>
          <w:color w:val="auto"/>
          <w:sz w:val="20"/>
          <w:szCs w:val="20"/>
          <w:lang w:val="en-US" w:eastAsia="zh-CN"/>
        </w:rPr>
        <w:t>图3  立法重复率计算流程图</w:t>
      </w:r>
    </w:p>
    <w:p w14:paraId="121ADF78">
      <w:pPr>
        <w:pStyle w:val="9"/>
        <w:keepNext w:val="0"/>
        <w:pageBreakBefore w:val="0"/>
        <w:kinsoku/>
        <w:wordWrap/>
        <w:overflowPunct/>
        <w:topLinePunct w:val="0"/>
        <w:autoSpaceDE/>
        <w:autoSpaceDN/>
        <w:bidi w:val="0"/>
        <w:adjustRightInd/>
        <w:snapToGrid w:val="0"/>
        <w:spacing w:line="360" w:lineRule="auto"/>
        <w:ind w:firstLine="480" w:firstLineChars="200"/>
        <w:jc w:val="center"/>
        <w:textAlignment w:val="auto"/>
        <w:rPr>
          <w:rFonts w:hint="default" w:ascii="Times New Roman" w:hAnsi="Times New Roman" w:eastAsia="宋体" w:cs="Times New Roman"/>
          <w:color w:val="auto"/>
          <w:sz w:val="20"/>
          <w:szCs w:val="20"/>
          <w:lang w:val="en-US" w:eastAsia="zh-CN"/>
        </w:rPr>
      </w:pPr>
      <w:r>
        <w:rPr>
          <w:rFonts w:hint="eastAsia" w:ascii="Times New Roman" w:hAnsi="Times New Roman" w:eastAsia="宋体" w:cs="Times New Roman"/>
          <w:color w:val="auto"/>
          <w:sz w:val="24"/>
          <w:lang w:val="en-US" w:eastAsia="zh-CN"/>
        </w:rPr>
        <w:drawing>
          <wp:inline distT="0" distB="0" distL="114300" distR="114300">
            <wp:extent cx="3599180" cy="2937510"/>
            <wp:effectExtent l="0" t="0" r="7620" b="8890"/>
            <wp:docPr id="5" name="图片 3" descr="203a9b519dac6757475cb9cd1bd22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203a9b519dac6757475cb9cd1bd22e8"/>
                    <pic:cNvPicPr>
                      <a:picLocks noChangeAspect="1"/>
                    </pic:cNvPicPr>
                  </pic:nvPicPr>
                  <pic:blipFill>
                    <a:blip r:embed="rId13"/>
                    <a:stretch>
                      <a:fillRect/>
                    </a:stretch>
                  </pic:blipFill>
                  <pic:spPr>
                    <a:xfrm>
                      <a:off x="0" y="0"/>
                      <a:ext cx="3599180" cy="2937510"/>
                    </a:xfrm>
                    <a:prstGeom prst="rect">
                      <a:avLst/>
                    </a:prstGeom>
                    <a:noFill/>
                    <a:ln>
                      <a:noFill/>
                    </a:ln>
                  </pic:spPr>
                </pic:pic>
              </a:graphicData>
            </a:graphic>
          </wp:inline>
        </w:drawing>
      </w:r>
    </w:p>
    <w:p w14:paraId="2BE78C2A">
      <w:pPr>
        <w:pStyle w:val="9"/>
        <w:keepNext w:val="0"/>
        <w:pageBreakBefore w:val="0"/>
        <w:kinsoku/>
        <w:wordWrap/>
        <w:overflowPunct/>
        <w:topLinePunct w:val="0"/>
        <w:autoSpaceDE/>
        <w:autoSpaceDN/>
        <w:bidi w:val="0"/>
        <w:adjustRightInd/>
        <w:snapToGrid w:val="0"/>
        <w:spacing w:line="360" w:lineRule="auto"/>
        <w:jc w:val="center"/>
        <w:textAlignment w:val="auto"/>
        <w:rPr>
          <w:rFonts w:hint="eastAsia" w:ascii="Times New Roman" w:hAnsi="Times New Roman" w:eastAsia="宋体" w:cs="Times New Roman"/>
          <w:color w:val="auto"/>
          <w:sz w:val="24"/>
          <w:lang w:val="en-US" w:eastAsia="zh-CN"/>
        </w:rPr>
      </w:pPr>
    </w:p>
    <w:p w14:paraId="543B3D31">
      <w:pPr>
        <w:pStyle w:val="9"/>
        <w:keepNext w:val="0"/>
        <w:pageBreakBefore w:val="0"/>
        <w:kinsoku/>
        <w:wordWrap/>
        <w:overflowPunct/>
        <w:topLinePunct w:val="0"/>
        <w:autoSpaceDE/>
        <w:autoSpaceDN/>
        <w:bidi w:val="0"/>
        <w:adjustRightInd/>
        <w:snapToGrid w:val="0"/>
        <w:spacing w:line="360" w:lineRule="auto"/>
        <w:ind w:firstLine="420" w:firstLineChars="20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表5  重复类型举例</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8"/>
        <w:gridCol w:w="3719"/>
        <w:gridCol w:w="4015"/>
      </w:tblGrid>
      <w:tr w14:paraId="416F7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4" w:hRule="atLeast"/>
        </w:trPr>
        <w:tc>
          <w:tcPr>
            <w:tcW w:w="788" w:type="dxa"/>
            <w:tcBorders>
              <w:top w:val="single" w:color="auto" w:sz="12" w:space="0"/>
              <w:left w:val="nil"/>
              <w:right w:val="nil"/>
            </w:tcBorders>
            <w:noWrap w:val="0"/>
            <w:vAlign w:val="center"/>
          </w:tcPr>
          <w:p w14:paraId="3A5656A1">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eastAsia="宋体"/>
                <w:b/>
                <w:bCs/>
                <w:color w:val="auto"/>
                <w:sz w:val="21"/>
                <w:szCs w:val="21"/>
                <w:vertAlign w:val="baseline"/>
                <w:lang w:val="en-US" w:eastAsia="zh-CN"/>
              </w:rPr>
            </w:pPr>
            <w:r>
              <w:rPr>
                <w:rFonts w:hint="eastAsia"/>
                <w:b/>
                <w:bCs/>
                <w:color w:val="auto"/>
                <w:sz w:val="21"/>
                <w:szCs w:val="21"/>
                <w:vertAlign w:val="baseline"/>
                <w:lang w:val="en-US" w:eastAsia="zh-CN"/>
              </w:rPr>
              <w:t>重复类型</w:t>
            </w:r>
          </w:p>
        </w:tc>
        <w:tc>
          <w:tcPr>
            <w:tcW w:w="3719" w:type="dxa"/>
            <w:tcBorders>
              <w:top w:val="single" w:color="auto" w:sz="12" w:space="0"/>
              <w:left w:val="nil"/>
              <w:right w:val="nil"/>
            </w:tcBorders>
            <w:noWrap w:val="0"/>
            <w:vAlign w:val="center"/>
          </w:tcPr>
          <w:p w14:paraId="33A4EC3F">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default"/>
                <w:b/>
                <w:bCs/>
                <w:color w:val="auto"/>
                <w:sz w:val="21"/>
                <w:szCs w:val="21"/>
                <w:vertAlign w:val="baseline"/>
                <w:lang w:val="en-US" w:eastAsia="zh-CN"/>
              </w:rPr>
            </w:pPr>
            <w:r>
              <w:rPr>
                <w:rFonts w:hint="eastAsia"/>
                <w:b/>
                <w:bCs/>
                <w:color w:val="auto"/>
                <w:sz w:val="21"/>
                <w:szCs w:val="21"/>
                <w:vertAlign w:val="baseline"/>
                <w:lang w:val="en-US" w:eastAsia="zh-CN"/>
              </w:rPr>
              <w:t>上文法名称及条文</w:t>
            </w:r>
          </w:p>
        </w:tc>
        <w:tc>
          <w:tcPr>
            <w:tcW w:w="0" w:type="auto"/>
            <w:tcBorders>
              <w:top w:val="single" w:color="auto" w:sz="12" w:space="0"/>
              <w:left w:val="nil"/>
              <w:right w:val="nil"/>
            </w:tcBorders>
            <w:noWrap w:val="0"/>
            <w:vAlign w:val="center"/>
          </w:tcPr>
          <w:p w14:paraId="7B88A1C9">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b/>
                <w:bCs/>
                <w:color w:val="auto"/>
                <w:sz w:val="21"/>
                <w:szCs w:val="21"/>
                <w:vertAlign w:val="baseline"/>
                <w:lang w:val="en-US" w:eastAsia="zh-CN"/>
              </w:rPr>
            </w:pPr>
          </w:p>
          <w:p w14:paraId="7211FE13">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b/>
                <w:bCs/>
                <w:color w:val="auto"/>
                <w:sz w:val="21"/>
                <w:szCs w:val="21"/>
                <w:vertAlign w:val="baseline"/>
                <w:lang w:val="en-US" w:eastAsia="zh-CN"/>
              </w:rPr>
            </w:pPr>
            <w:r>
              <w:rPr>
                <w:rFonts w:hint="eastAsia"/>
                <w:b/>
                <w:bCs/>
                <w:color w:val="auto"/>
                <w:sz w:val="21"/>
                <w:szCs w:val="21"/>
                <w:vertAlign w:val="baseline"/>
                <w:lang w:val="en-US" w:eastAsia="zh-CN"/>
              </w:rPr>
              <w:t>下位法名称及条文</w:t>
            </w:r>
          </w:p>
          <w:p w14:paraId="33FE62D1">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b/>
                <w:bCs/>
                <w:color w:val="auto"/>
                <w:sz w:val="21"/>
                <w:szCs w:val="21"/>
                <w:vertAlign w:val="baseline"/>
                <w:lang w:val="en-US" w:eastAsia="zh-CN"/>
              </w:rPr>
            </w:pPr>
          </w:p>
        </w:tc>
      </w:tr>
      <w:tr w14:paraId="1E7E6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Merge w:val="restart"/>
            <w:tcBorders>
              <w:left w:val="nil"/>
              <w:right w:val="nil"/>
            </w:tcBorders>
            <w:noWrap w:val="0"/>
            <w:vAlign w:val="center"/>
          </w:tcPr>
          <w:p w14:paraId="4FDAACC0">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color w:val="auto"/>
                <w:sz w:val="21"/>
                <w:szCs w:val="21"/>
                <w:vertAlign w:val="baseline"/>
                <w:lang w:val="en-US" w:eastAsia="zh-CN"/>
              </w:rPr>
            </w:pPr>
            <w:r>
              <w:rPr>
                <w:rFonts w:hint="eastAsia"/>
                <w:color w:val="auto"/>
                <w:sz w:val="21"/>
                <w:szCs w:val="21"/>
                <w:vertAlign w:val="baseline"/>
                <w:lang w:val="en-US" w:eastAsia="zh-CN"/>
              </w:rPr>
              <w:t>原文</w:t>
            </w:r>
          </w:p>
          <w:p w14:paraId="3AECA036">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eastAsia="宋体"/>
                <w:color w:val="auto"/>
                <w:sz w:val="21"/>
                <w:szCs w:val="21"/>
                <w:vertAlign w:val="baseline"/>
                <w:lang w:val="en-US" w:eastAsia="zh-CN"/>
              </w:rPr>
            </w:pPr>
            <w:r>
              <w:rPr>
                <w:rFonts w:hint="eastAsia"/>
                <w:color w:val="auto"/>
                <w:sz w:val="21"/>
                <w:szCs w:val="21"/>
                <w:vertAlign w:val="baseline"/>
                <w:lang w:val="en-US" w:eastAsia="zh-CN"/>
              </w:rPr>
              <w:t>重复</w:t>
            </w:r>
          </w:p>
        </w:tc>
        <w:tc>
          <w:tcPr>
            <w:tcW w:w="3719" w:type="dxa"/>
            <w:tcBorders>
              <w:left w:val="nil"/>
              <w:right w:val="nil"/>
            </w:tcBorders>
            <w:noWrap w:val="0"/>
            <w:vAlign w:val="top"/>
          </w:tcPr>
          <w:p w14:paraId="2475602C">
            <w:pPr>
              <w:keepNext w:val="0"/>
              <w:keepLines w:val="0"/>
              <w:pageBreakBefore w:val="0"/>
              <w:kinsoku/>
              <w:wordWrap/>
              <w:overflowPunct/>
              <w:topLinePunct w:val="0"/>
              <w:autoSpaceDE/>
              <w:autoSpaceDN/>
              <w:bidi w:val="0"/>
              <w:adjustRightInd/>
              <w:snapToGrid w:val="0"/>
              <w:spacing w:line="360" w:lineRule="auto"/>
              <w:jc w:val="center"/>
              <w:textAlignment w:val="auto"/>
              <w:rPr>
                <w:color w:val="auto"/>
                <w:sz w:val="21"/>
                <w:szCs w:val="21"/>
                <w:vertAlign w:val="baseline"/>
              </w:rPr>
            </w:pPr>
            <w:r>
              <w:rPr>
                <w:rFonts w:hint="eastAsia"/>
                <w:color w:val="auto"/>
                <w:sz w:val="21"/>
                <w:szCs w:val="21"/>
                <w:vertAlign w:val="baseline"/>
                <w:lang w:eastAsia="zh-CN"/>
              </w:rPr>
              <w:t>《</w:t>
            </w:r>
            <w:r>
              <w:rPr>
                <w:rFonts w:hint="eastAsia"/>
                <w:color w:val="auto"/>
                <w:sz w:val="21"/>
                <w:szCs w:val="21"/>
                <w:vertAlign w:val="baseline"/>
                <w:lang w:val="en-US" w:eastAsia="zh-CN"/>
              </w:rPr>
              <w:t>个人信息保护法</w:t>
            </w:r>
            <w:r>
              <w:rPr>
                <w:rFonts w:hint="eastAsia"/>
                <w:color w:val="auto"/>
                <w:sz w:val="21"/>
                <w:szCs w:val="21"/>
                <w:vertAlign w:val="baseline"/>
                <w:lang w:eastAsia="zh-CN"/>
              </w:rPr>
              <w:t>》</w:t>
            </w:r>
          </w:p>
        </w:tc>
        <w:tc>
          <w:tcPr>
            <w:tcW w:w="0" w:type="auto"/>
            <w:tcBorders>
              <w:left w:val="nil"/>
              <w:right w:val="nil"/>
            </w:tcBorders>
            <w:noWrap w:val="0"/>
            <w:vAlign w:val="top"/>
          </w:tcPr>
          <w:p w14:paraId="306128FC">
            <w:pPr>
              <w:keepNext w:val="0"/>
              <w:keepLines w:val="0"/>
              <w:pageBreakBefore w:val="0"/>
              <w:kinsoku/>
              <w:wordWrap/>
              <w:overflowPunct/>
              <w:topLinePunct w:val="0"/>
              <w:autoSpaceDE/>
              <w:autoSpaceDN/>
              <w:bidi w:val="0"/>
              <w:adjustRightInd/>
              <w:snapToGrid w:val="0"/>
              <w:spacing w:line="360" w:lineRule="auto"/>
              <w:jc w:val="center"/>
              <w:textAlignment w:val="auto"/>
              <w:rPr>
                <w:color w:val="auto"/>
                <w:sz w:val="21"/>
                <w:szCs w:val="21"/>
                <w:vertAlign w:val="baseline"/>
              </w:rPr>
            </w:pPr>
            <w:r>
              <w:rPr>
                <w:rFonts w:hint="eastAsia"/>
                <w:color w:val="auto"/>
                <w:sz w:val="21"/>
                <w:szCs w:val="21"/>
                <w:vertAlign w:val="baseline"/>
                <w:lang w:val="en-US" w:eastAsia="zh-CN"/>
              </w:rPr>
              <w:t>《上海市数据条例》</w:t>
            </w:r>
          </w:p>
        </w:tc>
      </w:tr>
      <w:tr w14:paraId="28DFD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Merge w:val="continue"/>
            <w:tcBorders>
              <w:left w:val="nil"/>
              <w:right w:val="nil"/>
            </w:tcBorders>
            <w:noWrap w:val="0"/>
            <w:vAlign w:val="center"/>
          </w:tcPr>
          <w:p w14:paraId="0CE5B5DF">
            <w:pPr>
              <w:keepNext w:val="0"/>
              <w:keepLines w:val="0"/>
              <w:pageBreakBefore w:val="0"/>
              <w:widowControl w:val="0"/>
              <w:kinsoku/>
              <w:wordWrap/>
              <w:overflowPunct/>
              <w:topLinePunct w:val="0"/>
              <w:autoSpaceDE/>
              <w:autoSpaceDN/>
              <w:bidi w:val="0"/>
              <w:adjustRightInd/>
              <w:snapToGrid w:val="0"/>
              <w:spacing w:line="240" w:lineRule="auto"/>
              <w:jc w:val="both"/>
              <w:textAlignment w:val="auto"/>
              <w:rPr>
                <w:rFonts w:hint="eastAsia"/>
                <w:color w:val="auto"/>
                <w:sz w:val="21"/>
                <w:szCs w:val="21"/>
                <w:vertAlign w:val="baseline"/>
                <w:lang w:val="en-US" w:eastAsia="zh-CN"/>
              </w:rPr>
            </w:pPr>
          </w:p>
        </w:tc>
        <w:tc>
          <w:tcPr>
            <w:tcW w:w="3719" w:type="dxa"/>
            <w:tcBorders>
              <w:left w:val="nil"/>
              <w:right w:val="nil"/>
            </w:tcBorders>
            <w:noWrap w:val="0"/>
            <w:vAlign w:val="top"/>
          </w:tcPr>
          <w:p w14:paraId="3E269390">
            <w:pPr>
              <w:keepNext w:val="0"/>
              <w:keepLines w:val="0"/>
              <w:pageBreakBefore w:val="0"/>
              <w:kinsoku/>
              <w:wordWrap/>
              <w:overflowPunct/>
              <w:topLinePunct w:val="0"/>
              <w:autoSpaceDE/>
              <w:autoSpaceDN/>
              <w:bidi w:val="0"/>
              <w:adjustRightInd/>
              <w:snapToGrid w:val="0"/>
              <w:spacing w:line="360" w:lineRule="auto"/>
              <w:ind w:firstLine="420" w:firstLineChars="200"/>
              <w:textAlignment w:val="auto"/>
              <w:rPr>
                <w:color w:val="auto"/>
                <w:sz w:val="21"/>
                <w:szCs w:val="21"/>
                <w:vertAlign w:val="baseline"/>
              </w:rPr>
            </w:pPr>
            <w:r>
              <w:rPr>
                <w:rFonts w:hint="eastAsia" w:ascii="Calibri" w:hAnsi="Calibri" w:eastAsia="宋体" w:cs="Times New Roman"/>
                <w:color w:val="auto"/>
                <w:kern w:val="2"/>
                <w:sz w:val="21"/>
                <w:szCs w:val="21"/>
                <w:vertAlign w:val="baseline"/>
                <w:lang w:val="en-US" w:eastAsia="zh-CN" w:bidi="ar-SA"/>
              </w:rPr>
              <w:t>第十七条　个人信息处理者在处理个人信息前，应当以显著方式、清晰易懂的语言真实、准确、完整地向个人告知下列事项：（一）个人信息处理者的名称或者姓名和联系方式；（二）个人信息的处理目的、处理方式，处理的个人信息种类、保存期限；（三）个人行使本法规定权利的方式和程序；（四）法律、行政法规规定应当告知的其他事项。</w:t>
            </w:r>
          </w:p>
        </w:tc>
        <w:tc>
          <w:tcPr>
            <w:tcW w:w="0" w:type="auto"/>
            <w:tcBorders>
              <w:left w:val="nil"/>
              <w:right w:val="nil"/>
            </w:tcBorders>
            <w:noWrap w:val="0"/>
            <w:vAlign w:val="top"/>
          </w:tcPr>
          <w:p w14:paraId="3D411CB1">
            <w:pPr>
              <w:keepNext w:val="0"/>
              <w:keepLines w:val="0"/>
              <w:pageBreakBefore w:val="0"/>
              <w:kinsoku/>
              <w:wordWrap/>
              <w:overflowPunct/>
              <w:topLinePunct w:val="0"/>
              <w:autoSpaceDE/>
              <w:autoSpaceDN/>
              <w:bidi w:val="0"/>
              <w:adjustRightInd/>
              <w:snapToGrid w:val="0"/>
              <w:spacing w:line="360" w:lineRule="auto"/>
              <w:ind w:firstLine="420" w:firstLineChars="200"/>
              <w:textAlignment w:val="auto"/>
              <w:rPr>
                <w:color w:val="auto"/>
                <w:sz w:val="21"/>
                <w:szCs w:val="21"/>
                <w:vertAlign w:val="baseline"/>
              </w:rPr>
            </w:pPr>
            <w:r>
              <w:rPr>
                <w:rFonts w:hint="eastAsia"/>
                <w:color w:val="auto"/>
                <w:sz w:val="21"/>
                <w:szCs w:val="21"/>
                <w:vertAlign w:val="baseline"/>
              </w:rPr>
              <w:t>第二十条</w:t>
            </w:r>
            <w:r>
              <w:rPr>
                <w:rFonts w:hint="eastAsia"/>
                <w:color w:val="auto"/>
                <w:sz w:val="21"/>
                <w:szCs w:val="21"/>
                <w:vertAlign w:val="baseline"/>
                <w:lang w:val="en-US" w:eastAsia="zh-CN"/>
              </w:rPr>
              <w:t xml:space="preserve"> </w:t>
            </w:r>
            <w:r>
              <w:rPr>
                <w:rFonts w:hint="eastAsia"/>
                <w:color w:val="auto"/>
                <w:sz w:val="21"/>
                <w:szCs w:val="21"/>
                <w:vertAlign w:val="baseline"/>
              </w:rPr>
              <w:t>处理个人信息前，应当向个人告知下列事项：（一）处理者的名称或者姓名和联系方式；（二）处理个人信息的目的、方式；（三）处理的个人信息种类、保存期限；（四）个人依法享有的权利以及行使权利的方式和程序；（五）法律、行政法规规定应当告知的其他事项。处理者应当以显著方式、清晰易懂的语言真实、准确、完整地告知前款事项。</w:t>
            </w:r>
          </w:p>
        </w:tc>
      </w:tr>
      <w:tr w14:paraId="06235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Merge w:val="restart"/>
            <w:tcBorders>
              <w:left w:val="nil"/>
              <w:right w:val="nil"/>
            </w:tcBorders>
            <w:noWrap w:val="0"/>
            <w:vAlign w:val="center"/>
          </w:tcPr>
          <w:p w14:paraId="66CA9E37">
            <w:pPr>
              <w:keepNext w:val="0"/>
              <w:keepLines w:val="0"/>
              <w:pageBreakBefore w:val="0"/>
              <w:widowControl w:val="0"/>
              <w:kinsoku/>
              <w:wordWrap/>
              <w:overflowPunct/>
              <w:topLinePunct w:val="0"/>
              <w:autoSpaceDE/>
              <w:autoSpaceDN/>
              <w:bidi w:val="0"/>
              <w:adjustRightInd/>
              <w:snapToGrid w:val="0"/>
              <w:spacing w:line="240" w:lineRule="auto"/>
              <w:jc w:val="both"/>
              <w:textAlignment w:val="auto"/>
              <w:rPr>
                <w:rFonts w:hint="eastAsia"/>
                <w:color w:val="auto"/>
                <w:sz w:val="21"/>
                <w:szCs w:val="21"/>
                <w:vertAlign w:val="baseline"/>
                <w:lang w:val="en-US" w:eastAsia="zh-CN"/>
              </w:rPr>
            </w:pPr>
            <w:r>
              <w:rPr>
                <w:rFonts w:hint="eastAsia"/>
                <w:color w:val="auto"/>
                <w:sz w:val="21"/>
                <w:szCs w:val="21"/>
                <w:vertAlign w:val="baseline"/>
                <w:lang w:val="en-US" w:eastAsia="zh-CN"/>
              </w:rPr>
              <w:t>扩充</w:t>
            </w:r>
          </w:p>
          <w:p w14:paraId="40162F83">
            <w:pPr>
              <w:keepNext w:val="0"/>
              <w:keepLines w:val="0"/>
              <w:pageBreakBefore w:val="0"/>
              <w:widowControl w:val="0"/>
              <w:kinsoku/>
              <w:wordWrap/>
              <w:overflowPunct/>
              <w:topLinePunct w:val="0"/>
              <w:autoSpaceDE/>
              <w:autoSpaceDN/>
              <w:bidi w:val="0"/>
              <w:adjustRightInd/>
              <w:snapToGrid w:val="0"/>
              <w:spacing w:line="240" w:lineRule="auto"/>
              <w:jc w:val="both"/>
              <w:textAlignment w:val="auto"/>
              <w:rPr>
                <w:rFonts w:hint="default"/>
                <w:color w:val="auto"/>
                <w:sz w:val="21"/>
                <w:szCs w:val="21"/>
                <w:vertAlign w:val="baseline"/>
                <w:lang w:val="en-US" w:eastAsia="zh-CN"/>
              </w:rPr>
            </w:pPr>
            <w:r>
              <w:rPr>
                <w:rFonts w:hint="eastAsia"/>
                <w:color w:val="auto"/>
                <w:sz w:val="21"/>
                <w:szCs w:val="21"/>
                <w:vertAlign w:val="baseline"/>
                <w:lang w:val="en-US" w:eastAsia="zh-CN"/>
              </w:rPr>
              <w:t>(缩减)</w:t>
            </w:r>
          </w:p>
          <w:p w14:paraId="711C7FC3">
            <w:pPr>
              <w:keepNext w:val="0"/>
              <w:keepLines w:val="0"/>
              <w:pageBreakBefore w:val="0"/>
              <w:widowControl w:val="0"/>
              <w:kinsoku/>
              <w:wordWrap/>
              <w:overflowPunct/>
              <w:topLinePunct w:val="0"/>
              <w:autoSpaceDE/>
              <w:autoSpaceDN/>
              <w:bidi w:val="0"/>
              <w:adjustRightInd/>
              <w:snapToGrid w:val="0"/>
              <w:spacing w:line="240" w:lineRule="auto"/>
              <w:jc w:val="both"/>
              <w:textAlignment w:val="auto"/>
              <w:rPr>
                <w:rFonts w:hint="eastAsia"/>
                <w:color w:val="auto"/>
                <w:sz w:val="21"/>
                <w:szCs w:val="21"/>
                <w:vertAlign w:val="baseline"/>
                <w:lang w:val="en-US" w:eastAsia="zh-CN"/>
              </w:rPr>
            </w:pPr>
            <w:r>
              <w:rPr>
                <w:rFonts w:hint="eastAsia"/>
                <w:color w:val="auto"/>
                <w:sz w:val="21"/>
                <w:szCs w:val="21"/>
                <w:vertAlign w:val="baseline"/>
                <w:lang w:val="en-US" w:eastAsia="zh-CN"/>
              </w:rPr>
              <w:t>重复</w:t>
            </w:r>
          </w:p>
        </w:tc>
        <w:tc>
          <w:tcPr>
            <w:tcW w:w="3719" w:type="dxa"/>
            <w:tcBorders>
              <w:left w:val="nil"/>
              <w:right w:val="nil"/>
            </w:tcBorders>
            <w:noWrap w:val="0"/>
            <w:vAlign w:val="top"/>
          </w:tcPr>
          <w:p w14:paraId="676CD18A">
            <w:pPr>
              <w:keepNext w:val="0"/>
              <w:keepLines w:val="0"/>
              <w:pageBreakBefore w:val="0"/>
              <w:kinsoku/>
              <w:wordWrap/>
              <w:overflowPunct/>
              <w:topLinePunct w:val="0"/>
              <w:autoSpaceDE/>
              <w:autoSpaceDN/>
              <w:bidi w:val="0"/>
              <w:adjustRightInd/>
              <w:snapToGrid w:val="0"/>
              <w:spacing w:line="360" w:lineRule="auto"/>
              <w:jc w:val="center"/>
              <w:textAlignment w:val="auto"/>
              <w:rPr>
                <w:rFonts w:hint="eastAsia" w:eastAsia="宋体"/>
                <w:color w:val="auto"/>
                <w:sz w:val="21"/>
                <w:szCs w:val="21"/>
                <w:vertAlign w:val="baseline"/>
                <w:lang w:eastAsia="zh-CN"/>
              </w:rPr>
            </w:pPr>
            <w:r>
              <w:rPr>
                <w:rFonts w:hint="eastAsia"/>
                <w:color w:val="auto"/>
                <w:sz w:val="21"/>
                <w:szCs w:val="21"/>
                <w:vertAlign w:val="baseline"/>
                <w:lang w:eastAsia="zh-CN"/>
              </w:rPr>
              <w:t>《</w:t>
            </w:r>
            <w:r>
              <w:rPr>
                <w:rFonts w:hint="eastAsia"/>
                <w:color w:val="auto"/>
                <w:sz w:val="21"/>
                <w:szCs w:val="21"/>
                <w:vertAlign w:val="baseline"/>
                <w:lang w:val="en-US" w:eastAsia="zh-CN"/>
              </w:rPr>
              <w:t>数据安全法</w:t>
            </w:r>
            <w:r>
              <w:rPr>
                <w:rFonts w:hint="eastAsia"/>
                <w:color w:val="auto"/>
                <w:sz w:val="21"/>
                <w:szCs w:val="21"/>
                <w:vertAlign w:val="baseline"/>
                <w:lang w:eastAsia="zh-CN"/>
              </w:rPr>
              <w:t>》</w:t>
            </w:r>
          </w:p>
        </w:tc>
        <w:tc>
          <w:tcPr>
            <w:tcW w:w="0" w:type="auto"/>
            <w:tcBorders>
              <w:left w:val="nil"/>
              <w:right w:val="nil"/>
            </w:tcBorders>
            <w:noWrap w:val="0"/>
            <w:vAlign w:val="top"/>
          </w:tcPr>
          <w:p w14:paraId="687A7EEC">
            <w:pPr>
              <w:keepNext w:val="0"/>
              <w:keepLines w:val="0"/>
              <w:pageBreakBefore w:val="0"/>
              <w:kinsoku/>
              <w:wordWrap/>
              <w:overflowPunct/>
              <w:topLinePunct w:val="0"/>
              <w:autoSpaceDE/>
              <w:autoSpaceDN/>
              <w:bidi w:val="0"/>
              <w:adjustRightInd/>
              <w:snapToGrid w:val="0"/>
              <w:spacing w:line="360" w:lineRule="auto"/>
              <w:jc w:val="center"/>
              <w:textAlignment w:val="auto"/>
              <w:rPr>
                <w:rFonts w:hint="eastAsia" w:eastAsia="宋体"/>
                <w:color w:val="auto"/>
                <w:sz w:val="21"/>
                <w:szCs w:val="21"/>
                <w:vertAlign w:val="baseline"/>
                <w:lang w:eastAsia="zh-CN"/>
              </w:rPr>
            </w:pPr>
            <w:r>
              <w:rPr>
                <w:rFonts w:hint="eastAsia"/>
                <w:color w:val="auto"/>
                <w:sz w:val="21"/>
                <w:szCs w:val="21"/>
                <w:vertAlign w:val="baseline"/>
                <w:lang w:eastAsia="zh-CN"/>
              </w:rPr>
              <w:t>《</w:t>
            </w:r>
            <w:r>
              <w:rPr>
                <w:rFonts w:hint="eastAsia"/>
                <w:color w:val="auto"/>
                <w:sz w:val="21"/>
                <w:szCs w:val="21"/>
                <w:vertAlign w:val="baseline"/>
                <w:lang w:val="en-US" w:eastAsia="zh-CN"/>
              </w:rPr>
              <w:t>四川省数据条例</w:t>
            </w:r>
            <w:r>
              <w:rPr>
                <w:rFonts w:hint="eastAsia"/>
                <w:color w:val="auto"/>
                <w:sz w:val="21"/>
                <w:szCs w:val="21"/>
                <w:vertAlign w:val="baseline"/>
                <w:lang w:eastAsia="zh-CN"/>
              </w:rPr>
              <w:t>》</w:t>
            </w:r>
          </w:p>
        </w:tc>
      </w:tr>
      <w:tr w14:paraId="3FC13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Merge w:val="continue"/>
            <w:tcBorders>
              <w:left w:val="nil"/>
              <w:right w:val="nil"/>
            </w:tcBorders>
            <w:noWrap w:val="0"/>
            <w:vAlign w:val="center"/>
          </w:tcPr>
          <w:p w14:paraId="3A2B367C">
            <w:pPr>
              <w:keepNext w:val="0"/>
              <w:keepLines w:val="0"/>
              <w:pageBreakBefore w:val="0"/>
              <w:widowControl w:val="0"/>
              <w:kinsoku/>
              <w:wordWrap/>
              <w:overflowPunct/>
              <w:topLinePunct w:val="0"/>
              <w:autoSpaceDE/>
              <w:autoSpaceDN/>
              <w:bidi w:val="0"/>
              <w:adjustRightInd/>
              <w:snapToGrid w:val="0"/>
              <w:spacing w:line="240" w:lineRule="auto"/>
              <w:jc w:val="both"/>
              <w:textAlignment w:val="auto"/>
              <w:rPr>
                <w:color w:val="auto"/>
                <w:sz w:val="21"/>
                <w:szCs w:val="21"/>
                <w:vertAlign w:val="baseline"/>
              </w:rPr>
            </w:pPr>
          </w:p>
        </w:tc>
        <w:tc>
          <w:tcPr>
            <w:tcW w:w="3719" w:type="dxa"/>
            <w:tcBorders>
              <w:left w:val="nil"/>
              <w:right w:val="nil"/>
            </w:tcBorders>
            <w:noWrap w:val="0"/>
            <w:vAlign w:val="top"/>
          </w:tcPr>
          <w:p w14:paraId="5A80FC03">
            <w:pPr>
              <w:keepNext w:val="0"/>
              <w:keepLines w:val="0"/>
              <w:pageBreakBefore w:val="0"/>
              <w:kinsoku/>
              <w:wordWrap/>
              <w:overflowPunct/>
              <w:topLinePunct w:val="0"/>
              <w:autoSpaceDE/>
              <w:autoSpaceDN/>
              <w:bidi w:val="0"/>
              <w:adjustRightInd/>
              <w:snapToGrid w:val="0"/>
              <w:spacing w:line="360" w:lineRule="auto"/>
              <w:ind w:firstLine="420" w:firstLineChars="200"/>
              <w:textAlignment w:val="auto"/>
              <w:rPr>
                <w:rFonts w:hint="eastAsia"/>
                <w:color w:val="auto"/>
                <w:sz w:val="21"/>
                <w:szCs w:val="21"/>
                <w:vertAlign w:val="baseline"/>
              </w:rPr>
            </w:pPr>
            <w:r>
              <w:rPr>
                <w:rFonts w:hint="eastAsia"/>
                <w:color w:val="auto"/>
                <w:sz w:val="21"/>
                <w:szCs w:val="21"/>
                <w:vertAlign w:val="baseline"/>
              </w:rPr>
              <w:t>第二十三条</w:t>
            </w:r>
            <w:r>
              <w:rPr>
                <w:rFonts w:hint="eastAsia"/>
                <w:color w:val="auto"/>
                <w:sz w:val="21"/>
                <w:szCs w:val="21"/>
                <w:vertAlign w:val="baseline"/>
                <w:lang w:val="en-US" w:eastAsia="zh-CN"/>
              </w:rPr>
              <w:t xml:space="preserve"> </w:t>
            </w:r>
            <w:r>
              <w:rPr>
                <w:rFonts w:hint="eastAsia"/>
                <w:color w:val="auto"/>
                <w:sz w:val="21"/>
                <w:szCs w:val="21"/>
                <w:vertAlign w:val="baseline"/>
              </w:rPr>
              <w:t>国家建立数据安全应急处置机制。</w:t>
            </w:r>
          </w:p>
          <w:p w14:paraId="66D68ABF">
            <w:pPr>
              <w:keepNext w:val="0"/>
              <w:keepLines w:val="0"/>
              <w:pageBreakBefore w:val="0"/>
              <w:kinsoku/>
              <w:wordWrap/>
              <w:overflowPunct/>
              <w:topLinePunct w:val="0"/>
              <w:autoSpaceDE/>
              <w:autoSpaceDN/>
              <w:bidi w:val="0"/>
              <w:adjustRightInd/>
              <w:snapToGrid w:val="0"/>
              <w:spacing w:line="360" w:lineRule="auto"/>
              <w:ind w:firstLine="420" w:firstLineChars="200"/>
              <w:textAlignment w:val="auto"/>
              <w:rPr>
                <w:color w:val="auto"/>
                <w:sz w:val="21"/>
                <w:szCs w:val="21"/>
                <w:vertAlign w:val="baseline"/>
              </w:rPr>
            </w:pPr>
            <w:r>
              <w:rPr>
                <w:rFonts w:hint="eastAsia"/>
                <w:color w:val="auto"/>
                <w:sz w:val="21"/>
                <w:szCs w:val="21"/>
                <w:vertAlign w:val="baseline"/>
              </w:rPr>
              <w:t>发生数据安全事件，有关主管部门应当依法启动应急预案，采取相应的应急处置措施，防止危害扩大，消除安全隐患，并及时向社会发布与公众有关的警示信息。</w:t>
            </w:r>
          </w:p>
        </w:tc>
        <w:tc>
          <w:tcPr>
            <w:tcW w:w="0" w:type="auto"/>
            <w:tcBorders>
              <w:left w:val="nil"/>
              <w:right w:val="nil"/>
            </w:tcBorders>
            <w:noWrap w:val="0"/>
            <w:vAlign w:val="top"/>
          </w:tcPr>
          <w:p w14:paraId="73AC4F96">
            <w:pPr>
              <w:keepNext w:val="0"/>
              <w:keepLines w:val="0"/>
              <w:pageBreakBefore w:val="0"/>
              <w:kinsoku/>
              <w:wordWrap/>
              <w:overflowPunct/>
              <w:topLinePunct w:val="0"/>
              <w:autoSpaceDE/>
              <w:autoSpaceDN/>
              <w:bidi w:val="0"/>
              <w:adjustRightInd/>
              <w:snapToGrid w:val="0"/>
              <w:spacing w:line="360" w:lineRule="auto"/>
              <w:ind w:firstLine="420" w:firstLineChars="200"/>
              <w:textAlignment w:val="auto"/>
              <w:rPr>
                <w:rFonts w:hint="eastAsia"/>
                <w:color w:val="auto"/>
                <w:sz w:val="21"/>
                <w:szCs w:val="21"/>
                <w:vertAlign w:val="baseline"/>
              </w:rPr>
            </w:pPr>
            <w:r>
              <w:rPr>
                <w:rFonts w:hint="eastAsia"/>
                <w:color w:val="auto"/>
                <w:sz w:val="21"/>
                <w:szCs w:val="21"/>
                <w:vertAlign w:val="baseline"/>
              </w:rPr>
              <w:t>第五十九条</w:t>
            </w:r>
            <w:r>
              <w:rPr>
                <w:rFonts w:hint="eastAsia"/>
                <w:color w:val="auto"/>
                <w:sz w:val="21"/>
                <w:szCs w:val="21"/>
                <w:vertAlign w:val="baseline"/>
                <w:lang w:val="en-US" w:eastAsia="zh-CN"/>
              </w:rPr>
              <w:t xml:space="preserve"> </w:t>
            </w:r>
            <w:r>
              <w:rPr>
                <w:rFonts w:hint="eastAsia"/>
                <w:color w:val="auto"/>
                <w:sz w:val="21"/>
                <w:szCs w:val="21"/>
                <w:vertAlign w:val="baseline"/>
              </w:rPr>
              <w:t>省网信部门会同有关部门建立健全数据安全应急处置机制，指导有关部门加强应急处置能力建设。</w:t>
            </w:r>
          </w:p>
          <w:p w14:paraId="5AA19CE7">
            <w:pPr>
              <w:keepNext w:val="0"/>
              <w:keepLines w:val="0"/>
              <w:pageBreakBefore w:val="0"/>
              <w:kinsoku/>
              <w:wordWrap/>
              <w:overflowPunct/>
              <w:topLinePunct w:val="0"/>
              <w:autoSpaceDE/>
              <w:autoSpaceDN/>
              <w:bidi w:val="0"/>
              <w:adjustRightInd/>
              <w:snapToGrid w:val="0"/>
              <w:spacing w:line="360" w:lineRule="auto"/>
              <w:ind w:firstLine="420" w:firstLineChars="200"/>
              <w:textAlignment w:val="auto"/>
              <w:rPr>
                <w:color w:val="auto"/>
                <w:sz w:val="21"/>
                <w:szCs w:val="21"/>
                <w:vertAlign w:val="baseline"/>
              </w:rPr>
            </w:pPr>
            <w:r>
              <w:rPr>
                <w:rFonts w:hint="eastAsia"/>
                <w:color w:val="auto"/>
                <w:sz w:val="21"/>
                <w:szCs w:val="21"/>
                <w:vertAlign w:val="baseline"/>
              </w:rPr>
              <w:t>发生数据安全事件，有关主管部门应当依法启动应急预案，采取应急处置措施，防止危害扩大，消除安全隐患，并及时向社会发布与公众有关的警示信息。</w:t>
            </w:r>
          </w:p>
        </w:tc>
      </w:tr>
      <w:tr w14:paraId="04E2A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Merge w:val="restart"/>
            <w:tcBorders>
              <w:left w:val="nil"/>
              <w:right w:val="nil"/>
            </w:tcBorders>
            <w:noWrap w:val="0"/>
            <w:vAlign w:val="center"/>
          </w:tcPr>
          <w:p w14:paraId="65A00B6B">
            <w:pPr>
              <w:keepNext w:val="0"/>
              <w:keepLines w:val="0"/>
              <w:pageBreakBefore w:val="0"/>
              <w:widowControl w:val="0"/>
              <w:kinsoku/>
              <w:wordWrap/>
              <w:overflowPunct/>
              <w:topLinePunct w:val="0"/>
              <w:autoSpaceDE/>
              <w:autoSpaceDN/>
              <w:bidi w:val="0"/>
              <w:adjustRightInd/>
              <w:snapToGrid w:val="0"/>
              <w:spacing w:line="240" w:lineRule="auto"/>
              <w:jc w:val="both"/>
              <w:textAlignment w:val="auto"/>
              <w:rPr>
                <w:rFonts w:hint="eastAsia"/>
                <w:color w:val="auto"/>
                <w:sz w:val="21"/>
                <w:szCs w:val="21"/>
                <w:vertAlign w:val="baseline"/>
                <w:lang w:val="en-US" w:eastAsia="zh-CN"/>
              </w:rPr>
            </w:pPr>
            <w:r>
              <w:rPr>
                <w:rFonts w:hint="eastAsia"/>
                <w:color w:val="auto"/>
                <w:sz w:val="21"/>
                <w:szCs w:val="21"/>
                <w:vertAlign w:val="baseline"/>
                <w:lang w:val="en-US" w:eastAsia="zh-CN"/>
              </w:rPr>
              <w:t>拆分</w:t>
            </w:r>
          </w:p>
          <w:p w14:paraId="6F41A473">
            <w:pPr>
              <w:keepNext w:val="0"/>
              <w:keepLines w:val="0"/>
              <w:pageBreakBefore w:val="0"/>
              <w:widowControl w:val="0"/>
              <w:kinsoku/>
              <w:wordWrap/>
              <w:overflowPunct/>
              <w:topLinePunct w:val="0"/>
              <w:autoSpaceDE/>
              <w:autoSpaceDN/>
              <w:bidi w:val="0"/>
              <w:adjustRightInd/>
              <w:snapToGrid w:val="0"/>
              <w:spacing w:line="240" w:lineRule="auto"/>
              <w:jc w:val="both"/>
              <w:textAlignment w:val="auto"/>
              <w:rPr>
                <w:rFonts w:hint="default"/>
                <w:color w:val="auto"/>
                <w:sz w:val="21"/>
                <w:szCs w:val="21"/>
                <w:vertAlign w:val="baseline"/>
                <w:lang w:val="en-US" w:eastAsia="zh-CN"/>
              </w:rPr>
            </w:pPr>
            <w:r>
              <w:rPr>
                <w:rFonts w:hint="eastAsia"/>
                <w:color w:val="auto"/>
                <w:sz w:val="21"/>
                <w:szCs w:val="21"/>
                <w:vertAlign w:val="baseline"/>
                <w:lang w:val="en-US" w:eastAsia="zh-CN"/>
              </w:rPr>
              <w:t>(组合)</w:t>
            </w:r>
          </w:p>
          <w:p w14:paraId="19447034">
            <w:pPr>
              <w:keepNext w:val="0"/>
              <w:keepLines w:val="0"/>
              <w:pageBreakBefore w:val="0"/>
              <w:widowControl w:val="0"/>
              <w:kinsoku/>
              <w:wordWrap/>
              <w:overflowPunct/>
              <w:topLinePunct w:val="0"/>
              <w:autoSpaceDE/>
              <w:autoSpaceDN/>
              <w:bidi w:val="0"/>
              <w:adjustRightInd/>
              <w:snapToGrid w:val="0"/>
              <w:spacing w:line="240" w:lineRule="auto"/>
              <w:jc w:val="both"/>
              <w:textAlignment w:val="auto"/>
              <w:rPr>
                <w:color w:val="auto"/>
                <w:sz w:val="21"/>
                <w:szCs w:val="21"/>
                <w:vertAlign w:val="baseline"/>
              </w:rPr>
            </w:pPr>
            <w:r>
              <w:rPr>
                <w:rFonts w:hint="eastAsia"/>
                <w:color w:val="auto"/>
                <w:sz w:val="21"/>
                <w:szCs w:val="21"/>
                <w:vertAlign w:val="baseline"/>
                <w:lang w:val="en-US" w:eastAsia="zh-CN"/>
              </w:rPr>
              <w:t>重复</w:t>
            </w:r>
          </w:p>
        </w:tc>
        <w:tc>
          <w:tcPr>
            <w:tcW w:w="3719" w:type="dxa"/>
            <w:tcBorders>
              <w:left w:val="nil"/>
              <w:right w:val="nil"/>
            </w:tcBorders>
            <w:noWrap w:val="0"/>
            <w:vAlign w:val="top"/>
          </w:tcPr>
          <w:p w14:paraId="0C8D7046">
            <w:pPr>
              <w:keepNext w:val="0"/>
              <w:keepLines w:val="0"/>
              <w:pageBreakBefore w:val="0"/>
              <w:kinsoku/>
              <w:wordWrap/>
              <w:overflowPunct/>
              <w:topLinePunct w:val="0"/>
              <w:autoSpaceDE/>
              <w:autoSpaceDN/>
              <w:bidi w:val="0"/>
              <w:adjustRightInd/>
              <w:snapToGrid w:val="0"/>
              <w:spacing w:line="360" w:lineRule="auto"/>
              <w:jc w:val="center"/>
              <w:textAlignment w:val="auto"/>
              <w:rPr>
                <w:rFonts w:hint="eastAsia" w:eastAsia="宋体"/>
                <w:color w:val="auto"/>
                <w:sz w:val="21"/>
                <w:szCs w:val="21"/>
                <w:vertAlign w:val="baseline"/>
                <w:lang w:eastAsia="zh-CN"/>
              </w:rPr>
            </w:pPr>
            <w:r>
              <w:rPr>
                <w:rFonts w:hint="eastAsia"/>
                <w:color w:val="auto"/>
                <w:sz w:val="21"/>
                <w:szCs w:val="21"/>
                <w:vertAlign w:val="baseline"/>
                <w:lang w:eastAsia="zh-CN"/>
              </w:rPr>
              <w:t>《</w:t>
            </w:r>
            <w:r>
              <w:rPr>
                <w:rFonts w:hint="eastAsia"/>
                <w:color w:val="auto"/>
                <w:sz w:val="21"/>
                <w:szCs w:val="21"/>
                <w:vertAlign w:val="baseline"/>
                <w:lang w:val="en-US" w:eastAsia="zh-CN"/>
              </w:rPr>
              <w:t>个人信息保护法</w:t>
            </w:r>
            <w:r>
              <w:rPr>
                <w:rFonts w:hint="eastAsia"/>
                <w:color w:val="auto"/>
                <w:sz w:val="21"/>
                <w:szCs w:val="21"/>
                <w:vertAlign w:val="baseline"/>
                <w:lang w:eastAsia="zh-CN"/>
              </w:rPr>
              <w:t>》</w:t>
            </w:r>
          </w:p>
        </w:tc>
        <w:tc>
          <w:tcPr>
            <w:tcW w:w="0" w:type="auto"/>
            <w:tcBorders>
              <w:left w:val="nil"/>
              <w:right w:val="nil"/>
            </w:tcBorders>
            <w:noWrap w:val="0"/>
            <w:vAlign w:val="top"/>
          </w:tcPr>
          <w:p w14:paraId="07FFA3FB">
            <w:pPr>
              <w:keepNext w:val="0"/>
              <w:keepLines w:val="0"/>
              <w:pageBreakBefore w:val="0"/>
              <w:kinsoku/>
              <w:wordWrap/>
              <w:overflowPunct/>
              <w:topLinePunct w:val="0"/>
              <w:autoSpaceDE/>
              <w:autoSpaceDN/>
              <w:bidi w:val="0"/>
              <w:adjustRightInd/>
              <w:snapToGrid w:val="0"/>
              <w:spacing w:line="360" w:lineRule="auto"/>
              <w:jc w:val="center"/>
              <w:textAlignment w:val="auto"/>
              <w:rPr>
                <w:rFonts w:hint="default" w:eastAsia="宋体"/>
                <w:color w:val="auto"/>
                <w:sz w:val="21"/>
                <w:szCs w:val="21"/>
                <w:vertAlign w:val="baseline"/>
                <w:lang w:val="en-US" w:eastAsia="zh-CN"/>
              </w:rPr>
            </w:pPr>
            <w:r>
              <w:rPr>
                <w:rFonts w:hint="eastAsia"/>
                <w:color w:val="auto"/>
                <w:sz w:val="21"/>
                <w:szCs w:val="21"/>
                <w:vertAlign w:val="baseline"/>
                <w:lang w:val="en-US" w:eastAsia="zh-CN"/>
              </w:rPr>
              <w:t>《河南省数据条例（草案）》</w:t>
            </w:r>
          </w:p>
        </w:tc>
      </w:tr>
      <w:tr w14:paraId="568AC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Merge w:val="continue"/>
            <w:tcBorders>
              <w:left w:val="nil"/>
              <w:bottom w:val="single" w:color="auto" w:sz="12" w:space="0"/>
              <w:right w:val="nil"/>
            </w:tcBorders>
            <w:noWrap w:val="0"/>
            <w:vAlign w:val="top"/>
          </w:tcPr>
          <w:p w14:paraId="45937E68">
            <w:pPr>
              <w:keepNext w:val="0"/>
              <w:keepLines w:val="0"/>
              <w:pageBreakBefore w:val="0"/>
              <w:kinsoku/>
              <w:wordWrap/>
              <w:overflowPunct/>
              <w:topLinePunct w:val="0"/>
              <w:autoSpaceDE/>
              <w:autoSpaceDN/>
              <w:bidi w:val="0"/>
              <w:adjustRightInd/>
              <w:snapToGrid w:val="0"/>
              <w:spacing w:line="360" w:lineRule="auto"/>
              <w:textAlignment w:val="auto"/>
              <w:rPr>
                <w:rFonts w:hint="eastAsia"/>
                <w:color w:val="auto"/>
                <w:sz w:val="21"/>
                <w:szCs w:val="21"/>
                <w:vertAlign w:val="baseline"/>
                <w:lang w:val="en-US" w:eastAsia="zh-CN"/>
              </w:rPr>
            </w:pPr>
          </w:p>
        </w:tc>
        <w:tc>
          <w:tcPr>
            <w:tcW w:w="3719" w:type="dxa"/>
            <w:tcBorders>
              <w:left w:val="nil"/>
              <w:bottom w:val="single" w:color="auto" w:sz="12" w:space="0"/>
              <w:right w:val="nil"/>
            </w:tcBorders>
            <w:noWrap w:val="0"/>
            <w:vAlign w:val="top"/>
          </w:tcPr>
          <w:p w14:paraId="0BE557EF">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val="0"/>
              <w:spacing w:before="0" w:beforeAutospacing="0" w:after="0" w:afterAutospacing="0" w:line="360" w:lineRule="auto"/>
              <w:ind w:left="0" w:right="0" w:firstLine="420" w:firstLineChars="200"/>
              <w:textAlignment w:val="auto"/>
              <w:rPr>
                <w:rFonts w:hint="eastAsia" w:ascii="Calibri" w:hAnsi="Calibri" w:eastAsia="宋体" w:cs="Times New Roman"/>
                <w:color w:val="auto"/>
                <w:kern w:val="2"/>
                <w:sz w:val="21"/>
                <w:szCs w:val="21"/>
                <w:vertAlign w:val="baseline"/>
                <w:lang w:val="en-US" w:eastAsia="zh-CN" w:bidi="ar-SA"/>
              </w:rPr>
            </w:pPr>
            <w:r>
              <w:rPr>
                <w:rFonts w:hint="eastAsia" w:ascii="Calibri" w:hAnsi="Calibri" w:eastAsia="宋体" w:cs="Times New Roman"/>
                <w:color w:val="auto"/>
                <w:kern w:val="2"/>
                <w:sz w:val="21"/>
                <w:szCs w:val="21"/>
                <w:vertAlign w:val="baseline"/>
                <w:lang w:val="en-US" w:eastAsia="zh-CN" w:bidi="ar-SA"/>
              </w:rPr>
              <w:t>第二十九条　处理敏感个人信息应当取得个人的单独同意；法律、行政法规规定处理敏感个人信息应当取得书面同意的，从其规定。</w:t>
            </w:r>
          </w:p>
          <w:p w14:paraId="20F66BEB">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val="0"/>
              <w:spacing w:before="0" w:beforeAutospacing="0" w:after="0" w:afterAutospacing="0" w:line="360" w:lineRule="auto"/>
              <w:ind w:left="0" w:right="0" w:firstLine="420" w:firstLineChars="200"/>
              <w:textAlignment w:val="auto"/>
              <w:rPr>
                <w:rFonts w:hint="eastAsia" w:ascii="Calibri" w:hAnsi="Calibri" w:eastAsia="宋体" w:cs="Times New Roman"/>
                <w:color w:val="auto"/>
                <w:kern w:val="2"/>
                <w:sz w:val="21"/>
                <w:szCs w:val="21"/>
                <w:vertAlign w:val="baseline"/>
                <w:lang w:val="en-US" w:eastAsia="zh-CN" w:bidi="ar-SA"/>
              </w:rPr>
            </w:pPr>
            <w:r>
              <w:rPr>
                <w:rFonts w:hint="eastAsia" w:ascii="Calibri" w:hAnsi="Calibri" w:eastAsia="宋体" w:cs="Times New Roman"/>
                <w:color w:val="auto"/>
                <w:kern w:val="2"/>
                <w:sz w:val="21"/>
                <w:szCs w:val="21"/>
                <w:vertAlign w:val="baseline"/>
                <w:lang w:val="en-US" w:eastAsia="zh-CN" w:bidi="ar-SA"/>
              </w:rPr>
              <w:t>第三十条　个人信息处理者处理敏感个人信息的，除本法第十七条第一款规定的事项外，还应当向个人告知处理敏感个人信息的必要性以及对个人权益的影响；依照本法规定可以不向个人告知的除外。</w:t>
            </w:r>
          </w:p>
          <w:p w14:paraId="4F41E326">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val="0"/>
              <w:spacing w:before="0" w:beforeAutospacing="0" w:after="0" w:afterAutospacing="0" w:line="360" w:lineRule="auto"/>
              <w:ind w:left="0" w:right="0" w:firstLine="420" w:firstLineChars="200"/>
              <w:textAlignment w:val="auto"/>
              <w:rPr>
                <w:rFonts w:hint="eastAsia" w:ascii="Calibri" w:hAnsi="Calibri" w:eastAsia="宋体" w:cs="Times New Roman"/>
                <w:color w:val="auto"/>
                <w:kern w:val="2"/>
                <w:sz w:val="21"/>
                <w:szCs w:val="21"/>
                <w:vertAlign w:val="baseline"/>
                <w:lang w:val="en-US" w:eastAsia="zh-CN" w:bidi="ar-SA"/>
              </w:rPr>
            </w:pPr>
            <w:r>
              <w:rPr>
                <w:rFonts w:hint="eastAsia" w:ascii="Calibri" w:hAnsi="Calibri" w:eastAsia="宋体" w:cs="Times New Roman"/>
                <w:color w:val="auto"/>
                <w:kern w:val="2"/>
                <w:sz w:val="21"/>
                <w:szCs w:val="21"/>
                <w:vertAlign w:val="baseline"/>
                <w:lang w:val="en-US" w:eastAsia="zh-CN" w:bidi="ar-SA"/>
              </w:rPr>
              <w:t>第三十一条　个人信息处理者处理不满十四周岁未成年人个人信息的，应当取得未成年人的父母或者其他监护人的同意。个人信息处理者处理不满十四周岁未成年人个人信息的，应当制定专门的个人信息处理规则。</w:t>
            </w:r>
          </w:p>
          <w:p w14:paraId="1BC03C68">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val="0"/>
              <w:spacing w:before="0" w:beforeAutospacing="0" w:after="0" w:afterAutospacing="0" w:line="360" w:lineRule="auto"/>
              <w:ind w:left="0" w:right="0" w:firstLine="420" w:firstLineChars="200"/>
              <w:textAlignment w:val="auto"/>
              <w:rPr>
                <w:color w:val="auto"/>
                <w:sz w:val="21"/>
                <w:szCs w:val="21"/>
                <w:vertAlign w:val="baseline"/>
              </w:rPr>
            </w:pPr>
            <w:r>
              <w:rPr>
                <w:rFonts w:hint="eastAsia" w:ascii="Calibri" w:hAnsi="Calibri" w:eastAsia="宋体" w:cs="Times New Roman"/>
                <w:color w:val="auto"/>
                <w:kern w:val="2"/>
                <w:sz w:val="21"/>
                <w:szCs w:val="21"/>
                <w:vertAlign w:val="baseline"/>
                <w:lang w:val="en-US" w:eastAsia="zh-CN" w:bidi="ar-SA"/>
              </w:rPr>
              <w:t>第三十二条　法律、行政法规对处理敏感个人信息规定应当取得相关行政许可或者作出其他限制的，从其规定。</w:t>
            </w:r>
          </w:p>
        </w:tc>
        <w:tc>
          <w:tcPr>
            <w:tcW w:w="0" w:type="auto"/>
            <w:tcBorders>
              <w:left w:val="nil"/>
              <w:bottom w:val="single" w:color="auto" w:sz="12" w:space="0"/>
              <w:right w:val="nil"/>
            </w:tcBorders>
            <w:noWrap w:val="0"/>
            <w:vAlign w:val="top"/>
          </w:tcPr>
          <w:p w14:paraId="3FC0A296">
            <w:pPr>
              <w:keepNext w:val="0"/>
              <w:keepLines w:val="0"/>
              <w:pageBreakBefore w:val="0"/>
              <w:kinsoku/>
              <w:wordWrap/>
              <w:overflowPunct/>
              <w:topLinePunct w:val="0"/>
              <w:autoSpaceDE/>
              <w:autoSpaceDN/>
              <w:bidi w:val="0"/>
              <w:adjustRightInd/>
              <w:snapToGrid w:val="0"/>
              <w:spacing w:line="360" w:lineRule="auto"/>
              <w:ind w:firstLine="420" w:firstLineChars="200"/>
              <w:textAlignment w:val="auto"/>
              <w:rPr>
                <w:rFonts w:hint="eastAsia"/>
                <w:color w:val="auto"/>
                <w:sz w:val="21"/>
                <w:szCs w:val="21"/>
                <w:vertAlign w:val="baseline"/>
              </w:rPr>
            </w:pPr>
            <w:r>
              <w:rPr>
                <w:rFonts w:hint="eastAsia"/>
                <w:color w:val="auto"/>
                <w:sz w:val="21"/>
                <w:szCs w:val="21"/>
                <w:vertAlign w:val="baseline"/>
              </w:rPr>
              <w:t xml:space="preserve">第二十七条 收集敏感个人信息应当取得个人的单独同意；法律、行政法规 规定收集敏感个人信息应当取得书面同意的，从其规定。 </w:t>
            </w:r>
          </w:p>
          <w:p w14:paraId="44366360">
            <w:pPr>
              <w:keepNext w:val="0"/>
              <w:keepLines w:val="0"/>
              <w:pageBreakBefore w:val="0"/>
              <w:kinsoku/>
              <w:wordWrap/>
              <w:overflowPunct/>
              <w:topLinePunct w:val="0"/>
              <w:autoSpaceDE/>
              <w:autoSpaceDN/>
              <w:bidi w:val="0"/>
              <w:adjustRightInd/>
              <w:snapToGrid w:val="0"/>
              <w:spacing w:line="360" w:lineRule="auto"/>
              <w:ind w:firstLine="420" w:firstLineChars="200"/>
              <w:textAlignment w:val="auto"/>
              <w:rPr>
                <w:rFonts w:hint="eastAsia"/>
                <w:color w:val="auto"/>
                <w:sz w:val="21"/>
                <w:szCs w:val="21"/>
                <w:vertAlign w:val="baseline"/>
              </w:rPr>
            </w:pPr>
            <w:r>
              <w:rPr>
                <w:rFonts w:hint="eastAsia"/>
                <w:color w:val="auto"/>
                <w:sz w:val="21"/>
                <w:szCs w:val="21"/>
                <w:vertAlign w:val="baseline"/>
              </w:rPr>
              <w:t xml:space="preserve">收集敏感个人信息，除依法向个人告知相关事项外，还应当向个人告知收 集敏感个人信息的必要性以及对个人权益的影响；依法可以不向个人告知的除外。 </w:t>
            </w:r>
          </w:p>
          <w:p w14:paraId="110C4114">
            <w:pPr>
              <w:keepNext w:val="0"/>
              <w:keepLines w:val="0"/>
              <w:pageBreakBefore w:val="0"/>
              <w:kinsoku/>
              <w:wordWrap/>
              <w:overflowPunct/>
              <w:topLinePunct w:val="0"/>
              <w:autoSpaceDE/>
              <w:autoSpaceDN/>
              <w:bidi w:val="0"/>
              <w:adjustRightInd/>
              <w:snapToGrid w:val="0"/>
              <w:spacing w:line="360" w:lineRule="auto"/>
              <w:ind w:firstLine="420" w:firstLineChars="200"/>
              <w:textAlignment w:val="auto"/>
              <w:rPr>
                <w:rFonts w:hint="eastAsia"/>
                <w:color w:val="auto"/>
                <w:sz w:val="21"/>
                <w:szCs w:val="21"/>
                <w:vertAlign w:val="baseline"/>
              </w:rPr>
            </w:pPr>
            <w:r>
              <w:rPr>
                <w:rFonts w:hint="eastAsia"/>
                <w:color w:val="auto"/>
                <w:sz w:val="21"/>
                <w:szCs w:val="21"/>
                <w:vertAlign w:val="baseline"/>
              </w:rPr>
              <w:t xml:space="preserve">收集不满十四周岁未成年人个人信息，应当取得未成年人的父母或者其他 监护人的同意。 </w:t>
            </w:r>
          </w:p>
          <w:p w14:paraId="25C7FF5D">
            <w:pPr>
              <w:keepNext w:val="0"/>
              <w:keepLines w:val="0"/>
              <w:pageBreakBefore w:val="0"/>
              <w:kinsoku/>
              <w:wordWrap/>
              <w:overflowPunct/>
              <w:topLinePunct w:val="0"/>
              <w:autoSpaceDE/>
              <w:autoSpaceDN/>
              <w:bidi w:val="0"/>
              <w:adjustRightInd/>
              <w:snapToGrid w:val="0"/>
              <w:spacing w:line="360" w:lineRule="auto"/>
              <w:ind w:firstLine="420" w:firstLineChars="200"/>
              <w:textAlignment w:val="auto"/>
              <w:rPr>
                <w:rFonts w:hint="eastAsia"/>
                <w:color w:val="auto"/>
                <w:sz w:val="21"/>
                <w:szCs w:val="21"/>
                <w:vertAlign w:val="baseline"/>
                <w:lang w:val="en-US" w:eastAsia="zh-CN"/>
              </w:rPr>
            </w:pPr>
            <w:r>
              <w:rPr>
                <w:rFonts w:hint="eastAsia"/>
                <w:color w:val="auto"/>
                <w:sz w:val="21"/>
                <w:szCs w:val="21"/>
                <w:vertAlign w:val="baseline"/>
              </w:rPr>
              <w:t>法律、行政法规规定收集敏感个人信息应当取得相关行政许可或者有其他 限制的，从其规定。</w:t>
            </w:r>
          </w:p>
        </w:tc>
      </w:tr>
    </w:tbl>
    <w:p w14:paraId="624BF2EF">
      <w:pPr>
        <w:pStyle w:val="9"/>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lang w:val="en-US" w:eastAsia="zh-CN"/>
        </w:rPr>
      </w:pPr>
    </w:p>
    <w:p w14:paraId="229A381B">
      <w:pPr>
        <w:pStyle w:val="9"/>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lang w:eastAsia="zh-CN"/>
        </w:rPr>
      </w:pPr>
      <w:r>
        <w:rPr>
          <w:rFonts w:hint="eastAsia" w:ascii="宋体" w:hAnsi="宋体" w:eastAsia="宋体" w:cs="宋体"/>
          <w:color w:val="auto"/>
          <w:sz w:val="24"/>
          <w:lang w:val="en-US" w:eastAsia="zh-CN"/>
        </w:rPr>
        <w:t>在解决立法重复的判断标准后，就面临地方数据立法的重复率区间范围的界定问题。</w:t>
      </w:r>
      <w:r>
        <w:rPr>
          <w:rFonts w:hint="eastAsia" w:ascii="宋体" w:hAnsi="宋体" w:eastAsia="宋体" w:cs="宋体"/>
          <w:color w:val="auto"/>
          <w:sz w:val="24"/>
        </w:rPr>
        <w:t>为提取其他省市立法经验与</w:t>
      </w:r>
      <w:r>
        <w:rPr>
          <w:rFonts w:hint="eastAsia" w:ascii="宋体" w:hAnsi="宋体" w:eastAsia="宋体" w:cs="宋体"/>
          <w:color w:val="auto"/>
          <w:sz w:val="24"/>
          <w:lang w:val="en-US" w:eastAsia="zh-CN"/>
        </w:rPr>
        <w:t>甘肃、青海、西藏、宁夏</w:t>
      </w:r>
      <w:r>
        <w:rPr>
          <w:rFonts w:hint="eastAsia" w:ascii="宋体" w:hAnsi="宋体" w:eastAsia="宋体" w:cs="宋体"/>
          <w:color w:val="auto"/>
          <w:sz w:val="24"/>
        </w:rPr>
        <w:t>本地实情的最大公约数，表</w:t>
      </w:r>
      <w:r>
        <w:rPr>
          <w:rFonts w:hint="eastAsia" w:ascii="宋体" w:hAnsi="宋体" w:eastAsia="宋体" w:cs="宋体"/>
          <w:color w:val="auto"/>
          <w:sz w:val="24"/>
          <w:lang w:val="en-US" w:eastAsia="zh-CN"/>
        </w:rPr>
        <w:t>5</w:t>
      </w:r>
      <w:r>
        <w:rPr>
          <w:rFonts w:hint="eastAsia" w:ascii="宋体" w:hAnsi="宋体" w:eastAsia="宋体" w:cs="宋体"/>
          <w:color w:val="auto"/>
          <w:sz w:val="24"/>
        </w:rPr>
        <w:t>尽量参照与</w:t>
      </w:r>
      <w:r>
        <w:rPr>
          <w:rFonts w:hint="eastAsia" w:ascii="宋体" w:hAnsi="宋体" w:eastAsia="宋体" w:cs="宋体"/>
          <w:color w:val="auto"/>
          <w:sz w:val="24"/>
          <w:lang w:val="en-US" w:eastAsia="zh-CN"/>
        </w:rPr>
        <w:t>上述地区</w:t>
      </w:r>
      <w:r>
        <w:rPr>
          <w:rFonts w:hint="eastAsia" w:ascii="宋体" w:hAnsi="宋体" w:eastAsia="宋体" w:cs="宋体"/>
          <w:color w:val="auto"/>
          <w:sz w:val="24"/>
        </w:rPr>
        <w:t>实情相近省市的数据安全立法经验，选取了</w:t>
      </w:r>
      <w:r>
        <w:rPr>
          <w:rFonts w:hint="eastAsia" w:ascii="宋体" w:hAnsi="宋体" w:eastAsia="宋体" w:cs="宋体"/>
          <w:color w:val="auto"/>
          <w:sz w:val="24"/>
          <w:lang w:val="en-US" w:eastAsia="zh-CN"/>
        </w:rPr>
        <w:t>八个</w:t>
      </w:r>
      <w:r>
        <w:rPr>
          <w:rFonts w:hint="eastAsia" w:ascii="宋体" w:hAnsi="宋体" w:eastAsia="宋体" w:cs="宋体"/>
          <w:color w:val="auto"/>
          <w:sz w:val="24"/>
        </w:rPr>
        <w:t>具备“位于西部”“少数民族自治区”“边疆省份”特点之一的地区，作为</w:t>
      </w:r>
      <w:r>
        <w:rPr>
          <w:rFonts w:hint="eastAsia" w:ascii="宋体" w:hAnsi="宋体" w:eastAsia="宋体" w:cs="宋体"/>
          <w:color w:val="auto"/>
          <w:sz w:val="24"/>
          <w:lang w:val="en-US" w:eastAsia="zh-CN"/>
        </w:rPr>
        <w:t>上述四个地区</w:t>
      </w:r>
      <w:r>
        <w:rPr>
          <w:rFonts w:hint="eastAsia" w:ascii="宋体" w:hAnsi="宋体" w:eastAsia="宋体" w:cs="宋体"/>
          <w:color w:val="auto"/>
          <w:sz w:val="24"/>
        </w:rPr>
        <w:t>数据立法的横向参照</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需注意的是，</w:t>
      </w:r>
      <w:r>
        <w:rPr>
          <w:rFonts w:hint="eastAsia" w:ascii="宋体" w:hAnsi="宋体" w:eastAsia="宋体" w:cs="宋体"/>
          <w:color w:val="auto"/>
          <w:sz w:val="24"/>
        </w:rPr>
        <w:t>表</w:t>
      </w:r>
      <w:r>
        <w:rPr>
          <w:rFonts w:hint="eastAsia" w:ascii="宋体" w:hAnsi="宋体" w:eastAsia="宋体" w:cs="宋体"/>
          <w:color w:val="auto"/>
          <w:sz w:val="24"/>
          <w:lang w:val="en-US" w:eastAsia="zh-CN"/>
        </w:rPr>
        <w:t>5</w:t>
      </w:r>
      <w:r>
        <w:rPr>
          <w:rFonts w:hint="eastAsia" w:ascii="宋体" w:hAnsi="宋体" w:eastAsia="宋体" w:cs="宋体"/>
          <w:color w:val="auto"/>
          <w:sz w:val="24"/>
        </w:rPr>
        <w:t>的“重复”，指地方数据立法与《数据安全法》《网络安全法》《个人信息保护法》《网络数据安全管理条例（征求意见稿）》直接重复或“修饰性重复”</w:t>
      </w:r>
      <w:r>
        <w:rPr>
          <w:rFonts w:hint="eastAsia" w:ascii="宋体" w:hAnsi="宋体" w:eastAsia="宋体" w:cs="宋体"/>
          <w:color w:val="auto"/>
          <w:sz w:val="24"/>
          <w:lang w:eastAsia="zh-CN"/>
        </w:rPr>
        <w:t>。</w:t>
      </w:r>
      <w:r>
        <w:rPr>
          <w:rStyle w:val="17"/>
          <w:rFonts w:hint="default" w:ascii="Calibri" w:hAnsi="Calibri" w:eastAsia="宋体" w:cs="Calibri"/>
          <w:color w:val="auto"/>
          <w:sz w:val="24"/>
          <w:lang w:eastAsia="zh-CN"/>
        </w:rPr>
        <w:footnoteReference w:id="49"/>
      </w:r>
    </w:p>
    <w:p w14:paraId="20BE68CD">
      <w:pPr>
        <w:pStyle w:val="9"/>
        <w:keepNext w:val="0"/>
        <w:pageBreakBefore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color w:val="auto"/>
          <w:sz w:val="24"/>
          <w:lang w:eastAsia="zh-CN"/>
        </w:rPr>
      </w:pPr>
    </w:p>
    <w:p w14:paraId="39462F4C">
      <w:pPr>
        <w:keepNext w:val="0"/>
        <w:pageBreakBefore w:val="0"/>
        <w:kinsoku/>
        <w:wordWrap/>
        <w:overflowPunct/>
        <w:topLinePunct w:val="0"/>
        <w:autoSpaceDE/>
        <w:autoSpaceDN/>
        <w:bidi w:val="0"/>
        <w:adjustRightInd/>
        <w:snapToGrid w:val="0"/>
        <w:spacing w:line="360" w:lineRule="auto"/>
        <w:ind w:firstLine="420" w:firstLineChars="200"/>
        <w:jc w:val="center"/>
        <w:textAlignment w:val="auto"/>
        <w:rPr>
          <w:color w:val="auto"/>
        </w:rPr>
      </w:pPr>
      <w:r>
        <w:rPr>
          <w:rFonts w:hint="eastAsia"/>
          <w:color w:val="auto"/>
        </w:rPr>
        <w:t>表</w:t>
      </w:r>
      <w:r>
        <w:rPr>
          <w:rFonts w:hint="eastAsia"/>
          <w:color w:val="auto"/>
          <w:lang w:val="en-US" w:eastAsia="zh-CN"/>
        </w:rPr>
        <w:t>6</w:t>
      </w:r>
      <w:r>
        <w:rPr>
          <w:rFonts w:hint="eastAsia"/>
          <w:color w:val="auto"/>
        </w:rPr>
        <w:t xml:space="preserve"> </w:t>
      </w:r>
      <w:r>
        <w:rPr>
          <w:rFonts w:hint="eastAsia"/>
          <w:color w:val="auto"/>
          <w:lang w:val="en-US" w:eastAsia="zh-CN"/>
        </w:rPr>
        <w:t xml:space="preserve"> 8</w:t>
      </w:r>
      <w:r>
        <w:rPr>
          <w:rFonts w:hint="eastAsia"/>
          <w:color w:val="auto"/>
        </w:rPr>
        <w:t>个与</w:t>
      </w:r>
      <w:r>
        <w:rPr>
          <w:rFonts w:hint="eastAsia"/>
          <w:color w:val="auto"/>
          <w:lang w:val="en-US" w:eastAsia="zh-CN"/>
        </w:rPr>
        <w:t>甘肃、青海、西藏、宁夏</w:t>
      </w:r>
      <w:r>
        <w:rPr>
          <w:rFonts w:hint="eastAsia"/>
          <w:color w:val="auto"/>
        </w:rPr>
        <w:t>“情况相似”地区的数据立法重复率统计</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28"/>
        <w:gridCol w:w="1599"/>
        <w:gridCol w:w="1309"/>
        <w:gridCol w:w="1686"/>
      </w:tblGrid>
      <w:tr w14:paraId="52BDE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pct"/>
            <w:tcBorders>
              <w:top w:val="single" w:color="auto" w:sz="12" w:space="0"/>
              <w:left w:val="nil"/>
              <w:right w:val="nil"/>
            </w:tcBorders>
            <w:noWrap w:val="0"/>
            <w:vAlign w:val="center"/>
          </w:tcPr>
          <w:p w14:paraId="1C318CBF">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b w:val="0"/>
                <w:bCs w:val="0"/>
                <w:color w:val="auto"/>
              </w:rPr>
            </w:pPr>
            <w:r>
              <w:rPr>
                <w:rFonts w:hint="eastAsia" w:ascii="宋体" w:hAnsi="宋体" w:eastAsia="宋体" w:cs="宋体"/>
                <w:b w:val="0"/>
                <w:bCs w:val="0"/>
                <w:color w:val="auto"/>
                <w:kern w:val="2"/>
                <w:sz w:val="21"/>
                <w:szCs w:val="21"/>
              </w:rPr>
              <w:t>规范名称</w:t>
            </w:r>
          </w:p>
        </w:tc>
        <w:tc>
          <w:tcPr>
            <w:tcW w:w="938" w:type="pct"/>
            <w:tcBorders>
              <w:top w:val="single" w:color="auto" w:sz="12" w:space="0"/>
              <w:left w:val="nil"/>
              <w:right w:val="nil"/>
            </w:tcBorders>
            <w:noWrap w:val="0"/>
            <w:vAlign w:val="center"/>
          </w:tcPr>
          <w:p w14:paraId="173D5FAD">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rFonts w:eastAsia="宋体"/>
                <w:b w:val="0"/>
                <w:bCs w:val="0"/>
                <w:color w:val="auto"/>
              </w:rPr>
            </w:pPr>
            <w:r>
              <w:rPr>
                <w:rFonts w:hint="eastAsia" w:ascii="宋体" w:hAnsi="宋体" w:eastAsia="宋体" w:cs="宋体"/>
                <w:b w:val="0"/>
                <w:bCs w:val="0"/>
                <w:color w:val="auto"/>
                <w:kern w:val="2"/>
                <w:sz w:val="21"/>
                <w:szCs w:val="21"/>
              </w:rPr>
              <w:t>总条文数（条）</w:t>
            </w:r>
          </w:p>
        </w:tc>
        <w:tc>
          <w:tcPr>
            <w:tcW w:w="768" w:type="pct"/>
            <w:tcBorders>
              <w:top w:val="single" w:color="auto" w:sz="12" w:space="0"/>
              <w:left w:val="nil"/>
              <w:right w:val="nil"/>
            </w:tcBorders>
            <w:noWrap w:val="0"/>
            <w:vAlign w:val="center"/>
          </w:tcPr>
          <w:p w14:paraId="50A57755">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rFonts w:eastAsia="宋体"/>
                <w:b w:val="0"/>
                <w:bCs w:val="0"/>
                <w:color w:val="auto"/>
              </w:rPr>
            </w:pPr>
            <w:r>
              <w:rPr>
                <w:rFonts w:hint="eastAsia" w:ascii="宋体" w:hAnsi="宋体" w:eastAsia="宋体" w:cs="宋体"/>
                <w:b w:val="0"/>
                <w:bCs w:val="0"/>
                <w:color w:val="auto"/>
                <w:kern w:val="2"/>
                <w:sz w:val="21"/>
                <w:szCs w:val="21"/>
              </w:rPr>
              <w:t>重复条文数（条）</w:t>
            </w:r>
          </w:p>
        </w:tc>
        <w:tc>
          <w:tcPr>
            <w:tcW w:w="989" w:type="pct"/>
            <w:tcBorders>
              <w:top w:val="single" w:color="auto" w:sz="12" w:space="0"/>
              <w:left w:val="nil"/>
              <w:right w:val="nil"/>
            </w:tcBorders>
            <w:noWrap w:val="0"/>
            <w:vAlign w:val="center"/>
          </w:tcPr>
          <w:p w14:paraId="15A7BB1F">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rFonts w:ascii="宋体" w:hAnsi="宋体" w:eastAsia="宋体" w:cs="宋体"/>
                <w:b w:val="0"/>
                <w:bCs w:val="0"/>
                <w:color w:val="auto"/>
                <w:kern w:val="2"/>
                <w:sz w:val="21"/>
                <w:szCs w:val="21"/>
              </w:rPr>
            </w:pPr>
            <w:r>
              <w:rPr>
                <w:rFonts w:hint="eastAsia" w:ascii="宋体" w:hAnsi="宋体" w:eastAsia="宋体" w:cs="宋体"/>
                <w:b w:val="0"/>
                <w:bCs w:val="0"/>
                <w:color w:val="auto"/>
                <w:kern w:val="2"/>
                <w:sz w:val="21"/>
                <w:szCs w:val="21"/>
              </w:rPr>
              <w:t>重复率</w:t>
            </w:r>
          </w:p>
          <w:p w14:paraId="627B220B">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b w:val="0"/>
                <w:bCs w:val="0"/>
                <w:color w:val="auto"/>
              </w:rPr>
            </w:pPr>
            <w:r>
              <w:rPr>
                <w:rFonts w:hint="eastAsia" w:ascii="宋体" w:hAnsi="宋体" w:eastAsia="宋体" w:cs="宋体"/>
                <w:b w:val="0"/>
                <w:bCs w:val="0"/>
                <w:color w:val="auto"/>
                <w:kern w:val="2"/>
                <w:sz w:val="21"/>
                <w:szCs w:val="21"/>
              </w:rPr>
              <w:t>（单位: % ）</w:t>
            </w:r>
          </w:p>
        </w:tc>
      </w:tr>
      <w:tr w14:paraId="47084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pct"/>
            <w:tcBorders>
              <w:left w:val="nil"/>
              <w:bottom w:val="nil"/>
              <w:right w:val="nil"/>
            </w:tcBorders>
            <w:noWrap w:val="0"/>
            <w:vAlign w:val="center"/>
          </w:tcPr>
          <w:p w14:paraId="3A33A2F6">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宋体" w:hAnsi="宋体" w:eastAsia="宋体" w:cs="宋体"/>
                <w:b w:val="0"/>
                <w:bCs w:val="0"/>
                <w:color w:val="auto"/>
                <w:kern w:val="2"/>
                <w:sz w:val="21"/>
                <w:szCs w:val="21"/>
              </w:rPr>
              <w:t>《陕西省大数据条例》</w:t>
            </w:r>
          </w:p>
        </w:tc>
        <w:tc>
          <w:tcPr>
            <w:tcW w:w="938" w:type="pct"/>
            <w:tcBorders>
              <w:left w:val="nil"/>
              <w:bottom w:val="nil"/>
              <w:right w:val="nil"/>
            </w:tcBorders>
            <w:noWrap w:val="0"/>
            <w:vAlign w:val="center"/>
          </w:tcPr>
          <w:p w14:paraId="13C52CA0">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80</w:t>
            </w:r>
          </w:p>
        </w:tc>
        <w:tc>
          <w:tcPr>
            <w:tcW w:w="768" w:type="pct"/>
            <w:tcBorders>
              <w:left w:val="nil"/>
              <w:bottom w:val="nil"/>
              <w:right w:val="nil"/>
            </w:tcBorders>
            <w:noWrap w:val="0"/>
            <w:vAlign w:val="center"/>
          </w:tcPr>
          <w:p w14:paraId="3DC52655">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10</w:t>
            </w:r>
          </w:p>
        </w:tc>
        <w:tc>
          <w:tcPr>
            <w:tcW w:w="989" w:type="pct"/>
            <w:tcBorders>
              <w:left w:val="nil"/>
              <w:bottom w:val="nil"/>
              <w:right w:val="nil"/>
            </w:tcBorders>
            <w:noWrap w:val="0"/>
            <w:vAlign w:val="center"/>
          </w:tcPr>
          <w:p w14:paraId="17800123">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12.5</w:t>
            </w:r>
          </w:p>
        </w:tc>
      </w:tr>
      <w:tr w14:paraId="4F80A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pct"/>
            <w:tcBorders>
              <w:top w:val="nil"/>
              <w:left w:val="nil"/>
              <w:bottom w:val="nil"/>
              <w:right w:val="nil"/>
            </w:tcBorders>
            <w:noWrap w:val="0"/>
            <w:vAlign w:val="center"/>
          </w:tcPr>
          <w:p w14:paraId="286C4162">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宋体" w:hAnsi="宋体" w:eastAsia="宋体" w:cs="宋体"/>
                <w:b w:val="0"/>
                <w:bCs w:val="0"/>
                <w:color w:val="auto"/>
                <w:kern w:val="2"/>
                <w:sz w:val="21"/>
                <w:szCs w:val="21"/>
              </w:rPr>
              <w:t>《四川省数据条例》</w:t>
            </w:r>
          </w:p>
        </w:tc>
        <w:tc>
          <w:tcPr>
            <w:tcW w:w="938" w:type="pct"/>
            <w:tcBorders>
              <w:top w:val="nil"/>
              <w:left w:val="nil"/>
              <w:bottom w:val="nil"/>
              <w:right w:val="nil"/>
            </w:tcBorders>
            <w:noWrap w:val="0"/>
            <w:vAlign w:val="center"/>
          </w:tcPr>
          <w:p w14:paraId="3E2ED561">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69</w:t>
            </w:r>
          </w:p>
        </w:tc>
        <w:tc>
          <w:tcPr>
            <w:tcW w:w="768" w:type="pct"/>
            <w:tcBorders>
              <w:top w:val="nil"/>
              <w:left w:val="nil"/>
              <w:bottom w:val="nil"/>
              <w:right w:val="nil"/>
            </w:tcBorders>
            <w:noWrap w:val="0"/>
            <w:vAlign w:val="center"/>
          </w:tcPr>
          <w:p w14:paraId="0E96E0DF">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10</w:t>
            </w:r>
          </w:p>
        </w:tc>
        <w:tc>
          <w:tcPr>
            <w:tcW w:w="989" w:type="pct"/>
            <w:tcBorders>
              <w:top w:val="nil"/>
              <w:left w:val="nil"/>
              <w:bottom w:val="nil"/>
              <w:right w:val="nil"/>
            </w:tcBorders>
            <w:noWrap w:val="0"/>
            <w:vAlign w:val="center"/>
          </w:tcPr>
          <w:p w14:paraId="2A413CBF">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14.5</w:t>
            </w:r>
          </w:p>
        </w:tc>
      </w:tr>
      <w:tr w14:paraId="6A5A3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pct"/>
            <w:tcBorders>
              <w:top w:val="nil"/>
              <w:left w:val="nil"/>
              <w:bottom w:val="nil"/>
              <w:right w:val="nil"/>
            </w:tcBorders>
            <w:noWrap w:val="0"/>
            <w:vAlign w:val="center"/>
          </w:tcPr>
          <w:p w14:paraId="564079BC">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宋体" w:hAnsi="宋体" w:eastAsia="宋体" w:cs="宋体"/>
                <w:b w:val="0"/>
                <w:bCs w:val="0"/>
                <w:color w:val="auto"/>
                <w:kern w:val="2"/>
                <w:sz w:val="21"/>
                <w:szCs w:val="21"/>
              </w:rPr>
              <w:t>《重庆市数据条例》</w:t>
            </w:r>
          </w:p>
        </w:tc>
        <w:tc>
          <w:tcPr>
            <w:tcW w:w="938" w:type="pct"/>
            <w:tcBorders>
              <w:top w:val="nil"/>
              <w:left w:val="nil"/>
              <w:bottom w:val="nil"/>
              <w:right w:val="nil"/>
            </w:tcBorders>
            <w:noWrap w:val="0"/>
            <w:vAlign w:val="center"/>
          </w:tcPr>
          <w:p w14:paraId="64E0CA6C">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59</w:t>
            </w:r>
          </w:p>
        </w:tc>
        <w:tc>
          <w:tcPr>
            <w:tcW w:w="768" w:type="pct"/>
            <w:tcBorders>
              <w:top w:val="nil"/>
              <w:left w:val="nil"/>
              <w:bottom w:val="nil"/>
              <w:right w:val="nil"/>
            </w:tcBorders>
            <w:noWrap w:val="0"/>
            <w:vAlign w:val="center"/>
          </w:tcPr>
          <w:p w14:paraId="6AD8A1D9">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7</w:t>
            </w:r>
          </w:p>
        </w:tc>
        <w:tc>
          <w:tcPr>
            <w:tcW w:w="989" w:type="pct"/>
            <w:tcBorders>
              <w:top w:val="nil"/>
              <w:left w:val="nil"/>
              <w:bottom w:val="nil"/>
              <w:right w:val="nil"/>
            </w:tcBorders>
            <w:noWrap w:val="0"/>
            <w:vAlign w:val="center"/>
          </w:tcPr>
          <w:p w14:paraId="699162DE">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12.1</w:t>
            </w:r>
          </w:p>
        </w:tc>
      </w:tr>
      <w:tr w14:paraId="3DD97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pct"/>
            <w:tcBorders>
              <w:top w:val="nil"/>
              <w:left w:val="nil"/>
              <w:bottom w:val="nil"/>
              <w:right w:val="nil"/>
            </w:tcBorders>
            <w:noWrap w:val="0"/>
            <w:vAlign w:val="center"/>
          </w:tcPr>
          <w:p w14:paraId="06B623FE">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宋体" w:hAnsi="宋体" w:eastAsia="宋体" w:cs="宋体"/>
                <w:b w:val="0"/>
                <w:bCs w:val="0"/>
                <w:color w:val="auto"/>
                <w:kern w:val="2"/>
                <w:sz w:val="21"/>
                <w:szCs w:val="21"/>
              </w:rPr>
              <w:t>《广西壮族自治区大数据发展条例》</w:t>
            </w:r>
          </w:p>
        </w:tc>
        <w:tc>
          <w:tcPr>
            <w:tcW w:w="938" w:type="pct"/>
            <w:tcBorders>
              <w:top w:val="nil"/>
              <w:left w:val="nil"/>
              <w:bottom w:val="nil"/>
              <w:right w:val="nil"/>
            </w:tcBorders>
            <w:noWrap w:val="0"/>
            <w:vAlign w:val="center"/>
          </w:tcPr>
          <w:p w14:paraId="7CAF19B5">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77</w:t>
            </w:r>
          </w:p>
        </w:tc>
        <w:tc>
          <w:tcPr>
            <w:tcW w:w="768" w:type="pct"/>
            <w:tcBorders>
              <w:top w:val="nil"/>
              <w:left w:val="nil"/>
              <w:bottom w:val="nil"/>
              <w:right w:val="nil"/>
            </w:tcBorders>
            <w:noWrap w:val="0"/>
            <w:vAlign w:val="center"/>
          </w:tcPr>
          <w:p w14:paraId="7C112A58">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9</w:t>
            </w:r>
          </w:p>
        </w:tc>
        <w:tc>
          <w:tcPr>
            <w:tcW w:w="989" w:type="pct"/>
            <w:tcBorders>
              <w:top w:val="nil"/>
              <w:left w:val="nil"/>
              <w:bottom w:val="nil"/>
              <w:right w:val="nil"/>
            </w:tcBorders>
            <w:noWrap w:val="0"/>
            <w:vAlign w:val="center"/>
          </w:tcPr>
          <w:p w14:paraId="27B79EAC">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11.9</w:t>
            </w:r>
          </w:p>
        </w:tc>
      </w:tr>
      <w:tr w14:paraId="0646D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pct"/>
            <w:tcBorders>
              <w:top w:val="nil"/>
              <w:left w:val="nil"/>
              <w:bottom w:val="nil"/>
              <w:right w:val="nil"/>
            </w:tcBorders>
            <w:noWrap w:val="0"/>
            <w:vAlign w:val="center"/>
          </w:tcPr>
          <w:p w14:paraId="10B17D24">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宋体" w:hAnsi="宋体" w:eastAsia="宋体" w:cs="宋体"/>
                <w:b w:val="0"/>
                <w:bCs w:val="0"/>
                <w:color w:val="auto"/>
                <w:kern w:val="2"/>
                <w:sz w:val="21"/>
                <w:szCs w:val="21"/>
              </w:rPr>
              <w:t>《黑龙江省促进大数据发展应用条例》</w:t>
            </w:r>
          </w:p>
        </w:tc>
        <w:tc>
          <w:tcPr>
            <w:tcW w:w="938" w:type="pct"/>
            <w:tcBorders>
              <w:top w:val="nil"/>
              <w:left w:val="nil"/>
              <w:bottom w:val="nil"/>
              <w:right w:val="nil"/>
            </w:tcBorders>
            <w:noWrap w:val="0"/>
            <w:vAlign w:val="center"/>
          </w:tcPr>
          <w:p w14:paraId="2930FD85">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69</w:t>
            </w:r>
          </w:p>
        </w:tc>
        <w:tc>
          <w:tcPr>
            <w:tcW w:w="768" w:type="pct"/>
            <w:tcBorders>
              <w:top w:val="nil"/>
              <w:left w:val="nil"/>
              <w:bottom w:val="nil"/>
              <w:right w:val="nil"/>
            </w:tcBorders>
            <w:noWrap w:val="0"/>
            <w:vAlign w:val="center"/>
          </w:tcPr>
          <w:p w14:paraId="3FB955E4">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7</w:t>
            </w:r>
          </w:p>
        </w:tc>
        <w:tc>
          <w:tcPr>
            <w:tcW w:w="989" w:type="pct"/>
            <w:tcBorders>
              <w:top w:val="nil"/>
              <w:left w:val="nil"/>
              <w:bottom w:val="nil"/>
              <w:right w:val="nil"/>
            </w:tcBorders>
            <w:noWrap w:val="0"/>
            <w:vAlign w:val="center"/>
          </w:tcPr>
          <w:p w14:paraId="6A11A182">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10.1</w:t>
            </w:r>
          </w:p>
        </w:tc>
      </w:tr>
      <w:tr w14:paraId="514C2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pct"/>
            <w:tcBorders>
              <w:top w:val="nil"/>
              <w:left w:val="nil"/>
              <w:bottom w:val="nil"/>
              <w:right w:val="nil"/>
            </w:tcBorders>
            <w:noWrap w:val="0"/>
            <w:vAlign w:val="center"/>
          </w:tcPr>
          <w:p w14:paraId="2B173175">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宋体" w:hAnsi="宋体" w:eastAsia="宋体" w:cs="宋体"/>
                <w:b w:val="0"/>
                <w:bCs w:val="0"/>
                <w:color w:val="auto"/>
                <w:kern w:val="2"/>
                <w:sz w:val="21"/>
                <w:szCs w:val="21"/>
              </w:rPr>
              <w:t>《辽宁省大数据发展条例》</w:t>
            </w:r>
          </w:p>
        </w:tc>
        <w:tc>
          <w:tcPr>
            <w:tcW w:w="938" w:type="pct"/>
            <w:tcBorders>
              <w:top w:val="nil"/>
              <w:left w:val="nil"/>
              <w:bottom w:val="nil"/>
              <w:right w:val="nil"/>
            </w:tcBorders>
            <w:noWrap w:val="0"/>
            <w:vAlign w:val="center"/>
          </w:tcPr>
          <w:p w14:paraId="2BCB79C1">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53</w:t>
            </w:r>
          </w:p>
        </w:tc>
        <w:tc>
          <w:tcPr>
            <w:tcW w:w="768" w:type="pct"/>
            <w:tcBorders>
              <w:top w:val="nil"/>
              <w:left w:val="nil"/>
              <w:bottom w:val="nil"/>
              <w:right w:val="nil"/>
            </w:tcBorders>
            <w:noWrap w:val="0"/>
            <w:vAlign w:val="center"/>
          </w:tcPr>
          <w:p w14:paraId="2D0E5326">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5</w:t>
            </w:r>
          </w:p>
        </w:tc>
        <w:tc>
          <w:tcPr>
            <w:tcW w:w="989" w:type="pct"/>
            <w:tcBorders>
              <w:top w:val="nil"/>
              <w:left w:val="nil"/>
              <w:bottom w:val="nil"/>
              <w:right w:val="nil"/>
            </w:tcBorders>
            <w:noWrap w:val="0"/>
            <w:vAlign w:val="center"/>
          </w:tcPr>
          <w:p w14:paraId="28F4EEC5">
            <w:pPr>
              <w:keepNext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ascii="Times New Roman" w:hAnsi="Times New Roman" w:eastAsia="宋体" w:cs="Times New Roman"/>
                <w:color w:val="auto"/>
                <w:szCs w:val="21"/>
              </w:rPr>
              <w:t>9.4</w:t>
            </w:r>
          </w:p>
        </w:tc>
      </w:tr>
      <w:tr w14:paraId="3A452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pct"/>
            <w:tcBorders>
              <w:top w:val="nil"/>
              <w:left w:val="nil"/>
              <w:bottom w:val="nil"/>
              <w:right w:val="nil"/>
            </w:tcBorders>
            <w:noWrap w:val="0"/>
            <w:vAlign w:val="center"/>
          </w:tcPr>
          <w:p w14:paraId="5A00D709">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宋体" w:hAnsi="宋体" w:eastAsia="宋体" w:cs="宋体"/>
                <w:b w:val="0"/>
                <w:bCs w:val="0"/>
                <w:color w:val="auto"/>
                <w:kern w:val="2"/>
                <w:sz w:val="21"/>
                <w:szCs w:val="21"/>
              </w:rPr>
              <w:t>《吉林省促进大数据发展应用条例》</w:t>
            </w:r>
          </w:p>
        </w:tc>
        <w:tc>
          <w:tcPr>
            <w:tcW w:w="938" w:type="pct"/>
            <w:tcBorders>
              <w:top w:val="nil"/>
              <w:left w:val="nil"/>
              <w:bottom w:val="nil"/>
              <w:right w:val="nil"/>
            </w:tcBorders>
            <w:noWrap w:val="0"/>
            <w:vAlign w:val="center"/>
          </w:tcPr>
          <w:p w14:paraId="605E9CEC">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60</w:t>
            </w:r>
          </w:p>
        </w:tc>
        <w:tc>
          <w:tcPr>
            <w:tcW w:w="768" w:type="pct"/>
            <w:tcBorders>
              <w:top w:val="nil"/>
              <w:left w:val="nil"/>
              <w:bottom w:val="nil"/>
              <w:right w:val="nil"/>
            </w:tcBorders>
            <w:noWrap w:val="0"/>
            <w:vAlign w:val="center"/>
          </w:tcPr>
          <w:p w14:paraId="5479A67A">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9</w:t>
            </w:r>
          </w:p>
        </w:tc>
        <w:tc>
          <w:tcPr>
            <w:tcW w:w="989" w:type="pct"/>
            <w:tcBorders>
              <w:top w:val="nil"/>
              <w:left w:val="nil"/>
              <w:bottom w:val="nil"/>
              <w:right w:val="nil"/>
            </w:tcBorders>
            <w:noWrap w:val="0"/>
            <w:vAlign w:val="center"/>
          </w:tcPr>
          <w:p w14:paraId="61C7BF5D">
            <w:pPr>
              <w:pStyle w:val="3"/>
              <w:keepNext w:val="0"/>
              <w:pageBreakBefore w:val="0"/>
              <w:widowControl w:val="0"/>
              <w:kinsoku/>
              <w:wordWrap/>
              <w:overflowPunct/>
              <w:topLinePunct w:val="0"/>
              <w:autoSpaceDE/>
              <w:autoSpaceDN/>
              <w:bidi w:val="0"/>
              <w:adjustRightInd/>
              <w:snapToGrid w:val="0"/>
              <w:spacing w:before="0" w:after="0" w:line="360" w:lineRule="auto"/>
              <w:jc w:val="center"/>
              <w:textAlignment w:val="auto"/>
              <w:rPr>
                <w:color w:val="auto"/>
              </w:rPr>
            </w:pPr>
            <w:r>
              <w:rPr>
                <w:rFonts w:hint="eastAsia" w:ascii="Times New Roman" w:hAnsi="Times New Roman" w:eastAsia="宋体" w:cs="Times New Roman"/>
                <w:b w:val="0"/>
                <w:bCs w:val="0"/>
                <w:color w:val="auto"/>
                <w:kern w:val="2"/>
                <w:sz w:val="21"/>
                <w:szCs w:val="21"/>
              </w:rPr>
              <w:t>15</w:t>
            </w:r>
          </w:p>
        </w:tc>
      </w:tr>
      <w:tr w14:paraId="74775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pct"/>
            <w:tcBorders>
              <w:top w:val="nil"/>
              <w:left w:val="nil"/>
              <w:bottom w:val="single" w:color="auto" w:sz="12" w:space="0"/>
              <w:right w:val="nil"/>
            </w:tcBorders>
            <w:noWrap w:val="0"/>
            <w:vAlign w:val="center"/>
          </w:tcPr>
          <w:p w14:paraId="5F5C51F1">
            <w:pPr>
              <w:keepNext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ascii="宋体" w:hAnsi="宋体" w:eastAsia="宋体" w:cs="宋体"/>
                <w:color w:val="auto"/>
                <w:szCs w:val="21"/>
              </w:rPr>
              <w:t>《贵州省大数据安全保障条例》</w:t>
            </w:r>
          </w:p>
        </w:tc>
        <w:tc>
          <w:tcPr>
            <w:tcW w:w="938" w:type="pct"/>
            <w:tcBorders>
              <w:top w:val="nil"/>
              <w:left w:val="nil"/>
              <w:bottom w:val="single" w:color="auto" w:sz="12" w:space="0"/>
              <w:right w:val="nil"/>
            </w:tcBorders>
            <w:noWrap w:val="0"/>
            <w:vAlign w:val="center"/>
          </w:tcPr>
          <w:p w14:paraId="20254E3B">
            <w:pPr>
              <w:keepNext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ascii="Times New Roman" w:hAnsi="Times New Roman" w:eastAsia="宋体" w:cs="Times New Roman"/>
                <w:color w:val="auto"/>
                <w:szCs w:val="21"/>
              </w:rPr>
              <w:t>60</w:t>
            </w:r>
          </w:p>
        </w:tc>
        <w:tc>
          <w:tcPr>
            <w:tcW w:w="768" w:type="pct"/>
            <w:tcBorders>
              <w:top w:val="nil"/>
              <w:left w:val="nil"/>
              <w:bottom w:val="single" w:color="auto" w:sz="12" w:space="0"/>
              <w:right w:val="nil"/>
            </w:tcBorders>
            <w:noWrap w:val="0"/>
            <w:vAlign w:val="center"/>
          </w:tcPr>
          <w:p w14:paraId="4B8DE9B1">
            <w:pPr>
              <w:keepNext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ascii="Times New Roman" w:hAnsi="Times New Roman" w:eastAsia="宋体" w:cs="Times New Roman"/>
                <w:color w:val="auto"/>
                <w:szCs w:val="21"/>
              </w:rPr>
              <w:t>2</w:t>
            </w:r>
          </w:p>
        </w:tc>
        <w:tc>
          <w:tcPr>
            <w:tcW w:w="989" w:type="pct"/>
            <w:tcBorders>
              <w:top w:val="nil"/>
              <w:left w:val="nil"/>
              <w:bottom w:val="single" w:color="auto" w:sz="12" w:space="0"/>
              <w:right w:val="nil"/>
            </w:tcBorders>
            <w:noWrap w:val="0"/>
            <w:vAlign w:val="center"/>
          </w:tcPr>
          <w:p w14:paraId="70B7E8EC">
            <w:pPr>
              <w:keepNext w:val="0"/>
              <w:pageBreakBefore w:val="0"/>
              <w:widowControl w:val="0"/>
              <w:kinsoku/>
              <w:wordWrap/>
              <w:overflowPunct/>
              <w:topLinePunct w:val="0"/>
              <w:autoSpaceDE/>
              <w:autoSpaceDN/>
              <w:bidi w:val="0"/>
              <w:adjustRightInd/>
              <w:snapToGrid w:val="0"/>
              <w:spacing w:line="360" w:lineRule="auto"/>
              <w:jc w:val="center"/>
              <w:textAlignment w:val="auto"/>
              <w:rPr>
                <w:color w:val="auto"/>
              </w:rPr>
            </w:pPr>
            <w:r>
              <w:rPr>
                <w:rFonts w:hint="eastAsia" w:ascii="Times New Roman" w:hAnsi="Times New Roman" w:eastAsia="宋体" w:cs="Times New Roman"/>
                <w:color w:val="auto"/>
                <w:szCs w:val="21"/>
              </w:rPr>
              <w:t>3.3</w:t>
            </w:r>
          </w:p>
        </w:tc>
      </w:tr>
    </w:tbl>
    <w:p w14:paraId="3BBC146E">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宋体" w:hAnsi="宋体" w:eastAsia="宋体" w:cs="宋体"/>
          <w:color w:val="auto"/>
          <w:kern w:val="2"/>
          <w:sz w:val="24"/>
          <w:szCs w:val="24"/>
          <w:lang w:val="en-US" w:eastAsia="zh-CN" w:bidi="ar-SA"/>
        </w:rPr>
      </w:pPr>
    </w:p>
    <w:p w14:paraId="502A1634">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宋体" w:hAnsi="宋体" w:eastAsia="宋体" w:cs="宋体"/>
          <w:color w:val="auto"/>
          <w:sz w:val="24"/>
          <w:lang w:eastAsia="zh-CN"/>
        </w:rPr>
      </w:pPr>
      <w:r>
        <w:rPr>
          <w:rFonts w:hint="eastAsia" w:ascii="宋体" w:hAnsi="宋体" w:eastAsia="宋体" w:cs="宋体"/>
          <w:color w:val="auto"/>
          <w:kern w:val="2"/>
          <w:sz w:val="24"/>
          <w:szCs w:val="24"/>
          <w:lang w:val="en-US" w:eastAsia="zh-CN" w:bidi="ar-SA"/>
        </w:rPr>
        <w:t>经计算，按照上文确定的“原文重复”“扩充（缩减）重复”“拆分（组合）重复”的条文重复判断标准</w:t>
      </w:r>
      <w:r>
        <w:rPr>
          <w:rFonts w:hint="eastAsia" w:ascii="宋体" w:hAnsi="宋体" w:eastAsia="宋体" w:cs="宋体"/>
          <w:color w:val="auto"/>
          <w:sz w:val="24"/>
        </w:rPr>
        <w:t>，</w:t>
      </w:r>
      <w:r>
        <w:rPr>
          <w:rFonts w:hint="eastAsia" w:ascii="宋体" w:hAnsi="宋体" w:eastAsia="宋体" w:cs="宋体"/>
          <w:color w:val="auto"/>
          <w:sz w:val="24"/>
          <w:lang w:val="en-US" w:eastAsia="zh-CN"/>
        </w:rPr>
        <w:t>得出</w:t>
      </w:r>
      <w:r>
        <w:rPr>
          <w:rFonts w:hint="eastAsia" w:ascii="宋体" w:hAnsi="宋体" w:eastAsia="宋体" w:cs="宋体"/>
          <w:color w:val="auto"/>
          <w:sz w:val="24"/>
        </w:rPr>
        <w:t>贵州省的立法重复率最低，仅为3.3%。一是因为贵州数据立法采用的是分散立法模式，有条件留有更多条文空间作本土性规定</w:t>
      </w:r>
      <w:r>
        <w:rPr>
          <w:rFonts w:hint="eastAsia" w:ascii="Times New Roman" w:hAnsi="Times New Roman" w:eastAsia="宋体" w:cs="Times New Roman"/>
          <w:color w:val="auto"/>
          <w:sz w:val="24"/>
        </w:rPr>
        <w:t>；二是贵州数据立法进程启动时，应参照的数据领域上位法诸如《网络安全法》《数据安全法》《个人信息保护法》都尚未出台，无“法”重复。</w:t>
      </w:r>
      <w:r>
        <w:rPr>
          <w:rFonts w:hint="eastAsia" w:ascii="宋体" w:hAnsi="宋体" w:eastAsia="宋体" w:cs="宋体"/>
          <w:color w:val="auto"/>
          <w:kern w:val="2"/>
          <w:sz w:val="24"/>
          <w:szCs w:val="24"/>
          <w:lang w:val="en-US" w:eastAsia="zh-CN" w:bidi="ar-SA"/>
        </w:rPr>
        <w:t>除去贵州，其他七个地区的地方数据法规的平均重复率为12.2%</w:t>
      </w:r>
      <w:r>
        <w:rPr>
          <w:rFonts w:hint="eastAsia" w:ascii="宋体" w:hAnsi="宋体" w:eastAsia="宋体" w:cs="宋体"/>
          <w:color w:val="auto"/>
          <w:sz w:val="24"/>
          <w:lang w:eastAsia="zh-CN"/>
        </w:rPr>
        <w:t>。</w:t>
      </w:r>
    </w:p>
    <w:p w14:paraId="23184616">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黑体" w:hAnsi="黑体" w:eastAsia="黑体" w:cs="黑体"/>
          <w:color w:val="auto"/>
          <w:sz w:val="28"/>
          <w:szCs w:val="28"/>
          <w:lang w:val="en-US" w:eastAsia="zh-CN"/>
        </w:rPr>
      </w:pPr>
      <w:r>
        <w:rPr>
          <w:rFonts w:hint="eastAsia" w:ascii="宋体" w:hAnsi="宋体" w:eastAsia="宋体" w:cs="宋体"/>
          <w:color w:val="auto"/>
          <w:sz w:val="24"/>
          <w:lang w:val="en-US" w:eastAsia="zh-CN"/>
        </w:rPr>
        <w:t>“立法重复” 问题本质上是一致性和特色性的冲突与平衡。</w:t>
      </w:r>
      <w:r>
        <w:rPr>
          <w:rStyle w:val="17"/>
          <w:rFonts w:hint="default" w:ascii="Calibri" w:hAnsi="Calibri" w:eastAsia="宋体" w:cs="Calibri"/>
          <w:color w:val="auto"/>
          <w:sz w:val="24"/>
          <w:szCs w:val="24"/>
          <w:lang w:val="en-US" w:eastAsia="zh-CN"/>
        </w:rPr>
        <w:footnoteReference w:id="50"/>
      </w:r>
      <w:r>
        <w:rPr>
          <w:rFonts w:hint="eastAsia" w:ascii="宋体" w:hAnsi="宋体" w:eastAsia="宋体" w:cs="宋体"/>
          <w:color w:val="auto"/>
          <w:sz w:val="24"/>
          <w:lang w:val="en-US" w:eastAsia="zh-CN"/>
        </w:rPr>
        <w:t>对于地方立法来说, 中央在制定法律法规中的经验和做法无疑是最具权威性和可模仿性的, 所以在体例、内容和文字上全盘效法上位法在地方立法中就有了天然的合理性。</w:t>
      </w:r>
      <w:r>
        <w:rPr>
          <w:rStyle w:val="17"/>
          <w:rFonts w:hint="default" w:ascii="Calibri" w:hAnsi="Calibri" w:eastAsia="宋体" w:cs="Calibri"/>
          <w:color w:val="auto"/>
          <w:sz w:val="24"/>
          <w:szCs w:val="24"/>
          <w:lang w:val="en-US" w:eastAsia="zh-CN"/>
        </w:rPr>
        <w:footnoteReference w:id="51"/>
      </w:r>
      <w:commentRangeStart w:id="7"/>
      <w:r>
        <w:rPr>
          <w:rFonts w:hint="eastAsia" w:ascii="宋体" w:hAnsi="宋体" w:eastAsia="宋体" w:cs="宋体"/>
          <w:color w:val="auto"/>
          <w:sz w:val="24"/>
          <w:lang w:val="en-US" w:eastAsia="zh-CN"/>
        </w:rPr>
        <w:t>若将甘肃、青海、西藏、宁夏的数据法规重复率限定于</w:t>
      </w:r>
      <w:r>
        <w:rPr>
          <w:rFonts w:hint="eastAsia" w:ascii="宋体" w:hAnsi="宋体" w:eastAsia="宋体" w:cs="宋体"/>
          <w:color w:val="auto"/>
          <w:sz w:val="24"/>
        </w:rPr>
        <w:t>3.3%</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12.2 %的区间内，</w:t>
      </w:r>
      <w:r>
        <w:rPr>
          <w:rFonts w:hint="eastAsia" w:ascii="宋体" w:hAnsi="宋体" w:eastAsia="宋体" w:cs="宋体"/>
          <w:color w:val="auto"/>
          <w:sz w:val="24"/>
        </w:rPr>
        <w:t>相较于其他地区，就可谓更加合理地保</w:t>
      </w:r>
      <w:r>
        <w:rPr>
          <w:rFonts w:hint="eastAsia" w:ascii="Times New Roman" w:hAnsi="Times New Roman" w:eastAsia="宋体" w:cs="Times New Roman"/>
          <w:color w:val="auto"/>
          <w:sz w:val="24"/>
        </w:rPr>
        <w:t>证了地方法与国家法</w:t>
      </w:r>
      <w:r>
        <w:rPr>
          <w:rFonts w:hint="eastAsia" w:ascii="Times New Roman" w:hAnsi="Times New Roman" w:eastAsia="宋体" w:cs="Times New Roman"/>
          <w:color w:val="auto"/>
          <w:sz w:val="24"/>
          <w:lang w:val="en-US" w:eastAsia="zh-CN"/>
        </w:rPr>
        <w:t>之</w:t>
      </w:r>
      <w:r>
        <w:rPr>
          <w:rFonts w:hint="eastAsia" w:ascii="Times New Roman" w:hAnsi="Times New Roman" w:eastAsia="宋体" w:cs="Times New Roman"/>
          <w:color w:val="auto"/>
          <w:sz w:val="24"/>
        </w:rPr>
        <w:t>间的法制统一，又预留了充足的条文空间用以回应地方需求</w:t>
      </w:r>
      <w:commentRangeEnd w:id="7"/>
      <w:r>
        <w:rPr>
          <w:color w:val="auto"/>
        </w:rPr>
        <w:commentReference w:id="7"/>
      </w:r>
      <w:r>
        <w:rPr>
          <w:rFonts w:hint="eastAsia" w:ascii="Times New Roman" w:hAnsi="Times New Roman" w:eastAsia="宋体" w:cs="Times New Roman"/>
          <w:color w:val="auto"/>
          <w:sz w:val="24"/>
        </w:rPr>
        <w:t>，突出特殊问题特殊解决的地方实效，使地方立法评估标准真正意义上脱离对法制统一的迷恋，实</w:t>
      </w:r>
      <w:r>
        <w:rPr>
          <w:rFonts w:hint="eastAsia" w:ascii="Times New Roman" w:hAnsi="Times New Roman" w:eastAsia="宋体" w:cs="Times New Roman"/>
          <w:color w:val="auto"/>
          <w:sz w:val="24"/>
          <w:lang w:val="en-US" w:eastAsia="zh-CN"/>
        </w:rPr>
        <w:t>现</w:t>
      </w:r>
      <w:r>
        <w:rPr>
          <w:rFonts w:hint="eastAsia" w:ascii="Times New Roman" w:hAnsi="Times New Roman" w:eastAsia="宋体" w:cs="Times New Roman"/>
          <w:color w:val="auto"/>
          <w:sz w:val="24"/>
        </w:rPr>
        <w:t>地方性价值的回归。</w:t>
      </w:r>
    </w:p>
    <w:p w14:paraId="5331C894">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0"/>
        <w:rPr>
          <w:rFonts w:hint="eastAsia"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t>五、结语</w:t>
      </w:r>
    </w:p>
    <w:p w14:paraId="0B0DAEA8">
      <w:pPr>
        <w:keepNext w:val="0"/>
        <w:pageBreakBefore w:val="0"/>
        <w:kinsoku/>
        <w:wordWrap/>
        <w:overflowPunct/>
        <w:topLinePunct w:val="0"/>
        <w:autoSpaceDE/>
        <w:autoSpaceDN/>
        <w:bidi w:val="0"/>
        <w:adjustRightInd/>
        <w:snapToGrid w:val="0"/>
        <w:spacing w:line="360" w:lineRule="auto"/>
        <w:ind w:firstLine="480" w:firstLineChars="200"/>
        <w:textAlignment w:val="auto"/>
        <w:rPr>
          <w:rFonts w:hint="default" w:ascii="Times New Roman" w:hAnsi="Times New Roman" w:eastAsia="宋体" w:cs="Times New Roman"/>
          <w:b w:val="0"/>
          <w:bCs w:val="0"/>
          <w:color w:val="auto"/>
          <w:kern w:val="2"/>
          <w:sz w:val="21"/>
          <w:szCs w:val="21"/>
          <w:lang w:val="en-US" w:eastAsia="zh-CN"/>
        </w:rPr>
      </w:pPr>
      <w:r>
        <w:rPr>
          <w:rFonts w:hint="eastAsia" w:ascii="Times New Roman" w:hAnsi="Times New Roman" w:eastAsia="宋体" w:cs="Times New Roman"/>
          <w:color w:val="auto"/>
          <w:sz w:val="24"/>
        </w:rPr>
        <w:t>只有遵循原则才能维续自由，而奉行权宜之策则会摧毁自由。</w:t>
      </w:r>
      <w:r>
        <w:rPr>
          <w:rStyle w:val="17"/>
          <w:rFonts w:ascii="Calibri" w:hAnsi="Calibri" w:eastAsia="宋体" w:cs="Calibri"/>
          <w:color w:val="auto"/>
          <w:sz w:val="24"/>
          <w:szCs w:val="24"/>
        </w:rPr>
        <w:footnoteReference w:id="52"/>
      </w:r>
      <w:r>
        <w:rPr>
          <w:rFonts w:hint="eastAsia" w:ascii="Times New Roman" w:hAnsi="Times New Roman" w:eastAsia="宋体" w:cs="Times New Roman"/>
          <w:b w:val="0"/>
          <w:bCs w:val="0"/>
          <w:color w:val="auto"/>
          <w:kern w:val="2"/>
          <w:sz w:val="24"/>
          <w:szCs w:val="24"/>
          <w:lang w:val="en-US" w:eastAsia="zh-CN" w:bidi="ar-SA"/>
        </w:rPr>
        <w:t>在分析比较各地方数据立法现状与困境后，</w:t>
      </w:r>
      <w:r>
        <w:rPr>
          <w:rFonts w:hint="eastAsia" w:ascii="宋体" w:hAnsi="宋体" w:eastAsia="宋体" w:cs="宋体"/>
          <w:color w:val="auto"/>
          <w:sz w:val="24"/>
          <w:lang w:val="en-US" w:eastAsia="zh-CN"/>
        </w:rPr>
        <w:t>尚未完成省级</w:t>
      </w:r>
      <w:r>
        <w:rPr>
          <w:rFonts w:hint="eastAsia" w:ascii="Times New Roman" w:hAnsi="Times New Roman" w:eastAsia="宋体" w:cs="Times New Roman"/>
          <w:b w:val="0"/>
          <w:bCs w:val="0"/>
          <w:color w:val="auto"/>
          <w:kern w:val="2"/>
          <w:sz w:val="24"/>
          <w:szCs w:val="24"/>
          <w:lang w:val="en-US" w:eastAsia="zh-CN" w:bidi="ar-SA"/>
        </w:rPr>
        <w:t>数据立法工作的立法机关应当以立法的三个一般原则为进路：第一，在</w:t>
      </w:r>
      <w:r>
        <w:rPr>
          <w:rFonts w:hint="eastAsia" w:ascii="Times New Roman" w:hAnsi="Times New Roman" w:eastAsia="宋体" w:cs="Times New Roman"/>
          <w:b w:val="0"/>
          <w:bCs w:val="0"/>
          <w:color w:val="auto"/>
          <w:kern w:val="2"/>
          <w:sz w:val="24"/>
          <w:szCs w:val="24"/>
          <w:lang w:val="en-US" w:eastAsia="zh-CN"/>
        </w:rPr>
        <w:t>科学立法方面：采用准分散的立法模式，以“数据发展应用条例”“数据安全保障条例”的多元体例作为未来地方数据立法标准，而非欲求一步到位，忽略本土政治经济文化现状直接颁布“贪大求全”的“数据法典”；第二，在民主立法方面：以思想意识为媒介，通过“物质激励—外部社会控制—积极的立法公众参与”的“三段式”完善路径，应对地方数据立法极为可能出现的社会公众消极参与立法的困境；第三，在依法立法方面：在辩证分析法制统一与法制差异的关系后，本文以尚未出台数据立法的</w:t>
      </w:r>
      <w:r>
        <w:rPr>
          <w:rFonts w:hint="eastAsia" w:ascii="宋体" w:hAnsi="宋体" w:eastAsia="宋体" w:cs="宋体"/>
          <w:color w:val="auto"/>
          <w:sz w:val="24"/>
          <w:lang w:val="en-US" w:eastAsia="zh-CN"/>
        </w:rPr>
        <w:t>甘肃、青海、西藏、宁夏</w:t>
      </w:r>
      <w:r>
        <w:rPr>
          <w:rFonts w:hint="eastAsia" w:ascii="Times New Roman" w:hAnsi="Times New Roman" w:eastAsia="宋体" w:cs="Times New Roman"/>
          <w:b w:val="0"/>
          <w:bCs w:val="0"/>
          <w:color w:val="auto"/>
          <w:kern w:val="2"/>
          <w:sz w:val="24"/>
          <w:szCs w:val="24"/>
          <w:lang w:val="en-US" w:eastAsia="zh-CN"/>
        </w:rPr>
        <w:t>地区为例，提出将上述地区数据立法与上位法的重复率控制在</w:t>
      </w:r>
      <w:r>
        <w:rPr>
          <w:rFonts w:hint="eastAsia" w:ascii="宋体" w:hAnsi="宋体" w:eastAsia="宋体" w:cs="宋体"/>
          <w:color w:val="auto"/>
          <w:sz w:val="24"/>
        </w:rPr>
        <w:t>3.3%</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12.2 %的区间内</w:t>
      </w:r>
      <w:r>
        <w:rPr>
          <w:rFonts w:hint="eastAsia" w:ascii="Times New Roman" w:hAnsi="Times New Roman" w:eastAsia="宋体" w:cs="Times New Roman"/>
          <w:b w:val="0"/>
          <w:bCs w:val="0"/>
          <w:color w:val="auto"/>
          <w:kern w:val="2"/>
          <w:sz w:val="24"/>
          <w:szCs w:val="24"/>
          <w:lang w:val="en-US" w:eastAsia="zh-CN"/>
        </w:rPr>
        <w:t>，如此既有效纾解地方法地方性缺失的症结，又充分尊重中央立法的权威性。</w:t>
      </w:r>
    </w:p>
    <w:sectPr>
      <w:footerReference r:id="rId6" w:type="default"/>
      <w:footnotePr>
        <w:numFmt w:val="decimalEnclosedCircleChinese"/>
        <w:numRestart w:val="eachPage"/>
      </w:footnotePr>
      <w:endnotePr>
        <w:numFmt w:val="decimal"/>
      </w:endnotePr>
      <w:type w:val="continuous"/>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一树花开" w:date="2026-04-04T11:14:30Z" w:initials="">
    <w:p w14:paraId="295F28EC">
      <w:pPr>
        <w:pStyle w:val="5"/>
        <w:rPr>
          <w:rFonts w:hint="default" w:eastAsia="宋体"/>
          <w:lang w:val="en-US" w:eastAsia="zh-CN"/>
        </w:rPr>
      </w:pPr>
      <w:r>
        <w:rPr>
          <w:rFonts w:hint="eastAsia"/>
          <w:lang w:val="en-US" w:eastAsia="zh-CN"/>
        </w:rPr>
        <w:t>结论过于简化</w:t>
      </w:r>
    </w:p>
  </w:comment>
  <w:comment w:id="1" w:author="一树花开" w:date="2026-04-04T11:19:13Z" w:initials="">
    <w:p w14:paraId="799EDDA8">
      <w:pPr>
        <w:pStyle w:val="5"/>
        <w:rPr>
          <w:rFonts w:hint="default" w:eastAsia="宋体"/>
          <w:lang w:val="en-US" w:eastAsia="zh-CN"/>
        </w:rPr>
      </w:pPr>
      <w:r>
        <w:rPr>
          <w:rFonts w:hint="eastAsia"/>
          <w:lang w:val="en-US" w:eastAsia="zh-CN"/>
        </w:rPr>
        <w:t>本段定义有待清晰化</w:t>
      </w:r>
    </w:p>
  </w:comment>
  <w:comment w:id="2" w:author="一树花开" w:date="2026-04-04T11:19:48Z" w:initials="">
    <w:p w14:paraId="59566CAC">
      <w:pPr>
        <w:rPr>
          <w:rFonts w:hint="default" w:eastAsia="宋体"/>
          <w:lang w:val="en-US" w:eastAsia="zh-CN"/>
        </w:rPr>
      </w:pPr>
      <w:r>
        <w:t>“发展/利用”与“安全/保护”是一体两面，</w:t>
      </w:r>
      <w:r>
        <w:rPr>
          <w:rFonts w:hint="eastAsia"/>
          <w:lang w:val="en-US" w:eastAsia="zh-CN"/>
        </w:rPr>
        <w:t>何以剥离</w:t>
      </w:r>
    </w:p>
  </w:comment>
  <w:comment w:id="3" w:author="一树花开" w:date="2026-04-04T11:17:55Z" w:initials="">
    <w:p w14:paraId="1EEBD03C">
      <w:r>
        <w:t>回避核心论证</w:t>
      </w:r>
    </w:p>
  </w:comment>
  <w:comment w:id="4" w:author="一树花开" w:date="2026-04-04T11:18:08Z" w:initials="">
    <w:p w14:paraId="2ED60EFD">
      <w:pPr>
        <w:rPr>
          <w:rFonts w:hint="default"/>
          <w:lang w:val="en-US"/>
        </w:rPr>
      </w:pPr>
      <w:r>
        <w:rPr>
          <w:rFonts w:hint="eastAsia"/>
          <w:lang w:val="en-US" w:eastAsia="zh-CN"/>
        </w:rPr>
        <w:t>1和N是什么关系，如何协同</w:t>
      </w:r>
      <w:r>
        <w:t>，</w:t>
      </w:r>
      <w:r>
        <w:rPr>
          <w:rFonts w:hint="eastAsia"/>
          <w:lang w:val="en-US" w:eastAsia="zh-CN"/>
        </w:rPr>
        <w:t xml:space="preserve">政策性话语未能给出具体有效信息 </w:t>
      </w:r>
    </w:p>
  </w:comment>
  <w:comment w:id="5" w:author="一树花开" w:date="2026-04-04T11:22:40Z" w:initials="">
    <w:p w14:paraId="1BA6FA2A">
      <w:pPr>
        <w:pStyle w:val="5"/>
        <w:rPr>
          <w:rFonts w:hint="default" w:eastAsia="宋体"/>
          <w:lang w:val="en-US" w:eastAsia="zh-CN"/>
        </w:rPr>
      </w:pPr>
      <w:r>
        <w:rPr>
          <w:rFonts w:hint="eastAsia"/>
          <w:lang w:val="en-US" w:eastAsia="zh-CN"/>
        </w:rPr>
        <w:t>本段开始，论证重心游移，以个例比对替换整体论证。</w:t>
      </w:r>
    </w:p>
  </w:comment>
  <w:comment w:id="6" w:author="一树花开" w:date="2026-04-04T11:46:13Z" w:initials="">
    <w:p w14:paraId="0152ACFE">
      <w:pPr>
        <w:pStyle w:val="5"/>
        <w:rPr>
          <w:rFonts w:hint="default" w:eastAsia="宋体"/>
          <w:lang w:val="en-US" w:eastAsia="zh-CN"/>
        </w:rPr>
      </w:pPr>
      <w:r>
        <w:rPr>
          <w:rFonts w:hint="eastAsia"/>
          <w:lang w:val="en-US" w:eastAsia="zh-CN"/>
        </w:rPr>
        <w:t>建议细分三级标题，梳理内部层次。本部分理论具有一定深度，可考虑如何向读者清晰传达。</w:t>
      </w:r>
    </w:p>
  </w:comment>
  <w:comment w:id="7" w:author="一树花开" w:date="2026-04-04T12:00:16Z" w:initials="">
    <w:p w14:paraId="5BB3B148">
      <w:pPr>
        <w:pStyle w:val="5"/>
        <w:rPr>
          <w:rFonts w:hint="default" w:eastAsia="宋体"/>
          <w:lang w:val="en-US" w:eastAsia="zh-CN"/>
        </w:rPr>
      </w:pPr>
      <w:r>
        <w:rPr>
          <w:rFonts w:hint="eastAsia"/>
          <w:lang w:val="en-US" w:eastAsia="zh-CN"/>
        </w:rPr>
        <w:t>合理性可商榷</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95F28EC" w15:done="0"/>
  <w15:commentEx w15:paraId="799EDDA8" w15:done="0"/>
  <w15:commentEx w15:paraId="59566CAC" w15:done="0"/>
  <w15:commentEx w15:paraId="1EEBD03C" w15:done="0"/>
  <w15:commentEx w15:paraId="2ED60EFD" w15:done="0"/>
  <w15:commentEx w15:paraId="1BA6FA2A" w15:done="0"/>
  <w15:commentEx w15:paraId="0152ACFE" w15:done="0"/>
  <w15:commentEx w15:paraId="5BB3B14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151F2">
    <w:pPr>
      <w:pStyle w:val="7"/>
    </w:pPr>
  </w:p>
  <w:p w14:paraId="211DBCCA">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F13E621">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elEVo3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BnpRFaNwIAAG8EAAAOAAAAAAAAAAEAIAAAAB8BAABkcnMvZTJvRG9jLnht&#10;bFBLBQYAAAAABgAGAFkBAADIBQAAAAA=&#10;">
              <v:fill on="f" focussize="0,0"/>
              <v:stroke on="f" weight="0.5pt"/>
              <v:imagedata o:title=""/>
              <o:lock v:ext="edit" aspectratio="f"/>
              <v:textbox inset="0mm,0mm,0mm,0mm" style="mso-fit-shape-to-text:t;">
                <w:txbxContent>
                  <w:p w14:paraId="7F13E621">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6">
    <w:p>
      <w:r>
        <w:separator/>
      </w:r>
    </w:p>
  </w:footnote>
  <w:footnote w:type="continuationSeparator" w:id="107">
    <w:p>
      <w:r>
        <w:continuationSeparator/>
      </w:r>
    </w:p>
  </w:footnote>
  <w:footnote w:id="0">
    <w:p w14:paraId="03E70A39">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rPr>
          <w:rFonts w:hint="eastAsia" w:eastAsia="宋体"/>
          <w:lang w:eastAsia="zh-CN"/>
        </w:rPr>
      </w:pPr>
      <w:r>
        <w:rPr>
          <w:rFonts w:hint="eastAsia" w:eastAsia="宋体"/>
          <w:lang w:val="en-US" w:eastAsia="zh-CN"/>
        </w:rPr>
        <w:t xml:space="preserve">① </w:t>
      </w:r>
      <w:r>
        <w:rPr>
          <w:rFonts w:hint="eastAsia" w:ascii="宋体" w:hAnsi="宋体" w:eastAsia="宋体" w:cs="宋体"/>
        </w:rPr>
        <w:t>高一飞</w:t>
      </w:r>
      <w:r>
        <w:rPr>
          <w:rFonts w:hint="eastAsia" w:ascii="宋体" w:hAnsi="宋体" w:eastAsia="宋体" w:cs="宋体"/>
          <w:lang w:eastAsia="zh-CN"/>
        </w:rPr>
        <w:t>：</w:t>
      </w:r>
      <w:r>
        <w:rPr>
          <w:rFonts w:hint="eastAsia" w:ascii="宋体" w:hAnsi="宋体" w:eastAsia="宋体" w:cs="宋体"/>
        </w:rPr>
        <w:t>《论公共数据治理的地方化趋向与完善机制》，</w:t>
      </w:r>
      <w:r>
        <w:rPr>
          <w:rFonts w:hint="eastAsia" w:ascii="宋体" w:hAnsi="宋体" w:eastAsia="宋体" w:cs="宋体"/>
          <w:lang w:val="en-US" w:eastAsia="zh-CN"/>
        </w:rPr>
        <w:t>载</w:t>
      </w:r>
      <w:r>
        <w:rPr>
          <w:rFonts w:hint="eastAsia" w:ascii="宋体" w:hAnsi="宋体" w:eastAsia="宋体" w:cs="宋体"/>
        </w:rPr>
        <w:t>《行政法学研究》2023年第4期，第51-63页</w:t>
      </w:r>
      <w:r>
        <w:rPr>
          <w:rFonts w:hint="eastAsia" w:ascii="宋体" w:hAnsi="宋体" w:eastAsia="宋体" w:cs="宋体"/>
          <w:lang w:eastAsia="zh-CN"/>
        </w:rPr>
        <w:t>。</w:t>
      </w:r>
    </w:p>
  </w:footnote>
  <w:footnote w:id="1">
    <w:p w14:paraId="1871F86B">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rPr>
          <w:rFonts w:hint="eastAsia" w:eastAsia="宋体"/>
          <w:lang w:eastAsia="zh-CN"/>
        </w:rPr>
      </w:pPr>
      <w:r>
        <w:rPr>
          <w:rFonts w:hint="eastAsia" w:ascii="Calibri" w:hAnsi="Calibri" w:eastAsia="宋体" w:cs="Calibri"/>
          <w:lang w:val="en-US" w:eastAsia="zh-CN"/>
        </w:rPr>
        <w:t>②</w:t>
      </w:r>
      <w:r>
        <w:rPr>
          <w:rFonts w:hint="default" w:ascii="Calibri" w:hAnsi="Calibri" w:eastAsia="宋体" w:cs="Calibri"/>
          <w:lang w:val="en-US" w:eastAsia="zh-CN"/>
        </w:rPr>
        <w:t xml:space="preserve"> </w:t>
      </w:r>
      <w:r>
        <w:rPr>
          <w:rFonts w:hint="eastAsia" w:ascii="宋体" w:hAnsi="宋体" w:eastAsia="宋体" w:cs="宋体"/>
        </w:rPr>
        <w:t>陈晓勤：《需求识别与精准供给:大数据地方立法完善思考——基于政府部门与大数据相关企业调研的分析》，</w:t>
      </w:r>
      <w:r>
        <w:rPr>
          <w:rFonts w:hint="eastAsia" w:ascii="宋体" w:hAnsi="宋体" w:eastAsia="宋体" w:cs="宋体"/>
          <w:lang w:val="en-US" w:eastAsia="zh-CN"/>
        </w:rPr>
        <w:t>载</w:t>
      </w:r>
      <w:r>
        <w:rPr>
          <w:rFonts w:hint="eastAsia" w:ascii="宋体" w:hAnsi="宋体" w:eastAsia="宋体" w:cs="宋体"/>
        </w:rPr>
        <w:t>《法学杂志》2020年第11期，第91-101页</w:t>
      </w:r>
      <w:r>
        <w:rPr>
          <w:rFonts w:hint="eastAsia" w:ascii="宋体" w:hAnsi="宋体" w:eastAsia="宋体" w:cs="宋体"/>
          <w:lang w:eastAsia="zh-CN"/>
        </w:rPr>
        <w:t>。</w:t>
      </w:r>
    </w:p>
  </w:footnote>
  <w:footnote w:id="2">
    <w:p w14:paraId="1305C4B8">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rPr>
          <w:rFonts w:hint="eastAsia"/>
          <w:lang w:val="en-US" w:eastAsia="zh-CN"/>
        </w:rPr>
      </w:pPr>
      <w:r>
        <w:rPr>
          <w:rFonts w:hint="eastAsia"/>
          <w:lang w:val="en-US" w:eastAsia="zh-CN"/>
        </w:rPr>
        <w:footnoteRef/>
      </w:r>
      <w:r>
        <w:rPr>
          <w:rFonts w:hint="eastAsia"/>
          <w:lang w:val="en-US" w:eastAsia="zh-CN"/>
        </w:rPr>
        <w:t xml:space="preserve"> 文禹衡、张祎：《基</w:t>
      </w:r>
      <w:r>
        <w:rPr>
          <w:rFonts w:hint="eastAsia" w:ascii="宋体" w:hAnsi="宋体" w:eastAsia="宋体" w:cs="宋体"/>
          <w:lang w:val="en-US" w:eastAsia="zh-CN"/>
        </w:rPr>
        <w:t>于扎根理论的我国数据要素确权地方立法策略及其调整》，载《图书情报工作》2023年第7期，第53-66页。</w:t>
      </w:r>
    </w:p>
  </w:footnote>
  <w:footnote w:id="3">
    <w:p w14:paraId="260CD2B7">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rPr>
          <w:rFonts w:hint="eastAsia"/>
          <w:lang w:val="en-US" w:eastAsia="zh-CN"/>
        </w:rPr>
      </w:pPr>
      <w:r>
        <w:rPr>
          <w:rFonts w:hint="eastAsia"/>
          <w:lang w:val="en-US" w:eastAsia="zh-CN"/>
        </w:rPr>
        <w:footnoteRef/>
      </w:r>
      <w:r>
        <w:rPr>
          <w:rFonts w:hint="eastAsia"/>
          <w:lang w:val="en-US" w:eastAsia="zh-CN"/>
        </w:rPr>
        <w:t xml:space="preserve"> 时建中：《数据立法重点问题研究——以</w:t>
      </w:r>
      <w:r>
        <w:rPr>
          <w:rFonts w:hint="eastAsia" w:ascii="宋体" w:hAnsi="宋体" w:eastAsia="宋体" w:cs="宋体"/>
          <w:lang w:val="en-US" w:eastAsia="zh-CN"/>
        </w:rPr>
        <w:t>全国省级地方立法文件为研究对象》，中国政法大学出版社2024年版；王娟：《地方数据立法的路径和特点》，载《上海法学研究》2022年第23卷，第22-32页。</w:t>
      </w:r>
    </w:p>
  </w:footnote>
  <w:footnote w:id="4">
    <w:p w14:paraId="18C3EB43">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rPr>
          <w:rFonts w:hint="default" w:eastAsia="宋体"/>
          <w:lang w:val="en-US" w:eastAsia="zh-CN"/>
        </w:rPr>
      </w:pPr>
      <w:r>
        <w:rPr>
          <w:rFonts w:hint="eastAsia"/>
          <w:lang w:val="en-US" w:eastAsia="zh-CN"/>
        </w:rPr>
        <w:footnoteRef/>
      </w:r>
      <w:r>
        <w:rPr>
          <w:rFonts w:hint="eastAsia" w:eastAsia="宋体"/>
          <w:lang w:val="en-US" w:eastAsia="zh-CN"/>
        </w:rPr>
        <w:t xml:space="preserve"> 江国华：《立法模式及其类型化研究》，载《公法评论</w:t>
      </w:r>
      <w:r>
        <w:rPr>
          <w:rFonts w:hint="eastAsia" w:ascii="宋体" w:hAnsi="宋体" w:eastAsia="宋体" w:cs="宋体"/>
          <w:lang w:val="en-US" w:eastAsia="zh-CN"/>
        </w:rPr>
        <w:t>》2007年第4卷，第93-121页。</w:t>
      </w:r>
    </w:p>
  </w:footnote>
  <w:footnote w:id="5">
    <w:p w14:paraId="11CD1A5A">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footnoteRef/>
      </w:r>
      <w:r>
        <w:rPr>
          <w:rFonts w:hint="eastAsia" w:ascii="宋体" w:hAnsi="宋体" w:eastAsia="宋体" w:cs="宋体"/>
          <w:lang w:val="en-US" w:eastAsia="zh-CN"/>
        </w:rPr>
        <w:t xml:space="preserve"> 葛江虬：《论数据立法权的央地分配》，载《法学论坛》2024年第5期，第86-98页。</w:t>
      </w:r>
    </w:p>
  </w:footnote>
  <w:footnote w:id="6">
    <w:p w14:paraId="523135C5">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t>②</w:t>
      </w:r>
      <w:r>
        <w:t xml:space="preserve"> </w:t>
      </w:r>
      <w:r>
        <w:rPr>
          <w:rFonts w:hint="eastAsia"/>
        </w:rPr>
        <w:t>封丽霞：《地方立法的形式主义困境与出路》，</w:t>
      </w:r>
      <w:r>
        <w:rPr>
          <w:rFonts w:hint="eastAsia" w:ascii="宋体" w:hAnsi="宋体" w:eastAsia="宋体" w:cs="宋体"/>
          <w:lang w:val="en-US" w:eastAsia="zh-CN"/>
        </w:rPr>
        <w:t>载</w:t>
      </w:r>
      <w:r>
        <w:rPr>
          <w:rFonts w:hint="eastAsia"/>
        </w:rPr>
        <w:t>《地方立法</w:t>
      </w:r>
      <w:r>
        <w:rPr>
          <w:rFonts w:hint="eastAsia" w:ascii="宋体" w:hAnsi="宋体" w:eastAsia="宋体" w:cs="宋体"/>
        </w:rPr>
        <w:t>研究》2021年第6期，第65页</w:t>
      </w:r>
      <w:r>
        <w:rPr>
          <w:rFonts w:hint="eastAsia" w:ascii="宋体" w:hAnsi="宋体" w:eastAsia="宋体" w:cs="宋体"/>
          <w:lang w:eastAsia="zh-CN"/>
        </w:rPr>
        <w:t>。</w:t>
      </w:r>
    </w:p>
  </w:footnote>
  <w:footnote w:id="7">
    <w:p w14:paraId="0497D869">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rPr>
          <w:rFonts w:hint="eastAsia" w:ascii="宋体" w:hAnsi="宋体" w:eastAsia="宋体" w:cs="宋体"/>
        </w:rPr>
      </w:pPr>
      <w:r>
        <w:rPr>
          <w:rFonts w:hint="eastAsia"/>
          <w:lang w:val="en-US" w:eastAsia="zh-CN"/>
        </w:rPr>
        <w:footnoteRef/>
      </w:r>
      <w:r>
        <w:rPr>
          <w:rFonts w:hint="eastAsia" w:ascii="宋体" w:hAnsi="宋体" w:eastAsia="宋体" w:cs="宋体"/>
        </w:rPr>
        <w:t xml:space="preserve"> </w:t>
      </w:r>
      <w:r>
        <w:rPr>
          <w:rFonts w:hint="eastAsia" w:ascii="宋体" w:hAnsi="宋体" w:eastAsia="宋体" w:cs="宋体"/>
          <w:lang w:val="en-US" w:eastAsia="zh-CN"/>
        </w:rPr>
        <w:t>王怡</w:t>
      </w:r>
      <w:r>
        <w:rPr>
          <w:rFonts w:hint="eastAsia" w:ascii="宋体" w:hAnsi="宋体" w:eastAsia="宋体" w:cs="宋体"/>
          <w:lang w:eastAsia="zh-CN"/>
        </w:rPr>
        <w:t>：《</w:t>
      </w:r>
      <w:r>
        <w:rPr>
          <w:rFonts w:hint="eastAsia" w:ascii="宋体" w:hAnsi="宋体" w:eastAsia="宋体" w:cs="宋体"/>
        </w:rPr>
        <w:t>立法社会效果考量的方式及其决策思维</w:t>
      </w:r>
      <w:r>
        <w:rPr>
          <w:rFonts w:hint="eastAsia" w:ascii="宋体" w:hAnsi="宋体" w:eastAsia="宋体" w:cs="宋体"/>
          <w:lang w:eastAsia="zh-CN"/>
        </w:rPr>
        <w:t>》，</w:t>
      </w:r>
      <w:r>
        <w:rPr>
          <w:rFonts w:hint="eastAsia" w:ascii="宋体" w:hAnsi="宋体" w:eastAsia="宋体" w:cs="宋体"/>
          <w:lang w:val="en-US" w:eastAsia="zh-CN"/>
        </w:rPr>
        <w:t>载</w:t>
      </w:r>
      <w:r>
        <w:rPr>
          <w:rFonts w:hint="eastAsia" w:ascii="宋体" w:hAnsi="宋体" w:eastAsia="宋体" w:cs="宋体"/>
          <w:lang w:eastAsia="zh-CN"/>
        </w:rPr>
        <w:t>《</w:t>
      </w:r>
      <w:r>
        <w:rPr>
          <w:rFonts w:hint="eastAsia" w:ascii="宋体" w:hAnsi="宋体" w:eastAsia="宋体" w:cs="宋体"/>
        </w:rPr>
        <w:t>中国法学</w:t>
      </w:r>
      <w:r>
        <w:rPr>
          <w:rFonts w:hint="eastAsia" w:ascii="宋体" w:hAnsi="宋体" w:eastAsia="宋体" w:cs="宋体"/>
          <w:lang w:eastAsia="zh-CN"/>
        </w:rPr>
        <w:t>》</w:t>
      </w:r>
      <w:r>
        <w:rPr>
          <w:rFonts w:hint="eastAsia" w:ascii="宋体" w:hAnsi="宋体" w:eastAsia="宋体" w:cs="宋体"/>
          <w:lang w:val="en-US" w:eastAsia="zh-CN"/>
        </w:rPr>
        <w:t>2025年第2期，第205页。</w:t>
      </w:r>
    </w:p>
  </w:footnote>
  <w:footnote w:id="8">
    <w:p w14:paraId="59BCB810">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ascii="Calibri" w:hAnsi="Calibri" w:eastAsia="宋体" w:cs="Times New Roman"/>
          <w:kern w:val="2"/>
          <w:sz w:val="18"/>
          <w:szCs w:val="18"/>
          <w:lang w:val="en-US" w:eastAsia="zh-CN" w:bidi="ar-SA"/>
        </w:rPr>
        <w:footnoteRef/>
      </w:r>
      <w:r>
        <w:t xml:space="preserve"> </w:t>
      </w:r>
      <w:r>
        <w:rPr>
          <w:rFonts w:hint="eastAsia" w:ascii="宋体" w:hAnsi="宋体" w:eastAsia="宋体" w:cs="宋体"/>
          <w:lang w:val="en-US" w:eastAsia="zh-CN"/>
        </w:rPr>
        <w:t>贾丽萍：《数据立法研究》，中国政法大学出版社2023年版，第15页。</w:t>
      </w:r>
    </w:p>
  </w:footnote>
  <w:footnote w:id="9">
    <w:p w14:paraId="43E7206F">
      <w:pPr>
        <w:pStyle w:val="9"/>
        <w:keepNext w:val="0"/>
        <w:keepLines w:val="0"/>
        <w:pageBreakBefore w:val="0"/>
        <w:widowControl w:val="0"/>
        <w:kinsoku/>
        <w:wordWrap/>
        <w:overflowPunct/>
        <w:topLinePunct w:val="0"/>
        <w:bidi w:val="0"/>
        <w:adjustRightInd/>
        <w:snapToGrid w:val="0"/>
        <w:spacing w:line="360" w:lineRule="auto"/>
        <w:textAlignment w:val="auto"/>
        <w:rPr>
          <w:rFonts w:hint="eastAsia" w:ascii="宋体" w:hAnsi="宋体" w:eastAsia="宋体" w:cs="宋体"/>
          <w:kern w:val="2"/>
          <w:sz w:val="18"/>
          <w:szCs w:val="18"/>
          <w:lang w:val="en-US" w:eastAsia="zh-CN" w:bidi="ar-SA"/>
        </w:rPr>
      </w:pPr>
      <w:r>
        <w:rPr>
          <w:rFonts w:hint="eastAsia" w:cs="Times New Roman"/>
          <w:kern w:val="2"/>
          <w:sz w:val="18"/>
          <w:szCs w:val="18"/>
          <w:lang w:val="en-US" w:eastAsia="zh-CN" w:bidi="ar-SA"/>
        </w:rPr>
        <w:t xml:space="preserve">    </w:t>
      </w:r>
      <w:r>
        <w:rPr>
          <w:rFonts w:hint="eastAsia" w:ascii="Calibri" w:hAnsi="Calibri" w:eastAsia="宋体" w:cs="Times New Roman"/>
          <w:kern w:val="2"/>
          <w:sz w:val="18"/>
          <w:szCs w:val="18"/>
          <w:lang w:val="en-US" w:eastAsia="zh-CN" w:bidi="ar-SA"/>
        </w:rPr>
        <w:footnoteRef/>
      </w:r>
      <w:r>
        <w:rPr>
          <w:rFonts w:hint="eastAsia" w:ascii="Calibri" w:hAnsi="Calibri" w:eastAsia="宋体" w:cs="Times New Roman"/>
          <w:kern w:val="2"/>
          <w:sz w:val="18"/>
          <w:szCs w:val="18"/>
          <w:lang w:val="en-US" w:eastAsia="zh-CN" w:bidi="ar-SA"/>
        </w:rPr>
        <w:t xml:space="preserve"> </w:t>
      </w:r>
      <w:r>
        <w:rPr>
          <w:rFonts w:hint="eastAsia" w:cs="Times New Roman"/>
          <w:kern w:val="2"/>
          <w:sz w:val="18"/>
          <w:szCs w:val="18"/>
          <w:lang w:val="en-US" w:eastAsia="zh-CN" w:bidi="ar-SA"/>
        </w:rPr>
        <w:t>罗伯托·</w:t>
      </w:r>
      <w:r>
        <w:rPr>
          <w:rFonts w:hint="eastAsia" w:ascii="Calibri" w:hAnsi="Calibri" w:eastAsia="宋体" w:cs="Times New Roman"/>
          <w:kern w:val="2"/>
          <w:sz w:val="18"/>
          <w:szCs w:val="18"/>
          <w:lang w:val="en-US" w:eastAsia="zh-CN" w:bidi="ar-SA"/>
        </w:rPr>
        <w:t>昂格尔</w:t>
      </w:r>
      <w:r>
        <w:rPr>
          <w:rFonts w:hint="eastAsia" w:cs="Times New Roman"/>
          <w:kern w:val="2"/>
          <w:sz w:val="18"/>
          <w:szCs w:val="18"/>
          <w:lang w:val="en-US" w:eastAsia="zh-CN" w:bidi="ar-SA"/>
        </w:rPr>
        <w:t>：</w:t>
      </w:r>
      <w:r>
        <w:rPr>
          <w:rFonts w:hint="eastAsia" w:ascii="Calibri" w:hAnsi="Calibri" w:eastAsia="宋体" w:cs="Times New Roman"/>
          <w:kern w:val="2"/>
          <w:sz w:val="18"/>
          <w:szCs w:val="18"/>
          <w:lang w:val="en-US" w:eastAsia="zh-CN" w:bidi="ar-SA"/>
        </w:rPr>
        <w:t>《现代社会中的法律》，吴玉章、周汉华译</w:t>
      </w:r>
      <w:r>
        <w:rPr>
          <w:rFonts w:hint="eastAsia" w:cs="Times New Roman"/>
          <w:kern w:val="2"/>
          <w:sz w:val="18"/>
          <w:szCs w:val="18"/>
          <w:lang w:val="en-US" w:eastAsia="zh-CN" w:bidi="ar-SA"/>
        </w:rPr>
        <w:t>注</w:t>
      </w:r>
      <w:r>
        <w:rPr>
          <w:rFonts w:hint="eastAsia" w:ascii="Calibri" w:hAnsi="Calibri" w:eastAsia="宋体" w:cs="Times New Roman"/>
          <w:kern w:val="2"/>
          <w:sz w:val="18"/>
          <w:szCs w:val="18"/>
          <w:lang w:val="en-US" w:eastAsia="zh-CN" w:bidi="ar-SA"/>
        </w:rPr>
        <w:t>，中国政法大学出版</w:t>
      </w:r>
      <w:r>
        <w:rPr>
          <w:rFonts w:hint="eastAsia" w:ascii="宋体" w:hAnsi="宋体" w:eastAsia="宋体" w:cs="宋体"/>
          <w:kern w:val="2"/>
          <w:sz w:val="18"/>
          <w:szCs w:val="18"/>
          <w:lang w:val="en-US" w:eastAsia="zh-CN" w:bidi="ar-SA"/>
        </w:rPr>
        <w:t>社1994年版，第2页。</w:t>
      </w:r>
    </w:p>
  </w:footnote>
  <w:footnote w:id="10">
    <w:p w14:paraId="3DD12F21">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t xml:space="preserve"> </w:t>
      </w:r>
      <w:r>
        <w:rPr>
          <w:rFonts w:hint="eastAsia" w:ascii="宋体" w:hAnsi="宋体" w:eastAsia="宋体" w:cs="宋体"/>
          <w:lang w:val="en-US" w:eastAsia="zh-CN"/>
        </w:rPr>
        <w:t>马丁·洛克林：《公法与政治理论》，郑戈译注，商务印书馆2013年版，第</w:t>
      </w:r>
      <w:r>
        <w:rPr>
          <w:rFonts w:hint="default" w:ascii="宋体" w:hAnsi="宋体" w:eastAsia="宋体" w:cs="宋体"/>
          <w:lang w:val="en-US" w:eastAsia="zh-CN"/>
        </w:rPr>
        <w:t>85</w:t>
      </w:r>
      <w:r>
        <w:rPr>
          <w:rFonts w:hint="eastAsia" w:ascii="宋体" w:hAnsi="宋体" w:eastAsia="宋体" w:cs="宋体"/>
          <w:lang w:val="en-US" w:eastAsia="zh-CN"/>
        </w:rPr>
        <w:t>页。</w:t>
      </w:r>
    </w:p>
  </w:footnote>
  <w:footnote w:id="11">
    <w:p w14:paraId="14488D50">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t xml:space="preserve"> </w:t>
      </w:r>
      <w:r>
        <w:rPr>
          <w:rFonts w:hint="eastAsia"/>
        </w:rPr>
        <w:t>周樨平：《大数据时代企业数据权益保护论</w:t>
      </w:r>
      <w:r>
        <w:rPr>
          <w:rFonts w:hint="eastAsia" w:ascii="宋体" w:hAnsi="宋体" w:eastAsia="宋体" w:cs="宋体"/>
        </w:rPr>
        <w:t>》，</w:t>
      </w:r>
      <w:r>
        <w:rPr>
          <w:rFonts w:hint="eastAsia" w:ascii="宋体" w:hAnsi="宋体" w:eastAsia="宋体" w:cs="宋体"/>
          <w:lang w:val="en-US" w:eastAsia="zh-CN"/>
        </w:rPr>
        <w:t>载</w:t>
      </w:r>
      <w:r>
        <w:rPr>
          <w:rFonts w:hint="eastAsia" w:ascii="宋体" w:hAnsi="宋体" w:eastAsia="宋体" w:cs="宋体"/>
        </w:rPr>
        <w:t>《法学》2022年第5期，第</w:t>
      </w:r>
      <w:r>
        <w:rPr>
          <w:rFonts w:hint="eastAsia" w:ascii="宋体" w:hAnsi="宋体" w:eastAsia="宋体" w:cs="宋体"/>
          <w:lang w:val="en-US" w:eastAsia="zh-CN"/>
        </w:rPr>
        <w:t>168</w:t>
      </w:r>
      <w:r>
        <w:rPr>
          <w:rFonts w:hint="eastAsia" w:ascii="宋体" w:hAnsi="宋体" w:eastAsia="宋体" w:cs="宋体"/>
        </w:rPr>
        <w:t>页。</w:t>
      </w:r>
    </w:p>
  </w:footnote>
  <w:footnote w:id="12">
    <w:p w14:paraId="0B20770F">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eastAsia"/>
        </w:rPr>
        <w:t>袁泉：《</w:t>
      </w:r>
      <w:r>
        <w:t>论个人信息的私法定</w:t>
      </w:r>
      <w:r>
        <w:rPr>
          <w:rFonts w:ascii="宋体" w:hAnsi="宋体" w:eastAsia="宋体" w:cs="宋体"/>
        </w:rPr>
        <w:t>位与保护》，</w:t>
      </w:r>
      <w:r>
        <w:rPr>
          <w:rFonts w:hint="eastAsia" w:ascii="宋体" w:hAnsi="宋体" w:eastAsia="宋体" w:cs="宋体"/>
          <w:lang w:val="en-US" w:eastAsia="zh-CN"/>
        </w:rPr>
        <w:t>载</w:t>
      </w:r>
      <w:r>
        <w:rPr>
          <w:rFonts w:hint="eastAsia" w:ascii="宋体" w:hAnsi="宋体" w:eastAsia="宋体" w:cs="宋体"/>
        </w:rPr>
        <w:t>《</w:t>
      </w:r>
      <w:r>
        <w:rPr>
          <w:rFonts w:ascii="宋体" w:hAnsi="宋体" w:eastAsia="宋体" w:cs="宋体"/>
        </w:rPr>
        <w:t>大连理工大学学报</w:t>
      </w:r>
      <w:r>
        <w:rPr>
          <w:rFonts w:hint="eastAsia" w:ascii="宋体" w:hAnsi="宋体" w:eastAsia="宋体" w:cs="宋体"/>
        </w:rPr>
        <w:t>（</w:t>
      </w:r>
      <w:r>
        <w:rPr>
          <w:rFonts w:ascii="宋体" w:hAnsi="宋体" w:eastAsia="宋体" w:cs="宋体"/>
        </w:rPr>
        <w:t>社会科学版</w:t>
      </w:r>
      <w:r>
        <w:rPr>
          <w:rFonts w:hint="eastAsia" w:ascii="宋体" w:hAnsi="宋体" w:eastAsia="宋体" w:cs="宋体"/>
        </w:rPr>
        <w:t>）</w:t>
      </w:r>
      <w:r>
        <w:rPr>
          <w:rFonts w:ascii="宋体" w:hAnsi="宋体" w:eastAsia="宋体" w:cs="宋体"/>
        </w:rPr>
        <w:t>》</w:t>
      </w:r>
      <w:r>
        <w:rPr>
          <w:rFonts w:hint="eastAsia" w:ascii="宋体" w:hAnsi="宋体" w:eastAsia="宋体" w:cs="宋体"/>
        </w:rPr>
        <w:t>2020</w:t>
      </w:r>
      <w:r>
        <w:rPr>
          <w:rFonts w:ascii="宋体" w:hAnsi="宋体" w:eastAsia="宋体" w:cs="宋体"/>
        </w:rPr>
        <w:t>年第2期。</w:t>
      </w:r>
    </w:p>
  </w:footnote>
  <w:footnote w:id="13">
    <w:p w14:paraId="138B7D87">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t xml:space="preserve"> 王利明</w:t>
      </w:r>
      <w:r>
        <w:rPr>
          <w:rFonts w:hint="eastAsia"/>
        </w:rPr>
        <w:t>：</w:t>
      </w:r>
      <w:r>
        <w:t>《论数据来源者权利</w:t>
      </w:r>
      <w:r>
        <w:rPr>
          <w:rFonts w:ascii="宋体" w:hAnsi="宋体" w:eastAsia="宋体" w:cs="宋体"/>
        </w:rPr>
        <w:t>》，</w:t>
      </w:r>
      <w:r>
        <w:rPr>
          <w:rFonts w:hint="eastAsia" w:ascii="宋体" w:hAnsi="宋体" w:eastAsia="宋体" w:cs="宋体"/>
          <w:lang w:val="en-US" w:eastAsia="zh-CN"/>
        </w:rPr>
        <w:t>载</w:t>
      </w:r>
      <w:r>
        <w:rPr>
          <w:rFonts w:ascii="宋体" w:hAnsi="宋体" w:eastAsia="宋体" w:cs="宋体"/>
        </w:rPr>
        <w:t>《法制与社会发展》2023年第6期; 张新宝</w:t>
      </w:r>
      <w:r>
        <w:rPr>
          <w:rFonts w:hint="eastAsia" w:ascii="宋体" w:hAnsi="宋体" w:eastAsia="宋体" w:cs="宋体"/>
        </w:rPr>
        <w:t>：</w:t>
      </w:r>
      <w:r>
        <w:rPr>
          <w:rFonts w:hint="eastAsia" w:ascii="宋体" w:hAnsi="宋体" w:eastAsia="宋体" w:cs="宋体"/>
          <w:lang w:val="en-US" w:eastAsia="zh-CN"/>
        </w:rPr>
        <w:t>载</w:t>
      </w:r>
      <w:r>
        <w:rPr>
          <w:rFonts w:ascii="宋体" w:hAnsi="宋体" w:eastAsia="宋体" w:cs="宋体"/>
        </w:rPr>
        <w:t>《论个人信息权益的构造》，</w:t>
      </w:r>
      <w:r>
        <w:rPr>
          <w:rFonts w:hint="eastAsia" w:ascii="宋体" w:hAnsi="宋体" w:eastAsia="宋体" w:cs="宋体"/>
          <w:lang w:val="en-US" w:eastAsia="zh-CN"/>
        </w:rPr>
        <w:t>载</w:t>
      </w:r>
      <w:r>
        <w:rPr>
          <w:rFonts w:ascii="宋体" w:hAnsi="宋体" w:eastAsia="宋体" w:cs="宋体"/>
        </w:rPr>
        <w:t>《中外法学》2021年第5期</w:t>
      </w:r>
      <w:r>
        <w:rPr>
          <w:rFonts w:hint="eastAsia" w:ascii="宋体" w:hAnsi="宋体" w:eastAsia="宋体" w:cs="宋体"/>
        </w:rPr>
        <w:t>。</w:t>
      </w:r>
    </w:p>
  </w:footnote>
  <w:footnote w:id="14">
    <w:p w14:paraId="1113BDEA">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t xml:space="preserve"> </w:t>
      </w:r>
      <w:r>
        <w:rPr>
          <w:rFonts w:hint="eastAsia"/>
        </w:rPr>
        <w:t>孙莹：《企业数据确权与授权机制研究》，</w:t>
      </w:r>
      <w:r>
        <w:rPr>
          <w:rFonts w:hint="eastAsia" w:ascii="宋体" w:hAnsi="宋体" w:eastAsia="宋体" w:cs="宋体"/>
          <w:lang w:val="en-US" w:eastAsia="zh-CN"/>
        </w:rPr>
        <w:t>载</w:t>
      </w:r>
      <w:r>
        <w:rPr>
          <w:rFonts w:hint="eastAsia"/>
        </w:rPr>
        <w:t>《比较法研究</w:t>
      </w:r>
      <w:r>
        <w:rPr>
          <w:rFonts w:hint="eastAsia" w:ascii="宋体" w:hAnsi="宋体" w:eastAsia="宋体" w:cs="宋体"/>
        </w:rPr>
        <w:t>》2023年第3期，第68页。</w:t>
      </w:r>
    </w:p>
  </w:footnote>
  <w:footnote w:id="15">
    <w:p w14:paraId="1E49ABF6">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t xml:space="preserve"> </w:t>
      </w:r>
      <w:r>
        <w:rPr>
          <w:rFonts w:hint="eastAsia"/>
        </w:rPr>
        <w:t>丁晓东：《个人信息的双重属性与行为主义规制》，</w:t>
      </w:r>
      <w:r>
        <w:rPr>
          <w:rFonts w:hint="eastAsia" w:ascii="宋体" w:hAnsi="宋体" w:eastAsia="宋体" w:cs="宋体"/>
          <w:lang w:val="en-US" w:eastAsia="zh-CN"/>
        </w:rPr>
        <w:t>载</w:t>
      </w:r>
      <w:r>
        <w:rPr>
          <w:rFonts w:hint="eastAsia" w:ascii="宋体" w:hAnsi="宋体" w:eastAsia="宋体" w:cs="宋体"/>
        </w:rPr>
        <w:t>《法学家》2020 年第1期，第74页。</w:t>
      </w:r>
    </w:p>
  </w:footnote>
  <w:footnote w:id="16">
    <w:p w14:paraId="15DAAFD9">
      <w:pPr>
        <w:pStyle w:val="9"/>
        <w:keepNext w:val="0"/>
        <w:keepLines w:val="0"/>
        <w:pageBreakBefore w:val="0"/>
        <w:kinsoku/>
        <w:overflowPunct/>
        <w:topLinePunct w:val="0"/>
        <w:bidi w:val="0"/>
        <w:adjustRightInd/>
        <w:spacing w:line="360" w:lineRule="auto"/>
        <w:ind w:firstLine="360" w:firstLineChars="200"/>
        <w:textAlignment w:val="auto"/>
      </w:pPr>
      <w:r>
        <w:rPr>
          <w:rFonts w:hint="eastAsia"/>
          <w:lang w:val="en-US" w:eastAsia="zh-CN"/>
        </w:rPr>
        <w:footnoteRef/>
      </w:r>
      <w:r>
        <w:t xml:space="preserve"> </w:t>
      </w:r>
      <w:r>
        <w:rPr>
          <w:rFonts w:hint="eastAsia"/>
        </w:rPr>
        <w:t>李爱君：《论数据法学体系》，</w:t>
      </w:r>
      <w:r>
        <w:rPr>
          <w:rFonts w:hint="eastAsia" w:ascii="宋体" w:hAnsi="宋体" w:eastAsia="宋体" w:cs="宋体"/>
          <w:lang w:val="en-US" w:eastAsia="zh-CN"/>
        </w:rPr>
        <w:t>载</w:t>
      </w:r>
      <w:r>
        <w:rPr>
          <w:rFonts w:hint="eastAsia"/>
        </w:rPr>
        <w:t>《行政法学研究</w:t>
      </w:r>
      <w:r>
        <w:rPr>
          <w:rFonts w:hint="eastAsia" w:ascii="宋体" w:hAnsi="宋体" w:eastAsia="宋体" w:cs="宋体"/>
        </w:rPr>
        <w:t>》2023年第5期，第47页。</w:t>
      </w:r>
    </w:p>
  </w:footnote>
  <w:footnote w:id="17">
    <w:p w14:paraId="4D92AB0F">
      <w:pPr>
        <w:pStyle w:val="9"/>
        <w:snapToGrid w:val="0"/>
        <w:rPr>
          <w:rFonts w:hint="default" w:eastAsia="宋体"/>
          <w:lang w:val="en-US" w:eastAsia="zh-CN"/>
        </w:rPr>
      </w:pPr>
      <w:r>
        <w:rPr>
          <w:rFonts w:hint="eastAsia"/>
          <w:lang w:val="en-US" w:eastAsia="zh-CN"/>
        </w:rPr>
        <w:t xml:space="preserve">    </w:t>
      </w:r>
      <w:r>
        <w:rPr>
          <w:rFonts w:hint="eastAsia"/>
          <w:lang w:val="en-US" w:eastAsia="zh-CN"/>
        </w:rPr>
        <w:footnoteRef/>
      </w:r>
      <w:r>
        <w:t xml:space="preserve"> </w:t>
      </w:r>
      <w:r>
        <w:rPr>
          <w:rFonts w:hint="eastAsia"/>
          <w:lang w:val="en-US" w:eastAsia="zh-CN"/>
        </w:rPr>
        <w:t>数据来源于中国人大网。</w:t>
      </w:r>
    </w:p>
  </w:footnote>
  <w:footnote w:id="18">
    <w:p w14:paraId="03489EEB">
      <w:pPr>
        <w:pStyle w:val="9"/>
        <w:snapToGrid w:val="0"/>
        <w:ind w:firstLine="360" w:firstLineChars="200"/>
        <w:rPr>
          <w:rFonts w:hint="default" w:eastAsia="宋体"/>
          <w:lang w:val="en-US" w:eastAsia="zh-CN"/>
        </w:rPr>
      </w:pPr>
      <w:r>
        <w:rPr>
          <w:rFonts w:hint="default" w:ascii="Calibri" w:hAnsi="Calibri" w:cs="Calibri"/>
          <w:lang w:val="en-US" w:eastAsia="zh-CN"/>
        </w:rPr>
        <w:t>①</w:t>
      </w:r>
      <w:r>
        <w:rPr>
          <w:rFonts w:hint="eastAsia"/>
          <w:lang w:val="en-US" w:eastAsia="zh-CN"/>
        </w:rPr>
        <w:t xml:space="preserve"> 数据来源于各个地方人大、政府、司法行政部门等信息公开网。</w:t>
      </w:r>
    </w:p>
  </w:footnote>
  <w:footnote w:id="19">
    <w:p w14:paraId="68294013">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t>马长山</w:t>
      </w:r>
      <w:r>
        <w:rPr>
          <w:rFonts w:hint="eastAsia"/>
        </w:rPr>
        <w:t>：《</w:t>
      </w:r>
      <w:r>
        <w:t>智慧社会背景下的</w:t>
      </w:r>
      <w:r>
        <w:rPr>
          <w:rFonts w:hint="eastAsia"/>
        </w:rPr>
        <w:t>“</w:t>
      </w:r>
      <w:r>
        <w:t>第四代人权</w:t>
      </w:r>
      <w:r>
        <w:rPr>
          <w:rFonts w:hint="eastAsia"/>
        </w:rPr>
        <w:t>”</w:t>
      </w:r>
      <w:r>
        <w:t>及其</w:t>
      </w:r>
      <w:r>
        <w:rPr>
          <w:rFonts w:hint="eastAsia"/>
        </w:rPr>
        <w:t>保障》，</w:t>
      </w:r>
      <w:r>
        <w:rPr>
          <w:rFonts w:hint="eastAsia" w:ascii="宋体" w:hAnsi="宋体" w:eastAsia="宋体" w:cs="宋体"/>
          <w:lang w:val="en-US" w:eastAsia="zh-CN"/>
        </w:rPr>
        <w:t>载</w:t>
      </w:r>
      <w:r>
        <w:rPr>
          <w:rFonts w:hint="eastAsia"/>
        </w:rPr>
        <w:t>《中国法</w:t>
      </w:r>
      <w:r>
        <w:rPr>
          <w:rFonts w:hint="eastAsia" w:ascii="宋体" w:hAnsi="宋体" w:eastAsia="宋体" w:cs="宋体"/>
        </w:rPr>
        <w:t>学》2019年第5期，第12页。</w:t>
      </w:r>
    </w:p>
  </w:footnote>
  <w:footnote w:id="20">
    <w:p w14:paraId="704ECA7D">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eastAsia"/>
        </w:rPr>
        <w:t>冯</w:t>
      </w:r>
      <w:r>
        <w:rPr>
          <w:rFonts w:hint="eastAsia" w:ascii="黑体" w:hAnsi="黑体" w:eastAsia="黑体" w:cs="黑体"/>
        </w:rPr>
        <w:t>·</w:t>
      </w:r>
      <w:r>
        <w:rPr>
          <w:rFonts w:hint="eastAsia"/>
        </w:rPr>
        <w:t>哈耶克：《自由秩序原理》，邓正来译注，生活</w:t>
      </w:r>
      <w:r>
        <w:rPr>
          <w:rFonts w:hint="eastAsia" w:ascii="黑体" w:hAnsi="黑体" w:eastAsia="黑体" w:cs="黑体"/>
        </w:rPr>
        <w:t>·</w:t>
      </w:r>
      <w:r>
        <w:rPr>
          <w:rFonts w:hint="eastAsia"/>
        </w:rPr>
        <w:t>读书</w:t>
      </w:r>
      <w:r>
        <w:rPr>
          <w:rFonts w:hint="eastAsia" w:ascii="黑体" w:hAnsi="黑体" w:eastAsia="黑体" w:cs="黑体"/>
        </w:rPr>
        <w:t>·</w:t>
      </w:r>
      <w:r>
        <w:rPr>
          <w:rFonts w:hint="eastAsia"/>
        </w:rPr>
        <w:t>新知三联</w:t>
      </w:r>
      <w:r>
        <w:rPr>
          <w:rFonts w:hint="eastAsia" w:ascii="宋体" w:hAnsi="宋体" w:eastAsia="宋体" w:cs="宋体"/>
        </w:rPr>
        <w:t>书店1997</w:t>
      </w:r>
      <w:r>
        <w:rPr>
          <w:rFonts w:hint="eastAsia" w:ascii="宋体" w:hAnsi="宋体" w:eastAsia="宋体" w:cs="宋体"/>
          <w:lang w:val="en-US" w:eastAsia="zh-CN"/>
        </w:rPr>
        <w:t>年版</w:t>
      </w:r>
      <w:r>
        <w:rPr>
          <w:rFonts w:hint="eastAsia" w:ascii="宋体" w:hAnsi="宋体" w:eastAsia="宋体" w:cs="宋体"/>
        </w:rPr>
        <w:t>，第378页。</w:t>
      </w:r>
    </w:p>
  </w:footnote>
  <w:footnote w:id="21">
    <w:p w14:paraId="326D7CDD">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t xml:space="preserve"> </w:t>
      </w:r>
      <w:r>
        <w:rPr>
          <w:rFonts w:hint="eastAsia"/>
        </w:rPr>
        <w:t>乔</w:t>
      </w:r>
      <w:r>
        <w:rPr>
          <w:rFonts w:hint="eastAsia" w:ascii="黑体" w:hAnsi="黑体" w:eastAsia="黑体" w:cs="黑体"/>
        </w:rPr>
        <w:t>·</w:t>
      </w:r>
      <w:r>
        <w:rPr>
          <w:rFonts w:hint="eastAsia"/>
        </w:rPr>
        <w:t>萨托利：《民主新论》，冯克利等译注，东方出版社</w:t>
      </w:r>
      <w:r>
        <w:rPr>
          <w:rFonts w:hint="eastAsia" w:ascii="宋体" w:hAnsi="宋体" w:eastAsia="宋体" w:cs="宋体"/>
        </w:rPr>
        <w:t>1993</w:t>
      </w:r>
      <w:r>
        <w:rPr>
          <w:rFonts w:hint="eastAsia" w:ascii="宋体" w:hAnsi="宋体" w:eastAsia="宋体" w:cs="宋体"/>
          <w:lang w:val="en-US" w:eastAsia="zh-CN"/>
        </w:rPr>
        <w:t>年版</w:t>
      </w:r>
      <w:r>
        <w:rPr>
          <w:rFonts w:hint="eastAsia" w:ascii="宋体" w:hAnsi="宋体" w:eastAsia="宋体" w:cs="宋体"/>
        </w:rPr>
        <w:t>，第4页。</w:t>
      </w:r>
    </w:p>
  </w:footnote>
  <w:footnote w:id="22">
    <w:p w14:paraId="39DDC99A">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eastAsia"/>
        </w:rPr>
        <w:t>朱力宇：《地方立法的民主化与科学化问题研究》，中国人民大学出版</w:t>
      </w:r>
      <w:r>
        <w:rPr>
          <w:rFonts w:hint="eastAsia" w:ascii="宋体" w:hAnsi="宋体" w:eastAsia="宋体" w:cs="宋体"/>
        </w:rPr>
        <w:t>社2011</w:t>
      </w:r>
      <w:r>
        <w:rPr>
          <w:rFonts w:hint="eastAsia" w:ascii="宋体" w:hAnsi="宋体" w:eastAsia="宋体" w:cs="宋体"/>
          <w:lang w:val="en-US" w:eastAsia="zh-CN"/>
        </w:rPr>
        <w:t>年版</w:t>
      </w:r>
      <w:r>
        <w:rPr>
          <w:rFonts w:hint="eastAsia" w:ascii="宋体" w:hAnsi="宋体" w:eastAsia="宋体" w:cs="宋体"/>
        </w:rPr>
        <w:t>，第12页。</w:t>
      </w:r>
    </w:p>
  </w:footnote>
  <w:footnote w:id="23">
    <w:p w14:paraId="1389E602">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t>张晓</w:t>
      </w:r>
      <w:r>
        <w:rPr>
          <w:rFonts w:hint="eastAsia"/>
        </w:rPr>
        <w:t>、</w:t>
      </w:r>
      <w:r>
        <w:t>岳盈盈</w:t>
      </w:r>
      <w:r>
        <w:rPr>
          <w:rFonts w:hint="eastAsia"/>
          <w:lang w:eastAsia="zh-CN"/>
        </w:rPr>
        <w:t>：</w:t>
      </w:r>
      <w:r>
        <w:t>《打通立法与民意之间最后一公里</w:t>
      </w:r>
      <w:r>
        <w:rPr>
          <w:rFonts w:hint="eastAsia" w:ascii="宋体" w:hAnsi="宋体" w:eastAsia="宋体" w:cs="宋体"/>
        </w:rPr>
        <w:t>——</w:t>
      </w:r>
      <w:r>
        <w:t>关于破解地方公众有序参与困局的实证研究》，</w:t>
      </w:r>
      <w:r>
        <w:rPr>
          <w:rFonts w:hint="eastAsia"/>
          <w:lang w:val="en-US" w:eastAsia="zh-CN"/>
        </w:rPr>
        <w:t>载</w:t>
      </w:r>
      <w:r>
        <w:t>《中国行政管理</w:t>
      </w:r>
      <w:r>
        <w:rPr>
          <w:rFonts w:ascii="宋体" w:hAnsi="宋体" w:eastAsia="宋体" w:cs="宋体"/>
        </w:rPr>
        <w:t>》2017年第2期，第26-27页。</w:t>
      </w:r>
    </w:p>
  </w:footnote>
  <w:footnote w:id="24">
    <w:p w14:paraId="27F31E79">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rPr>
          <w:rFonts w:hint="default"/>
          <w:lang w:val="en-US"/>
        </w:rPr>
      </w:pPr>
      <w:r>
        <w:rPr>
          <w:rFonts w:hint="eastAsia"/>
          <w:lang w:val="en-US" w:eastAsia="zh-CN"/>
        </w:rPr>
        <w:footnoteRef/>
      </w:r>
      <w:r>
        <w:rPr>
          <w:rFonts w:hint="eastAsia" w:ascii="Calibri" w:hAnsi="Calibri" w:eastAsia="宋体" w:cs="Times New Roman"/>
          <w:kern w:val="2"/>
          <w:sz w:val="20"/>
          <w:szCs w:val="22"/>
          <w:lang w:val="en-US" w:eastAsia="zh-CN" w:bidi="ar-SA"/>
        </w:rPr>
        <w:t xml:space="preserve"> </w:t>
      </w:r>
      <w:r>
        <w:rPr>
          <w:rFonts w:hint="eastAsia"/>
          <w:lang w:val="en-US" w:eastAsia="zh-CN"/>
        </w:rPr>
        <w:t>王天夫：《数字时代的社会变迁与社会研究》，载《中国社会科学》</w:t>
      </w:r>
      <w:r>
        <w:rPr>
          <w:rFonts w:hint="eastAsia" w:ascii="宋体" w:hAnsi="宋体" w:eastAsia="宋体" w:cs="宋体"/>
          <w:lang w:val="en-US" w:eastAsia="zh-CN"/>
        </w:rPr>
        <w:t>2021年第12期，第75页。</w:t>
      </w:r>
    </w:p>
  </w:footnote>
  <w:footnote w:id="25">
    <w:p w14:paraId="4DB72A2F">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t xml:space="preserve"> </w:t>
      </w:r>
      <w:r>
        <w:rPr>
          <w:rFonts w:hint="eastAsia"/>
        </w:rPr>
        <w:t>罗斯：《社会控制论》，秦志勇、毛永政译注，华夏</w:t>
      </w:r>
      <w:r>
        <w:rPr>
          <w:rFonts w:hint="eastAsia" w:ascii="宋体" w:hAnsi="宋体" w:eastAsia="宋体" w:cs="宋体"/>
        </w:rPr>
        <w:t>出版社1989</w:t>
      </w:r>
      <w:r>
        <w:rPr>
          <w:rFonts w:hint="eastAsia" w:ascii="宋体" w:hAnsi="宋体" w:eastAsia="宋体" w:cs="宋体"/>
          <w:lang w:val="en-US" w:eastAsia="zh-CN"/>
        </w:rPr>
        <w:t>年版</w:t>
      </w:r>
      <w:r>
        <w:rPr>
          <w:rFonts w:hint="eastAsia" w:ascii="宋体" w:hAnsi="宋体" w:eastAsia="宋体" w:cs="宋体"/>
        </w:rPr>
        <w:t>，第1-2页。</w:t>
      </w:r>
    </w:p>
  </w:footnote>
  <w:footnote w:id="26">
    <w:p w14:paraId="24DBBE41">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eastAsia"/>
        </w:rPr>
        <w:t>青觉、徐欣顺：《</w:t>
      </w:r>
      <w:r>
        <w:rPr>
          <w:rFonts w:hint="eastAsia" w:ascii="宋体" w:hAnsi="宋体" w:eastAsia="宋体" w:cs="宋体"/>
        </w:rPr>
        <w:t>中华民族共同体意识：概念内涵、要素分析与实践逻辑》，</w:t>
      </w:r>
      <w:r>
        <w:rPr>
          <w:rFonts w:hint="eastAsia" w:ascii="宋体" w:hAnsi="宋体" w:eastAsia="宋体" w:cs="宋体"/>
          <w:lang w:val="en-US" w:eastAsia="zh-CN"/>
        </w:rPr>
        <w:t>载</w:t>
      </w:r>
      <w:r>
        <w:rPr>
          <w:rFonts w:hint="eastAsia" w:ascii="宋体" w:hAnsi="宋体" w:eastAsia="宋体" w:cs="宋体"/>
        </w:rPr>
        <w:t>《民族研究》2018年第6期，第11页。</w:t>
      </w:r>
    </w:p>
  </w:footnote>
  <w:footnote w:id="27">
    <w:p w14:paraId="5596F91D">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eastAsia"/>
        </w:rPr>
        <w:t>《马克思恩格斯全集（第三卷）》，中共中央编译局译注，人民出</w:t>
      </w:r>
      <w:r>
        <w:rPr>
          <w:rFonts w:hint="eastAsia" w:ascii="宋体" w:hAnsi="宋体" w:eastAsia="宋体" w:cs="宋体"/>
        </w:rPr>
        <w:t>版社1995</w:t>
      </w:r>
      <w:r>
        <w:rPr>
          <w:rFonts w:hint="eastAsia" w:ascii="宋体" w:hAnsi="宋体" w:eastAsia="宋体" w:cs="宋体"/>
          <w:lang w:val="en-US" w:eastAsia="zh-CN"/>
        </w:rPr>
        <w:t>年版</w:t>
      </w:r>
      <w:r>
        <w:rPr>
          <w:rFonts w:hint="eastAsia" w:ascii="宋体" w:hAnsi="宋体" w:eastAsia="宋体" w:cs="宋体"/>
        </w:rPr>
        <w:t>，第169页。</w:t>
      </w:r>
    </w:p>
  </w:footnote>
  <w:footnote w:id="28">
    <w:p w14:paraId="4330ACB3">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t xml:space="preserve"> </w:t>
      </w:r>
      <w:r>
        <w:rPr>
          <w:rFonts w:ascii="Times New Roman" w:hAnsi="Times New Roman" w:eastAsia="宋体" w:cs="Times New Roman"/>
        </w:rPr>
        <w:t>Sidney Verba and Norman H. Nie</w:t>
      </w:r>
      <w:r>
        <w:rPr>
          <w:rFonts w:hint="eastAsia" w:ascii="Times New Roman" w:hAnsi="Times New Roman" w:eastAsia="宋体" w:cs="Times New Roman"/>
          <w:lang w:val="en-US" w:eastAsia="zh-CN"/>
        </w:rPr>
        <w:t>. (1972).</w:t>
      </w:r>
      <w:r>
        <w:rPr>
          <w:rFonts w:ascii="Times New Roman" w:hAnsi="Times New Roman" w:eastAsia="宋体" w:cs="Times New Roman"/>
        </w:rPr>
        <w:t xml:space="preserve"> </w:t>
      </w:r>
      <w:r>
        <w:rPr>
          <w:rFonts w:ascii="Times New Roman" w:hAnsi="Times New Roman" w:eastAsia="宋体" w:cs="Times New Roman"/>
          <w:i/>
          <w:iCs/>
        </w:rPr>
        <w:t>Participation in America: Political Democracy and Social Equality</w:t>
      </w:r>
      <w:r>
        <w:rPr>
          <w:rFonts w:ascii="Times New Roman" w:hAnsi="Times New Roman" w:eastAsia="宋体" w:cs="Times New Roman"/>
        </w:rPr>
        <w:t>, Harper＆Row, pp. 11．</w:t>
      </w:r>
    </w:p>
  </w:footnote>
  <w:footnote w:id="29">
    <w:p w14:paraId="570BA374">
      <w:pPr>
        <w:pStyle w:val="9"/>
        <w:keepNext w:val="0"/>
        <w:keepLines w:val="0"/>
        <w:pageBreakBefore w:val="0"/>
        <w:kinsoku/>
        <w:overflowPunct/>
        <w:topLinePunct w:val="0"/>
        <w:bidi w:val="0"/>
        <w:adjustRightInd/>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eastAsia"/>
        </w:rPr>
        <w:t>封丽霞：《地方立法的形式主义困境与出路》，</w:t>
      </w:r>
      <w:r>
        <w:rPr>
          <w:rFonts w:hint="eastAsia" w:ascii="宋体" w:hAnsi="宋体" w:eastAsia="宋体" w:cs="宋体"/>
          <w:lang w:val="en-US" w:eastAsia="zh-CN"/>
        </w:rPr>
        <w:t>载</w:t>
      </w:r>
      <w:r>
        <w:rPr>
          <w:rFonts w:hint="eastAsia"/>
        </w:rPr>
        <w:t>《地方立法研</w:t>
      </w:r>
      <w:r>
        <w:rPr>
          <w:rFonts w:hint="eastAsia" w:ascii="宋体" w:hAnsi="宋体" w:eastAsia="宋体" w:cs="宋体"/>
        </w:rPr>
        <w:t>究》2021年第6期，第75页。</w:t>
      </w:r>
    </w:p>
  </w:footnote>
  <w:footnote w:id="30">
    <w:p w14:paraId="5D15B9EA">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rPr>
          <w:rFonts w:hint="default"/>
          <w:lang w:val="en-US" w:eastAsia="zh-CN"/>
        </w:rPr>
      </w:pPr>
      <w:r>
        <w:rPr>
          <w:rFonts w:hint="eastAsia"/>
          <w:lang w:val="en-US" w:eastAsia="zh-CN"/>
        </w:rPr>
        <w:footnoteRef/>
      </w:r>
      <w:r>
        <w:rPr>
          <w:rFonts w:hint="eastAsia"/>
          <w:lang w:val="en-US" w:eastAsia="zh-CN"/>
        </w:rPr>
        <w:t xml:space="preserve"> 徐清飞：《我国央地立法权限划分的法律技术及其完善》</w:t>
      </w:r>
      <w:r>
        <w:rPr>
          <w:rFonts w:hint="eastAsia" w:ascii="宋体" w:hAnsi="宋体" w:eastAsia="宋体" w:cs="宋体"/>
          <w:lang w:val="en-US" w:eastAsia="zh-CN"/>
        </w:rPr>
        <w:t>，载《法学》2024年第4期，第17-32页。</w:t>
      </w:r>
    </w:p>
  </w:footnote>
  <w:footnote w:id="31">
    <w:p w14:paraId="4927558E">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rPr>
          <w:rFonts w:hint="default" w:ascii="宋体" w:hAnsi="宋体" w:eastAsia="宋体" w:cs="宋体"/>
          <w:color w:val="auto"/>
          <w:lang w:val="en-US" w:eastAsia="zh-CN"/>
        </w:rPr>
      </w:pPr>
      <w:r>
        <w:rPr>
          <w:rFonts w:hint="eastAsia"/>
          <w:color w:val="auto"/>
          <w:lang w:val="en-US" w:eastAsia="zh-CN"/>
        </w:rPr>
        <w:footnoteRef/>
      </w:r>
      <w:r>
        <w:rPr>
          <w:color w:val="auto"/>
        </w:rPr>
        <w:t xml:space="preserve"> </w:t>
      </w:r>
      <w:r>
        <w:rPr>
          <w:rFonts w:hint="eastAsia" w:ascii="宋体" w:hAnsi="宋体" w:eastAsia="宋体" w:cs="宋体"/>
          <w:color w:val="auto"/>
          <w:lang w:val="en-US" w:eastAsia="zh-CN"/>
        </w:rPr>
        <w:t>封丽霞：《大国的立法逻辑》，商务印书馆2022年版，第238页。</w:t>
      </w:r>
    </w:p>
  </w:footnote>
  <w:footnote w:id="32">
    <w:p w14:paraId="7740CFE2">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t xml:space="preserve"> </w:t>
      </w:r>
      <w:r>
        <w:rPr>
          <w:rFonts w:hint="eastAsia"/>
        </w:rPr>
        <w:t>王岐山：</w:t>
      </w:r>
      <w:r>
        <w:rPr>
          <w:rFonts w:hint="eastAsia" w:ascii="宋体" w:hAnsi="宋体" w:eastAsia="宋体" w:cs="宋体"/>
        </w:rPr>
        <w:t>《构建党统一领导的反腐败体制</w:t>
      </w:r>
      <w:r>
        <w:rPr>
          <w:rFonts w:hint="eastAsia" w:ascii="宋体" w:hAnsi="宋体" w:eastAsia="宋体" w:cs="宋体"/>
          <w:lang w:val="en-US" w:eastAsia="zh-CN"/>
        </w:rPr>
        <w:t xml:space="preserve"> </w:t>
      </w:r>
      <w:r>
        <w:rPr>
          <w:rFonts w:hint="eastAsia" w:ascii="宋体" w:hAnsi="宋体" w:eastAsia="宋体" w:cs="宋体"/>
        </w:rPr>
        <w:t>提高执政能力</w:t>
      </w:r>
      <w:r>
        <w:rPr>
          <w:rFonts w:hint="eastAsia" w:ascii="宋体" w:hAnsi="宋体" w:eastAsia="宋体" w:cs="宋体"/>
          <w:lang w:val="en-US" w:eastAsia="zh-CN"/>
        </w:rPr>
        <w:t xml:space="preserve"> </w:t>
      </w:r>
      <w:r>
        <w:rPr>
          <w:rFonts w:hint="eastAsia" w:ascii="宋体" w:hAnsi="宋体" w:eastAsia="宋体" w:cs="宋体"/>
        </w:rPr>
        <w:t>完善治理体系》，</w:t>
      </w:r>
      <w:r>
        <w:rPr>
          <w:rFonts w:hint="eastAsia" w:ascii="宋体" w:hAnsi="宋体" w:eastAsia="宋体" w:cs="宋体"/>
          <w:lang w:val="en-US" w:eastAsia="zh-CN"/>
        </w:rPr>
        <w:t>载</w:t>
      </w:r>
      <w:r>
        <w:rPr>
          <w:rFonts w:hint="eastAsia" w:ascii="宋体" w:hAnsi="宋体" w:eastAsia="宋体" w:cs="宋体"/>
        </w:rPr>
        <w:t>《人民日报》2017年3月6日，第4版。</w:t>
      </w:r>
    </w:p>
  </w:footnote>
  <w:footnote w:id="33">
    <w:p w14:paraId="40CE6198">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t>陈国权</w:t>
      </w:r>
      <w:r>
        <w:rPr>
          <w:rFonts w:hint="eastAsia" w:ascii="宋体" w:hAnsi="宋体" w:eastAsia="宋体" w:cs="宋体"/>
        </w:rPr>
        <w:t>、皇甫鑫：《</w:t>
      </w:r>
      <w:r>
        <w:rPr>
          <w:rFonts w:ascii="宋体" w:hAnsi="宋体" w:eastAsia="宋体" w:cs="宋体"/>
        </w:rPr>
        <w:t>功能性分权理论：中国的探索</w:t>
      </w:r>
      <w:r>
        <w:rPr>
          <w:rFonts w:hint="eastAsia" w:ascii="宋体" w:hAnsi="宋体" w:eastAsia="宋体" w:cs="宋体"/>
        </w:rPr>
        <w:t>》，</w:t>
      </w:r>
      <w:r>
        <w:rPr>
          <w:rFonts w:ascii="宋体" w:hAnsi="宋体" w:eastAsia="宋体" w:cs="宋体"/>
        </w:rPr>
        <w:t>中国社会科学出版社2021</w:t>
      </w:r>
      <w:r>
        <w:rPr>
          <w:rFonts w:hint="eastAsia" w:ascii="宋体" w:hAnsi="宋体" w:eastAsia="宋体" w:cs="宋体"/>
          <w:lang w:val="en-US" w:eastAsia="zh-CN"/>
        </w:rPr>
        <w:t>年版</w:t>
      </w:r>
      <w:r>
        <w:rPr>
          <w:rFonts w:hint="eastAsia" w:ascii="宋体" w:hAnsi="宋体" w:eastAsia="宋体" w:cs="宋体"/>
        </w:rPr>
        <w:t>。</w:t>
      </w:r>
    </w:p>
  </w:footnote>
  <w:footnote w:id="34">
    <w:p w14:paraId="716F4FA4">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eastAsia"/>
        </w:rPr>
        <w:t>卢志朋、陈</w:t>
      </w:r>
      <w:r>
        <w:rPr>
          <w:rFonts w:hint="eastAsia" w:ascii="宋体" w:hAnsi="宋体" w:eastAsia="宋体" w:cs="宋体"/>
        </w:rPr>
        <w:t>国权：《当代中国政府的双重角色：行政机关抑或执行机关</w:t>
      </w:r>
      <w:r>
        <w:rPr>
          <w:rFonts w:hint="eastAsia" w:ascii="宋体" w:hAnsi="宋体" w:eastAsia="宋体" w:cs="宋体"/>
          <w:lang w:eastAsia="zh-CN"/>
        </w:rPr>
        <w:t>？</w:t>
      </w:r>
      <w:r>
        <w:rPr>
          <w:rFonts w:hint="eastAsia" w:ascii="宋体" w:hAnsi="宋体" w:eastAsia="宋体" w:cs="宋体"/>
        </w:rPr>
        <w:t>》，</w:t>
      </w:r>
      <w:r>
        <w:rPr>
          <w:rFonts w:hint="eastAsia" w:ascii="宋体" w:hAnsi="宋体" w:eastAsia="宋体" w:cs="宋体"/>
          <w:lang w:val="en-US" w:eastAsia="zh-CN"/>
        </w:rPr>
        <w:t>载</w:t>
      </w:r>
      <w:r>
        <w:rPr>
          <w:rFonts w:hint="eastAsia" w:ascii="宋体" w:hAnsi="宋体" w:eastAsia="宋体" w:cs="宋体"/>
        </w:rPr>
        <w:t>《经济社会体制比较》2023年第6期，第126-127页。</w:t>
      </w:r>
    </w:p>
  </w:footnote>
  <w:footnote w:id="35">
    <w:p w14:paraId="7817DAAB">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eastAsia"/>
        </w:rPr>
        <w:t>冯</w:t>
      </w:r>
      <w:r>
        <w:rPr>
          <w:rFonts w:hint="eastAsia" w:ascii="黑体" w:hAnsi="黑体" w:eastAsia="黑体" w:cs="黑体"/>
        </w:rPr>
        <w:t>·</w:t>
      </w:r>
      <w:r>
        <w:rPr>
          <w:rFonts w:hint="eastAsia"/>
        </w:rPr>
        <w:t>哈耶克：《</w:t>
      </w:r>
      <w:r>
        <w:rPr>
          <w:rFonts w:hint="eastAsia" w:ascii="宋体" w:hAnsi="宋体" w:eastAsia="宋体" w:cs="宋体"/>
        </w:rPr>
        <w:t>法律、立法与自由（第三卷）》，</w:t>
      </w:r>
      <w:r>
        <w:fldChar w:fldCharType="begin"/>
      </w:r>
      <w:r>
        <w:instrText xml:space="preserve"> HYPERLINK "https://book.douban.com/search/%E9%82%93%E6%AD%A3%E6%9D%A5" </w:instrText>
      </w:r>
      <w:r>
        <w:fldChar w:fldCharType="separate"/>
      </w:r>
      <w:r>
        <w:rPr>
          <w:rFonts w:hint="eastAsia" w:ascii="宋体" w:hAnsi="宋体" w:eastAsia="宋体" w:cs="宋体"/>
        </w:rPr>
        <w:t>邓正来</w:t>
      </w:r>
      <w:r>
        <w:rPr>
          <w:rFonts w:hint="eastAsia" w:ascii="宋体" w:hAnsi="宋体" w:eastAsia="宋体" w:cs="宋体"/>
        </w:rPr>
        <w:fldChar w:fldCharType="end"/>
      </w:r>
      <w:r>
        <w:rPr>
          <w:rFonts w:hint="eastAsia" w:ascii="宋体" w:hAnsi="宋体" w:eastAsia="宋体" w:cs="宋体"/>
        </w:rPr>
        <w:t>等译注，中国大百科全书出版社2022</w:t>
      </w:r>
      <w:r>
        <w:rPr>
          <w:rFonts w:hint="eastAsia" w:ascii="宋体" w:hAnsi="宋体" w:eastAsia="宋体" w:cs="宋体"/>
          <w:lang w:val="en-US" w:eastAsia="zh-CN"/>
        </w:rPr>
        <w:t>年版</w:t>
      </w:r>
      <w:r>
        <w:rPr>
          <w:rFonts w:hint="eastAsia" w:ascii="宋体" w:hAnsi="宋体" w:eastAsia="宋体" w:cs="宋体"/>
        </w:rPr>
        <w:t>，第45页。</w:t>
      </w:r>
    </w:p>
  </w:footnote>
  <w:footnote w:id="36">
    <w:p w14:paraId="0A396276">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eastAsia"/>
        </w:rPr>
        <w:t>郑永年：《中国的当下与未来》，中信出</w:t>
      </w:r>
      <w:r>
        <w:rPr>
          <w:rFonts w:hint="eastAsia" w:ascii="宋体" w:hAnsi="宋体" w:eastAsia="宋体" w:cs="宋体"/>
        </w:rPr>
        <w:t>版社</w:t>
      </w:r>
      <w:r>
        <w:rPr>
          <w:rFonts w:ascii="宋体" w:hAnsi="宋体" w:eastAsia="宋体" w:cs="宋体"/>
        </w:rPr>
        <w:t>2019</w:t>
      </w:r>
      <w:r>
        <w:rPr>
          <w:rFonts w:hint="eastAsia" w:ascii="宋体" w:hAnsi="宋体" w:eastAsia="宋体" w:cs="宋体"/>
          <w:lang w:val="en-US" w:eastAsia="zh-CN"/>
        </w:rPr>
        <w:t>年版</w:t>
      </w:r>
      <w:r>
        <w:rPr>
          <w:rFonts w:hint="eastAsia" w:ascii="宋体" w:hAnsi="宋体" w:eastAsia="宋体" w:cs="宋体"/>
        </w:rPr>
        <w:t>，第</w:t>
      </w:r>
      <w:r>
        <w:rPr>
          <w:rFonts w:ascii="宋体" w:hAnsi="宋体" w:eastAsia="宋体" w:cs="宋体"/>
        </w:rPr>
        <w:t>1</w:t>
      </w:r>
      <w:r>
        <w:rPr>
          <w:rFonts w:hint="eastAsia" w:ascii="宋体" w:hAnsi="宋体" w:eastAsia="宋体" w:cs="宋体"/>
        </w:rPr>
        <w:t>3</w:t>
      </w:r>
      <w:r>
        <w:rPr>
          <w:rFonts w:ascii="宋体" w:hAnsi="宋体" w:eastAsia="宋体" w:cs="宋体"/>
        </w:rPr>
        <w:t>0</w:t>
      </w:r>
      <w:r>
        <w:rPr>
          <w:rFonts w:hint="eastAsia" w:ascii="宋体" w:hAnsi="宋体" w:eastAsia="宋体" w:cs="宋体"/>
        </w:rPr>
        <w:t>页。</w:t>
      </w:r>
    </w:p>
  </w:footnote>
  <w:footnote w:id="37">
    <w:p w14:paraId="7C0C5673">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同②</w:t>
      </w:r>
      <w:r>
        <w:rPr>
          <w:rFonts w:hint="eastAsia" w:ascii="宋体" w:hAnsi="宋体" w:eastAsia="宋体" w:cs="宋体"/>
        </w:rPr>
        <w:t>。</w:t>
      </w:r>
    </w:p>
  </w:footnote>
  <w:footnote w:id="38">
    <w:p w14:paraId="718F8A0C">
      <w:pPr>
        <w:pStyle w:val="9"/>
        <w:keepNext w:val="0"/>
        <w:keepLines w:val="0"/>
        <w:pageBreakBefore w:val="0"/>
        <w:widowControl w:val="0"/>
        <w:kinsoku/>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t>陈国权</w:t>
      </w:r>
      <w:r>
        <w:rPr>
          <w:rFonts w:hint="eastAsia"/>
        </w:rPr>
        <w:t>、</w:t>
      </w:r>
      <w:r>
        <w:t>卢志朋</w:t>
      </w:r>
      <w:r>
        <w:rPr>
          <w:rFonts w:hint="eastAsia"/>
        </w:rPr>
        <w:t>：《广义</w:t>
      </w:r>
      <w:r>
        <w:rPr>
          <w:rFonts w:hint="eastAsia" w:ascii="宋体" w:hAnsi="宋体" w:eastAsia="宋体" w:cs="宋体"/>
        </w:rPr>
        <w:t>政府：当代中国公共管理主体及其双重性》，</w:t>
      </w:r>
      <w:r>
        <w:rPr>
          <w:rFonts w:hint="eastAsia" w:ascii="宋体" w:hAnsi="宋体" w:eastAsia="宋体" w:cs="宋体"/>
          <w:lang w:val="en-US" w:eastAsia="zh-CN"/>
        </w:rPr>
        <w:t>载</w:t>
      </w:r>
      <w:r>
        <w:rPr>
          <w:rFonts w:hint="eastAsia" w:ascii="宋体" w:hAnsi="宋体" w:eastAsia="宋体" w:cs="宋体"/>
        </w:rPr>
        <w:t>《公共管理学报》2023年第1期，第4-5页。</w:t>
      </w:r>
    </w:p>
  </w:footnote>
  <w:footnote w:id="39">
    <w:p w14:paraId="383844B0">
      <w:pPr>
        <w:pStyle w:val="9"/>
        <w:keepNext w:val="0"/>
        <w:keepLines w:val="0"/>
        <w:pageBreakBefore w:val="0"/>
        <w:widowControl w:val="0"/>
        <w:kinsoku/>
        <w:wordWrap w:val="0"/>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eastAsia" w:ascii="宋体" w:hAnsi="宋体" w:eastAsia="宋体" w:cs="宋体"/>
          <w:lang w:val="en-US" w:eastAsia="zh-CN"/>
        </w:rPr>
        <w:t>《党委与人大的权力运作关系辨析》，中国法学网，http://iolaw.cssn.cn/zgmzzz/200709/t20070917_4600347.shtml，最后访问时间：2024年5月8日。</w:t>
      </w:r>
    </w:p>
  </w:footnote>
  <w:footnote w:id="40">
    <w:p w14:paraId="3BD0ADD5">
      <w:pPr>
        <w:pStyle w:val="9"/>
        <w:keepNext w:val="0"/>
        <w:keepLines w:val="0"/>
        <w:pageBreakBefore w:val="0"/>
        <w:widowControl w:val="0"/>
        <w:kinsoku/>
        <w:overflowPunct/>
        <w:topLinePunct w:val="0"/>
        <w:bidi w:val="0"/>
        <w:adjustRightInd/>
        <w:snapToGrid w:val="0"/>
        <w:spacing w:line="360" w:lineRule="auto"/>
        <w:ind w:firstLine="360" w:firstLineChars="200"/>
        <w:textAlignment w:val="auto"/>
      </w:pPr>
      <w:r>
        <w:rPr>
          <w:rFonts w:hint="eastAsia"/>
          <w:lang w:val="en-US" w:eastAsia="zh-CN"/>
        </w:rPr>
        <w:footnoteRef/>
      </w:r>
      <w:r>
        <w:t xml:space="preserve"> </w:t>
      </w:r>
      <w:r>
        <w:rPr>
          <w:rFonts w:hint="eastAsia"/>
        </w:rPr>
        <w:t>周旺生：《立法学》，法律出</w:t>
      </w:r>
      <w:r>
        <w:rPr>
          <w:rFonts w:hint="eastAsia" w:ascii="宋体" w:hAnsi="宋体" w:eastAsia="宋体" w:cs="宋体"/>
        </w:rPr>
        <w:t>版社2004</w:t>
      </w:r>
      <w:r>
        <w:rPr>
          <w:rFonts w:hint="eastAsia" w:ascii="宋体" w:hAnsi="宋体" w:eastAsia="宋体" w:cs="宋体"/>
          <w:lang w:val="en-US" w:eastAsia="zh-CN"/>
        </w:rPr>
        <w:t>年版</w:t>
      </w:r>
      <w:r>
        <w:rPr>
          <w:rFonts w:hint="eastAsia" w:ascii="宋体" w:hAnsi="宋体" w:eastAsia="宋体" w:cs="宋体"/>
        </w:rPr>
        <w:t>，第220页。</w:t>
      </w:r>
    </w:p>
  </w:footnote>
  <w:footnote w:id="41">
    <w:p w14:paraId="3468924E">
      <w:pPr>
        <w:pStyle w:val="9"/>
        <w:keepNext w:val="0"/>
        <w:keepLines w:val="0"/>
        <w:pageBreakBefore w:val="0"/>
        <w:widowControl w:val="0"/>
        <w:kinsoku/>
        <w:overflowPunct/>
        <w:topLinePunct w:val="0"/>
        <w:bidi w:val="0"/>
        <w:adjustRightInd/>
        <w:snapToGrid w:val="0"/>
        <w:spacing w:line="360" w:lineRule="auto"/>
        <w:ind w:firstLine="360" w:firstLineChars="200"/>
        <w:textAlignment w:val="auto"/>
      </w:pPr>
      <w:r>
        <w:rPr>
          <w:rFonts w:hint="eastAsia"/>
          <w:lang w:val="en-US" w:eastAsia="zh-CN"/>
        </w:rPr>
        <w:footnoteRef/>
      </w:r>
      <w:r>
        <w:t xml:space="preserve"> </w:t>
      </w:r>
      <w:r>
        <w:rPr>
          <w:rFonts w:hint="default" w:ascii="Times New Roman" w:hAnsi="Times New Roman" w:cs="Times New Roman"/>
          <w:color w:val="auto"/>
        </w:rPr>
        <w:t>Liu, Q</w:t>
      </w:r>
      <w:r>
        <w:rPr>
          <w:rFonts w:hint="eastAsia" w:ascii="Times New Roman" w:hAnsi="Times New Roman" w:cs="Times New Roman"/>
          <w:color w:val="auto"/>
          <w:lang w:val="en-US" w:eastAsia="zh-CN"/>
        </w:rPr>
        <w:t>iuchen</w:t>
      </w:r>
      <w:r>
        <w:rPr>
          <w:rFonts w:hint="default" w:ascii="Times New Roman" w:hAnsi="Times New Roman" w:cs="Times New Roman"/>
          <w:color w:val="auto"/>
        </w:rPr>
        <w:t>. (2020). The system and development of people's republic of china legislation. </w:t>
      </w:r>
      <w:r>
        <w:rPr>
          <w:rFonts w:hint="default" w:ascii="Times New Roman" w:hAnsi="Times New Roman" w:cs="Times New Roman"/>
          <w:i/>
          <w:iCs/>
          <w:color w:val="auto"/>
        </w:rPr>
        <w:t>Vestnik of Saint Petersburg University Law, 2020</w:t>
      </w:r>
      <w:r>
        <w:rPr>
          <w:rFonts w:hint="default" w:ascii="Times New Roman" w:hAnsi="Times New Roman" w:cs="Times New Roman"/>
          <w:color w:val="auto"/>
        </w:rPr>
        <w:t>(3), 666-678.</w:t>
      </w:r>
    </w:p>
  </w:footnote>
  <w:footnote w:id="42">
    <w:p w14:paraId="421EB17A">
      <w:pPr>
        <w:pStyle w:val="9"/>
        <w:keepNext w:val="0"/>
        <w:keepLines w:val="0"/>
        <w:pageBreakBefore w:val="0"/>
        <w:widowControl w:val="0"/>
        <w:kinsoku/>
        <w:wordWrap w:val="0"/>
        <w:overflowPunct/>
        <w:topLinePunct w:val="0"/>
        <w:bidi w:val="0"/>
        <w:adjustRightInd/>
        <w:snapToGrid w:val="0"/>
        <w:spacing w:line="360" w:lineRule="auto"/>
        <w:ind w:firstLine="360" w:firstLineChars="200"/>
        <w:textAlignment w:val="auto"/>
        <w:rPr>
          <w:rFonts w:hint="eastAsia" w:eastAsia="宋体"/>
          <w:lang w:val="en-US" w:eastAsia="zh-CN"/>
        </w:rPr>
      </w:pPr>
      <w:r>
        <w:rPr>
          <w:rFonts w:hint="eastAsia"/>
          <w:lang w:val="en-US" w:eastAsia="zh-CN"/>
        </w:rPr>
        <w:footnoteRef/>
      </w:r>
      <w:r>
        <w:rPr>
          <w:color w:val="auto"/>
        </w:rPr>
        <w:t xml:space="preserve">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"https://link.springer.com/book/10.1007/978-94-007-7398-1" \l "author-1-0" </w:instrText>
      </w:r>
      <w:r>
        <w:rPr>
          <w:rFonts w:hint="default" w:ascii="Times New Roman" w:hAnsi="Times New Roman" w:cs="Times New Roman"/>
          <w:color w:val="auto"/>
        </w:rPr>
        <w:fldChar w:fldCharType="separate"/>
      </w:r>
      <w:r>
        <w:rPr>
          <w:rFonts w:hint="default" w:ascii="Times New Roman" w:hAnsi="Times New Roman" w:cs="Times New Roman"/>
          <w:color w:val="auto"/>
        </w:rPr>
        <w:t>Daniel Halberstam</w:t>
      </w:r>
      <w:r>
        <w:rPr>
          <w:rFonts w:hint="default" w:ascii="Times New Roman" w:hAnsi="Times New Roman" w:cs="Times New Roman"/>
          <w:color w:val="auto"/>
        </w:rPr>
        <w:fldChar w:fldCharType="end"/>
      </w:r>
      <w:r>
        <w:rPr>
          <w:rFonts w:hint="default" w:ascii="Times New Roman" w:hAnsi="Times New Roman" w:cs="Times New Roman"/>
          <w:color w:val="auto"/>
        </w:rPr>
        <w:t>,</w:t>
      </w:r>
      <w:r>
        <w:rPr>
          <w:rFonts w:hint="eastAsia" w:ascii="Times New Roman" w:hAnsi="Times New Roman" w:cs="Times New Roman"/>
          <w:color w:val="auto"/>
          <w:lang w:val="en-US" w:eastAsia="zh-CN"/>
        </w:rPr>
        <w:t xml:space="preserve">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"https://link.springer.com/book/10.1007/978-94-007-7398-1" \l "author-1-1" </w:instrText>
      </w:r>
      <w:r>
        <w:rPr>
          <w:rFonts w:hint="default" w:ascii="Times New Roman" w:hAnsi="Times New Roman" w:cs="Times New Roman"/>
          <w:color w:val="auto"/>
        </w:rPr>
        <w:fldChar w:fldCharType="separate"/>
      </w:r>
      <w:r>
        <w:rPr>
          <w:rFonts w:hint="default" w:ascii="Times New Roman" w:hAnsi="Times New Roman" w:cs="Times New Roman"/>
          <w:color w:val="auto"/>
        </w:rPr>
        <w:t>Mathias Reimann</w:t>
      </w:r>
      <w:r>
        <w:rPr>
          <w:rFonts w:hint="default" w:ascii="Times New Roman" w:hAnsi="Times New Roman" w:cs="Times New Roman"/>
          <w:color w:val="auto"/>
        </w:rPr>
        <w:fldChar w:fldCharType="end"/>
      </w:r>
      <w:r>
        <w:rPr>
          <w:rFonts w:hint="eastAsia" w:ascii="Times New Roman" w:hAnsi="Times New Roman" w:cs="Times New Roman"/>
          <w:color w:val="auto"/>
          <w:lang w:val="en-US" w:eastAsia="zh-CN"/>
        </w:rPr>
        <w:t>. (2014).</w:t>
      </w:r>
      <w:r>
        <w:rPr>
          <w:rFonts w:hint="default" w:ascii="Times New Roman" w:hAnsi="Times New Roman" w:cs="Times New Roman"/>
          <w:i/>
          <w:iCs/>
          <w:color w:val="auto"/>
        </w:rPr>
        <w:t xml:space="preserve"> Federalism and Legal Unification</w:t>
      </w:r>
      <w:r>
        <w:rPr>
          <w:rFonts w:hint="eastAsia" w:ascii="Times New Roman" w:hAnsi="Times New Roman" w:cs="Times New Roman"/>
          <w:i/>
          <w:iCs/>
          <w:color w:val="auto"/>
          <w:lang w:val="en-US" w:eastAsia="zh-CN"/>
        </w:rPr>
        <w:t>:</w:t>
      </w:r>
      <w:r>
        <w:rPr>
          <w:rFonts w:hint="default" w:ascii="Times New Roman" w:hAnsi="Times New Roman" w:cs="Times New Roman"/>
          <w:i/>
          <w:iCs/>
          <w:color w:val="auto"/>
        </w:rPr>
        <w:t xml:space="preserve"> A Comparative Empirical Investigation of Twenty Systems</w:t>
      </w:r>
      <w:r>
        <w:rPr>
          <w:rFonts w:hint="default" w:ascii="Times New Roman" w:hAnsi="Times New Roman" w:cs="Times New Roman"/>
          <w:color w:val="auto"/>
        </w:rPr>
        <w:t>,</w:t>
      </w:r>
      <w:r>
        <w:rPr>
          <w:rFonts w:hint="default" w:ascii="Times New Roman" w:hAnsi="Times New Roman" w:cs="Times New Roman"/>
          <w:color w:val="auto"/>
          <w:lang w:val="en-US" w:eastAsia="zh-CN"/>
        </w:rPr>
        <w:t xml:space="preserve"> </w:t>
      </w:r>
      <w:r>
        <w:rPr>
          <w:rFonts w:hint="default" w:ascii="Times New Roman" w:hAnsi="Times New Roman" w:cs="Times New Roman"/>
          <w:color w:val="auto"/>
        </w:rPr>
        <w:t>Springer</w:t>
      </w:r>
      <w:r>
        <w:rPr>
          <w:rFonts w:hint="eastAsia" w:ascii="Times New Roman" w:hAnsi="Times New Roman" w:cs="Times New Roman"/>
          <w:color w:val="auto"/>
          <w:lang w:val="en-US" w:eastAsia="zh-CN"/>
        </w:rPr>
        <w:t>.</w:t>
      </w:r>
    </w:p>
  </w:footnote>
  <w:footnote w:id="43">
    <w:p w14:paraId="74BCF90D">
      <w:pPr>
        <w:pStyle w:val="9"/>
        <w:keepNext w:val="0"/>
        <w:keepLines w:val="0"/>
        <w:pageBreakBefore w:val="0"/>
        <w:kinsoku/>
        <w:overflowPunct/>
        <w:topLinePunct w:val="0"/>
        <w:bidi w:val="0"/>
        <w:adjustRightInd/>
        <w:snapToGrid w:val="0"/>
        <w:spacing w:line="360" w:lineRule="auto"/>
        <w:ind w:firstLine="360" w:firstLineChars="200"/>
        <w:textAlignment w:val="auto"/>
      </w:pPr>
      <w:r>
        <w:rPr>
          <w:rFonts w:hint="eastAsia"/>
          <w:lang w:val="en-US" w:eastAsia="zh-CN"/>
        </w:rPr>
        <w:footnoteRef/>
      </w:r>
      <w:r>
        <w:rPr>
          <w:color w:val="auto"/>
        </w:rPr>
        <w:t xml:space="preserve"> </w:t>
      </w:r>
      <w:r>
        <w:rPr>
          <w:rFonts w:hint="eastAsia"/>
          <w:color w:val="auto"/>
          <w:lang w:val="en-US" w:eastAsia="zh-CN"/>
        </w:rPr>
        <w:t>杨其静、聂辉华：《保护市场的联邦主义及</w:t>
      </w:r>
      <w:r>
        <w:rPr>
          <w:rFonts w:hint="eastAsia" w:ascii="宋体" w:hAnsi="宋体" w:eastAsia="宋体" w:cs="宋体"/>
          <w:color w:val="auto"/>
          <w:lang w:val="en-US" w:eastAsia="zh-CN"/>
        </w:rPr>
        <w:t>其批判》，</w:t>
      </w:r>
      <w:r>
        <w:rPr>
          <w:rFonts w:hint="eastAsia" w:ascii="宋体" w:hAnsi="宋体" w:eastAsia="宋体" w:cs="宋体"/>
          <w:lang w:val="en-US" w:eastAsia="zh-CN"/>
        </w:rPr>
        <w:t>载</w:t>
      </w:r>
      <w:r>
        <w:rPr>
          <w:rFonts w:hint="eastAsia" w:ascii="宋体" w:hAnsi="宋体" w:eastAsia="宋体" w:cs="宋体"/>
          <w:color w:val="auto"/>
          <w:lang w:val="en-US" w:eastAsia="zh-CN"/>
        </w:rPr>
        <w:t>《经济研究》2008年3期。</w:t>
      </w:r>
    </w:p>
  </w:footnote>
  <w:footnote w:id="44">
    <w:p w14:paraId="79346568">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default" w:ascii="Times New Roman" w:hAnsi="Times New Roman" w:eastAsia="黑体" w:cs="Times New Roman"/>
          <w:lang w:val="en-US" w:eastAsia="zh-CN"/>
        </w:rPr>
        <w:t>Dutu, Mircea. (2018).</w:t>
      </w:r>
      <w:r>
        <w:rPr>
          <w:rFonts w:hint="default" w:ascii="Times New Roman" w:hAnsi="Times New Roman" w:eastAsia="黑体" w:cs="Times New Roman"/>
          <w:i/>
          <w:iCs/>
          <w:lang w:val="en-US" w:eastAsia="zh-CN"/>
        </w:rPr>
        <w:t xml:space="preserve"> Legal unification and its experiences. Studies and Legal Research, 63</w:t>
      </w:r>
      <w:r>
        <w:rPr>
          <w:rFonts w:hint="default" w:ascii="Times New Roman" w:hAnsi="Times New Roman" w:eastAsia="黑体" w:cs="Times New Roman"/>
          <w:lang w:val="en-US" w:eastAsia="zh-CN"/>
        </w:rPr>
        <w:t>(3), 189-256.</w:t>
      </w:r>
    </w:p>
  </w:footnote>
  <w:footnote w:id="45">
    <w:p w14:paraId="6CCDC4FA">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eastAsia"/>
          <w:color w:val="auto"/>
          <w:lang w:val="en-US" w:eastAsia="zh-CN"/>
        </w:rPr>
        <w:t>俞祺：</w:t>
      </w:r>
      <w:r>
        <w:rPr>
          <w:rFonts w:hint="eastAsia"/>
          <w:color w:val="auto"/>
          <w:lang w:eastAsia="zh-CN"/>
        </w:rPr>
        <w:t>《</w:t>
      </w:r>
      <w:r>
        <w:rPr>
          <w:rFonts w:hint="eastAsia"/>
          <w:color w:val="auto"/>
          <w:lang w:val="en-US" w:eastAsia="zh-CN"/>
        </w:rPr>
        <w:t>央地关系中的立法》，北</w:t>
      </w:r>
      <w:r>
        <w:rPr>
          <w:rFonts w:hint="eastAsia" w:ascii="宋体" w:hAnsi="宋体" w:eastAsia="宋体" w:cs="宋体"/>
          <w:color w:val="auto"/>
          <w:lang w:val="en-US" w:eastAsia="zh-CN"/>
        </w:rPr>
        <w:t>京大学出版社2023年版，第36-49页。</w:t>
      </w:r>
    </w:p>
  </w:footnote>
  <w:footnote w:id="46">
    <w:p w14:paraId="4D356B41">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eastAsia" w:ascii="Times New Roman" w:hAnsi="Times New Roman" w:cs="Times New Roman"/>
          <w:i w:val="0"/>
          <w:iCs w:val="0"/>
          <w:color w:val="auto"/>
          <w:sz w:val="18"/>
          <w:szCs w:val="18"/>
          <w:highlight w:val="none"/>
          <w:lang w:val="en-US" w:eastAsia="zh-CN"/>
        </w:rPr>
        <w:t xml:space="preserve">Zook, Darren. C. (2012). Reforming North Korea: law, politics, and the market economy. </w:t>
      </w:r>
      <w:r>
        <w:rPr>
          <w:rFonts w:hint="eastAsia" w:ascii="Times New Roman" w:hAnsi="Times New Roman" w:cs="Times New Roman"/>
          <w:i/>
          <w:iCs/>
          <w:color w:val="auto"/>
          <w:sz w:val="18"/>
          <w:szCs w:val="18"/>
          <w:highlight w:val="none"/>
          <w:lang w:val="en-US" w:eastAsia="zh-CN"/>
        </w:rPr>
        <w:t>Stanford Journal of International Law, 48</w:t>
      </w:r>
      <w:r>
        <w:rPr>
          <w:rFonts w:hint="eastAsia" w:ascii="Times New Roman" w:hAnsi="Times New Roman" w:cs="Times New Roman"/>
          <w:i w:val="0"/>
          <w:iCs w:val="0"/>
          <w:color w:val="auto"/>
          <w:sz w:val="18"/>
          <w:szCs w:val="18"/>
          <w:highlight w:val="none"/>
          <w:lang w:val="en-US" w:eastAsia="zh-CN"/>
        </w:rPr>
        <w:t xml:space="preserve">(1), 131-184. </w:t>
      </w:r>
    </w:p>
  </w:footnote>
  <w:footnote w:id="47">
    <w:p w14:paraId="7641AAE2">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eastAsia"/>
        </w:rPr>
        <w:t>王汉斌：《王汉斌访谈录——亲历新</w:t>
      </w:r>
      <w:r>
        <w:rPr>
          <w:rFonts w:hint="eastAsia" w:ascii="宋体" w:hAnsi="宋体" w:eastAsia="宋体" w:cs="宋体"/>
        </w:rPr>
        <w:t>时期社会主义民主法制建设》，中国民主法制出版社2012</w:t>
      </w:r>
      <w:r>
        <w:rPr>
          <w:rFonts w:hint="eastAsia" w:ascii="宋体" w:hAnsi="宋体" w:eastAsia="宋体" w:cs="宋体"/>
          <w:lang w:val="en-US" w:eastAsia="zh-CN"/>
        </w:rPr>
        <w:t>年版</w:t>
      </w:r>
      <w:r>
        <w:rPr>
          <w:rFonts w:hint="eastAsia" w:ascii="宋体" w:hAnsi="宋体" w:eastAsia="宋体" w:cs="宋体"/>
        </w:rPr>
        <w:t>，第21页。</w:t>
      </w:r>
    </w:p>
  </w:footnote>
  <w:footnote w:id="48">
    <w:p w14:paraId="0273C36A">
      <w:pPr>
        <w:pStyle w:val="9"/>
        <w:keepNext w:val="0"/>
        <w:keepLines w:val="0"/>
        <w:pageBreakBefore w:val="0"/>
        <w:kinsoku/>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eastAsia"/>
        </w:rPr>
        <w:t>俞荣根</w:t>
      </w:r>
      <w:r>
        <w:rPr>
          <w:rFonts w:hint="eastAsia"/>
          <w:lang w:eastAsia="zh-CN"/>
        </w:rPr>
        <w:t>：《</w:t>
      </w:r>
      <w:r>
        <w:rPr>
          <w:rFonts w:hint="eastAsia"/>
        </w:rPr>
        <w:t>不同类型地方性法规立法后评估指标体系研究</w:t>
      </w:r>
      <w:r>
        <w:rPr>
          <w:rFonts w:hint="eastAsia"/>
          <w:lang w:eastAsia="zh-CN"/>
        </w:rPr>
        <w:t>》，</w:t>
      </w:r>
      <w:r>
        <w:rPr>
          <w:rFonts w:hint="eastAsia" w:ascii="宋体" w:hAnsi="宋体" w:eastAsia="宋体" w:cs="宋体"/>
          <w:lang w:val="en-US" w:eastAsia="zh-CN"/>
        </w:rPr>
        <w:t>载</w:t>
      </w:r>
      <w:r>
        <w:rPr>
          <w:rFonts w:hint="eastAsia"/>
          <w:lang w:eastAsia="zh-CN"/>
        </w:rPr>
        <w:t>《</w:t>
      </w:r>
      <w:r>
        <w:rPr>
          <w:rFonts w:hint="eastAsia"/>
          <w:lang w:val="en-US" w:eastAsia="zh-CN"/>
        </w:rPr>
        <w:t>现代法</w:t>
      </w:r>
      <w:r>
        <w:rPr>
          <w:rFonts w:hint="eastAsia" w:ascii="宋体" w:hAnsi="宋体" w:eastAsia="宋体" w:cs="宋体"/>
          <w:lang w:val="en-US" w:eastAsia="zh-CN"/>
        </w:rPr>
        <w:t>学</w:t>
      </w:r>
      <w:r>
        <w:rPr>
          <w:rFonts w:hint="eastAsia" w:ascii="宋体" w:hAnsi="宋体" w:eastAsia="宋体" w:cs="宋体"/>
          <w:lang w:eastAsia="zh-CN"/>
        </w:rPr>
        <w:t>》</w:t>
      </w:r>
      <w:r>
        <w:rPr>
          <w:rFonts w:hint="eastAsia" w:ascii="宋体" w:hAnsi="宋体" w:eastAsia="宋体" w:cs="宋体"/>
          <w:lang w:val="en-US" w:eastAsia="zh-CN"/>
        </w:rPr>
        <w:t>2013年第5期，第172-173</w:t>
      </w:r>
      <w:r>
        <w:rPr>
          <w:rFonts w:hint="eastAsia"/>
          <w:lang w:val="en-US" w:eastAsia="zh-CN"/>
        </w:rPr>
        <w:t>页。</w:t>
      </w:r>
    </w:p>
  </w:footnote>
  <w:footnote w:id="49">
    <w:p w14:paraId="62F71725">
      <w:pPr>
        <w:pStyle w:val="9"/>
        <w:keepNext w:val="0"/>
        <w:keepLines w:val="0"/>
        <w:pageBreakBefore w:val="0"/>
        <w:widowControl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lang w:val="en-US" w:eastAsia="zh-CN"/>
        </w:rPr>
        <w:t xml:space="preserve"> </w:t>
      </w:r>
      <w:r>
        <w:rPr>
          <w:rFonts w:hint="eastAsia" w:ascii="宋体" w:hAnsi="宋体" w:eastAsia="宋体" w:cs="宋体"/>
        </w:rPr>
        <w:t>“修饰性重复”是指对上位法的文字进行了改动，但在实质上并未改变上位法的权利义务分配的重复。例如《个人信息保护法》第28条将生物识别信息纳入敏感个人信息的范畴，而《深圳经济特区数据条例》第2条将生物识别信息种类具体列举为自然人基因、指纹、声纹、掌纹等。这只是把生物识别信息的概念在日常语言基础上进行解释说明，并未超越上位法既有框架，属于实质意义的法条重复。</w:t>
      </w:r>
    </w:p>
  </w:footnote>
  <w:footnote w:id="50">
    <w:p w14:paraId="1CAFA301">
      <w:pPr>
        <w:pStyle w:val="9"/>
        <w:keepNext w:val="0"/>
        <w:keepLines w:val="0"/>
        <w:pageBreakBefore w:val="0"/>
        <w:kinsoku/>
        <w:wordWrap/>
        <w:overflowPunct/>
        <w:topLinePunct w:val="0"/>
        <w:bidi w:val="0"/>
        <w:adjustRightInd/>
        <w:snapToGrid w:val="0"/>
        <w:spacing w:line="360" w:lineRule="auto"/>
        <w:ind w:firstLine="360" w:firstLineChars="200"/>
        <w:textAlignment w:val="auto"/>
      </w:pPr>
      <w:r>
        <w:rPr>
          <w:rFonts w:hint="eastAsia"/>
          <w:lang w:val="en-US" w:eastAsia="zh-CN"/>
        </w:rPr>
        <w:footnoteRef/>
      </w:r>
      <w:r>
        <w:rPr>
          <w:rFonts w:hint="eastAsia" w:ascii="Times New Roman" w:hAnsi="Times New Roman" w:cs="Times New Roman"/>
          <w:i w:val="0"/>
          <w:iCs w:val="0"/>
          <w:color w:val="auto"/>
          <w:sz w:val="20"/>
          <w:szCs w:val="28"/>
          <w:highlight w:val="none"/>
          <w:lang w:val="en-US" w:eastAsia="zh-CN"/>
        </w:rPr>
        <w:t xml:space="preserve"> Zhao, Quansheng. (1991). Federation, democratization and china's unification. </w:t>
      </w:r>
      <w:r>
        <w:rPr>
          <w:rFonts w:hint="eastAsia" w:ascii="Times New Roman" w:hAnsi="Times New Roman" w:cs="Times New Roman"/>
          <w:i/>
          <w:iCs/>
          <w:color w:val="auto"/>
          <w:sz w:val="20"/>
          <w:szCs w:val="28"/>
          <w:highlight w:val="none"/>
          <w:lang w:val="en-US" w:eastAsia="zh-CN"/>
        </w:rPr>
        <w:t>Occasional Papers/Reprints Series in Contemporary Asian Studies, 1991</w:t>
      </w:r>
      <w:r>
        <w:rPr>
          <w:rFonts w:hint="eastAsia" w:ascii="Times New Roman" w:hAnsi="Times New Roman" w:cs="Times New Roman"/>
          <w:i w:val="0"/>
          <w:iCs w:val="0"/>
          <w:color w:val="auto"/>
          <w:sz w:val="20"/>
          <w:szCs w:val="28"/>
          <w:highlight w:val="none"/>
          <w:lang w:val="en-US" w:eastAsia="zh-CN"/>
        </w:rPr>
        <w:t>(5), 39-60.</w:t>
      </w:r>
    </w:p>
  </w:footnote>
  <w:footnote w:id="51">
    <w:p w14:paraId="5E92720C">
      <w:pPr>
        <w:keepNext w:val="0"/>
        <w:keepLines w:val="0"/>
        <w:pageBreakBefore w:val="0"/>
        <w:widowControl/>
        <w:suppressLineNumbers w:val="0"/>
        <w:kinsoku/>
        <w:wordWrap/>
        <w:overflowPunct/>
        <w:topLinePunct w:val="0"/>
        <w:bidi w:val="0"/>
        <w:adjustRightInd/>
        <w:snapToGrid w:val="0"/>
        <w:spacing w:line="360" w:lineRule="auto"/>
        <w:ind w:firstLine="360" w:firstLineChars="200"/>
        <w:jc w:val="left"/>
        <w:textAlignment w:val="auto"/>
        <w:rPr>
          <w:rFonts w:hint="eastAsia" w:ascii="宋体" w:hAnsi="宋体" w:eastAsia="宋体" w:cs="宋体"/>
          <w:kern w:val="2"/>
          <w:sz w:val="18"/>
          <w:szCs w:val="24"/>
          <w:lang w:val="en-US" w:eastAsia="zh-CN" w:bidi="ar-SA"/>
        </w:rPr>
      </w:pPr>
      <w:r>
        <w:rPr>
          <w:rFonts w:hint="eastAsia" w:ascii="Calibri" w:hAnsi="Calibri" w:eastAsia="宋体" w:cs="Times New Roman"/>
          <w:kern w:val="2"/>
          <w:sz w:val="18"/>
          <w:szCs w:val="24"/>
          <w:lang w:val="en-US" w:eastAsia="zh-CN" w:bidi="ar-SA"/>
        </w:rPr>
        <w:footnoteRef/>
      </w:r>
      <w:r>
        <w:rPr>
          <w:rFonts w:hint="eastAsia" w:ascii="Calibri" w:hAnsi="Calibri" w:eastAsia="宋体" w:cs="Times New Roman"/>
          <w:kern w:val="2"/>
          <w:sz w:val="18"/>
          <w:szCs w:val="24"/>
          <w:lang w:val="en-US" w:eastAsia="zh-CN" w:bidi="ar-SA"/>
        </w:rPr>
        <w:t xml:space="preserve"> 林琳：《</w:t>
      </w:r>
      <w:r>
        <w:rPr>
          <w:rFonts w:hint="default" w:ascii="Calibri" w:hAnsi="Calibri" w:eastAsia="宋体" w:cs="Times New Roman"/>
          <w:kern w:val="2"/>
          <w:sz w:val="18"/>
          <w:szCs w:val="24"/>
          <w:lang w:val="en-US" w:eastAsia="zh-CN" w:bidi="ar-SA"/>
        </w:rPr>
        <w:t>对实施性地</w:t>
      </w:r>
      <w:r>
        <w:rPr>
          <w:rFonts w:hint="eastAsia" w:ascii="宋体" w:hAnsi="宋体" w:eastAsia="宋体" w:cs="宋体"/>
          <w:kern w:val="2"/>
          <w:sz w:val="18"/>
          <w:szCs w:val="24"/>
          <w:lang w:val="en-US" w:eastAsia="zh-CN" w:bidi="ar-SA"/>
        </w:rPr>
        <w:t>方立法重复上位法现状的原因分析和改善设想》,</w:t>
      </w:r>
      <w:r>
        <w:rPr>
          <w:rFonts w:hint="eastAsia" w:ascii="宋体" w:hAnsi="宋体" w:eastAsia="宋体" w:cs="宋体"/>
          <w:kern w:val="2"/>
          <w:sz w:val="18"/>
          <w:szCs w:val="18"/>
          <w:lang w:val="en-US" w:eastAsia="zh-CN" w:bidi="ar-SA"/>
        </w:rPr>
        <w:t xml:space="preserve"> </w:t>
      </w:r>
      <w:r>
        <w:rPr>
          <w:rFonts w:hint="eastAsia" w:ascii="宋体" w:hAnsi="宋体" w:eastAsia="宋体" w:cs="宋体"/>
          <w:sz w:val="18"/>
          <w:szCs w:val="18"/>
          <w:lang w:val="en-US" w:eastAsia="zh-CN"/>
        </w:rPr>
        <w:t>载</w:t>
      </w:r>
      <w:r>
        <w:rPr>
          <w:rFonts w:hint="eastAsia" w:ascii="宋体" w:hAnsi="宋体" w:eastAsia="宋体" w:cs="宋体"/>
          <w:kern w:val="2"/>
          <w:sz w:val="18"/>
          <w:szCs w:val="24"/>
          <w:lang w:val="en-US" w:eastAsia="zh-CN" w:bidi="ar-SA"/>
        </w:rPr>
        <w:t xml:space="preserve">《人大研究》2011年第1期，第31页。 </w:t>
      </w:r>
    </w:p>
  </w:footnote>
  <w:footnote w:id="52">
    <w:p w14:paraId="4F2E62F9">
      <w:pPr>
        <w:keepNext w:val="0"/>
        <w:keepLines w:val="0"/>
        <w:pageBreakBefore w:val="0"/>
        <w:numPr>
          <w:ilvl w:val="0"/>
          <w:numId w:val="0"/>
        </w:numPr>
        <w:kinsoku/>
        <w:wordWrap/>
        <w:overflowPunct/>
        <w:topLinePunct w:val="0"/>
        <w:autoSpaceDE/>
        <w:autoSpaceDN/>
        <w:bidi w:val="0"/>
        <w:adjustRightInd/>
        <w:snapToGrid w:val="0"/>
        <w:spacing w:line="360" w:lineRule="auto"/>
        <w:ind w:firstLine="360" w:firstLineChars="200"/>
        <w:jc w:val="both"/>
        <w:textAlignment w:val="auto"/>
      </w:pPr>
      <w:r>
        <w:rPr>
          <w:rFonts w:hint="eastAsia" w:ascii="Calibri" w:hAnsi="Calibri" w:eastAsia="宋体" w:cs="Times New Roman"/>
          <w:kern w:val="2"/>
          <w:sz w:val="18"/>
          <w:szCs w:val="24"/>
          <w:lang w:val="en-US" w:eastAsia="zh-CN" w:bidi="ar-SA"/>
        </w:rPr>
        <w:footnoteRef/>
      </w:r>
      <w:r>
        <w:rPr>
          <w:rFonts w:hint="eastAsia" w:ascii="Calibri" w:hAnsi="Calibri" w:eastAsia="宋体" w:cs="Times New Roman"/>
          <w:kern w:val="2"/>
          <w:sz w:val="18"/>
          <w:szCs w:val="24"/>
          <w:lang w:val="en-US" w:eastAsia="zh-CN" w:bidi="ar-SA"/>
        </w:rPr>
        <w:t xml:space="preserve"> 冯·哈耶克：《法律、立法与自由</w:t>
      </w:r>
      <w:r>
        <w:rPr>
          <w:rFonts w:hint="eastAsia" w:ascii="宋体" w:hAnsi="宋体" w:eastAsia="宋体" w:cs="宋体"/>
          <w:kern w:val="2"/>
          <w:sz w:val="18"/>
          <w:szCs w:val="24"/>
          <w:lang w:val="en-US" w:eastAsia="zh-CN" w:bidi="ar-SA"/>
        </w:rPr>
        <w:t>（第一卷）</w:t>
      </w:r>
      <w:r>
        <w:rPr>
          <w:rFonts w:hint="eastAsia" w:ascii="Calibri" w:hAnsi="Calibri" w:eastAsia="宋体" w:cs="Times New Roman"/>
          <w:kern w:val="2"/>
          <w:sz w:val="18"/>
          <w:szCs w:val="24"/>
          <w:lang w:val="en-US" w:eastAsia="zh-CN" w:bidi="ar-SA"/>
        </w:rPr>
        <w:t>》</w:t>
      </w:r>
      <w:r>
        <w:rPr>
          <w:rFonts w:hint="eastAsia" w:ascii="宋体" w:hAnsi="宋体" w:eastAsia="宋体" w:cs="宋体"/>
          <w:kern w:val="2"/>
          <w:sz w:val="18"/>
          <w:szCs w:val="24"/>
          <w:lang w:val="en-US" w:eastAsia="zh-CN" w:bidi="ar-SA"/>
        </w:rPr>
        <w:t>，</w:t>
      </w:r>
      <w:r>
        <w:rPr>
          <w:rFonts w:hint="eastAsia" w:ascii="宋体" w:hAnsi="宋体" w:eastAsia="宋体" w:cs="宋体"/>
          <w:kern w:val="2"/>
          <w:sz w:val="18"/>
          <w:szCs w:val="24"/>
          <w:lang w:val="en-US" w:eastAsia="zh-CN" w:bidi="ar-SA"/>
        </w:rPr>
        <w:fldChar w:fldCharType="begin"/>
      </w:r>
      <w:r>
        <w:rPr>
          <w:rFonts w:hint="eastAsia" w:ascii="宋体" w:hAnsi="宋体" w:eastAsia="宋体" w:cs="宋体"/>
          <w:kern w:val="2"/>
          <w:sz w:val="18"/>
          <w:szCs w:val="24"/>
          <w:lang w:val="en-US" w:eastAsia="zh-CN" w:bidi="ar-SA"/>
        </w:rPr>
        <w:instrText xml:space="preserve"> HYPERLINK "https://book.douban.com/search/%E9%82%93%E6%AD%A3%E6%9D%A5" </w:instrText>
      </w:r>
      <w:r>
        <w:rPr>
          <w:rFonts w:hint="eastAsia" w:ascii="宋体" w:hAnsi="宋体" w:eastAsia="宋体" w:cs="宋体"/>
          <w:kern w:val="2"/>
          <w:sz w:val="18"/>
          <w:szCs w:val="24"/>
          <w:lang w:val="en-US" w:eastAsia="zh-CN" w:bidi="ar-SA"/>
        </w:rPr>
        <w:fldChar w:fldCharType="separate"/>
      </w:r>
      <w:r>
        <w:rPr>
          <w:rFonts w:hint="eastAsia" w:ascii="宋体" w:hAnsi="宋体" w:eastAsia="宋体" w:cs="宋体"/>
          <w:kern w:val="2"/>
          <w:sz w:val="18"/>
          <w:szCs w:val="24"/>
          <w:lang w:val="en-US" w:eastAsia="zh-CN" w:bidi="ar-SA"/>
        </w:rPr>
        <w:t>邓正来</w:t>
      </w:r>
      <w:r>
        <w:rPr>
          <w:rFonts w:hint="eastAsia" w:ascii="宋体" w:hAnsi="宋体" w:eastAsia="宋体" w:cs="宋体"/>
          <w:kern w:val="2"/>
          <w:sz w:val="18"/>
          <w:szCs w:val="24"/>
          <w:lang w:val="en-US" w:eastAsia="zh-CN" w:bidi="ar-SA"/>
        </w:rPr>
        <w:fldChar w:fldCharType="end"/>
      </w:r>
      <w:r>
        <w:rPr>
          <w:rFonts w:hint="eastAsia" w:ascii="宋体" w:hAnsi="宋体" w:eastAsia="宋体" w:cs="宋体"/>
          <w:kern w:val="2"/>
          <w:sz w:val="18"/>
          <w:szCs w:val="24"/>
          <w:lang w:val="en-US" w:eastAsia="zh-CN" w:bidi="ar-SA"/>
        </w:rPr>
        <w:t>等译注，中国大百科全书出版社2022年版，第158页</w:t>
      </w:r>
      <w:r>
        <w:rPr>
          <w:rFonts w:hint="eastAsia" w:ascii="Calibri" w:hAnsi="Calibri" w:eastAsia="宋体" w:cs="Times New Roman"/>
          <w:kern w:val="2"/>
          <w:sz w:val="18"/>
          <w:szCs w:val="24"/>
          <w:lang w:val="en-US" w:eastAsia="zh-CN" w:bidi="ar-SA"/>
        </w:rPr>
        <w:t>。</w:t>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一树花开">
    <w15:presenceInfo w15:providerId="WPS Office" w15:userId="30229510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numFmt w:val="decimalEnclosedCircleChinese"/>
    <w:numRestart w:val="eachPage"/>
    <w:footnote w:id="106"/>
    <w:footnote w:id="107"/>
  </w:footnotePr>
  <w:endnotePr>
    <w:numFmt w:val="decimal"/>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RkMDcyNDZhYzIwNjY0MzdiMjM3OGM4Y2U2NTYyMzAifQ=="/>
  </w:docVars>
  <w:rsids>
    <w:rsidRoot w:val="00000000"/>
    <w:rsid w:val="002C05EF"/>
    <w:rsid w:val="004177F9"/>
    <w:rsid w:val="00490807"/>
    <w:rsid w:val="00601D21"/>
    <w:rsid w:val="007402CA"/>
    <w:rsid w:val="008102F1"/>
    <w:rsid w:val="008E2A0E"/>
    <w:rsid w:val="009F37F2"/>
    <w:rsid w:val="00C67F96"/>
    <w:rsid w:val="00DC5E6F"/>
    <w:rsid w:val="00DE39E2"/>
    <w:rsid w:val="00DF42C4"/>
    <w:rsid w:val="010F5BC2"/>
    <w:rsid w:val="010F79D3"/>
    <w:rsid w:val="014D1710"/>
    <w:rsid w:val="01822573"/>
    <w:rsid w:val="01D6466C"/>
    <w:rsid w:val="01EC2483"/>
    <w:rsid w:val="02072A78"/>
    <w:rsid w:val="022573A2"/>
    <w:rsid w:val="02317D3A"/>
    <w:rsid w:val="026954E1"/>
    <w:rsid w:val="028D7CB4"/>
    <w:rsid w:val="02F346B1"/>
    <w:rsid w:val="03393105"/>
    <w:rsid w:val="03525F75"/>
    <w:rsid w:val="03716D43"/>
    <w:rsid w:val="03925702"/>
    <w:rsid w:val="039B19BF"/>
    <w:rsid w:val="03F60BC2"/>
    <w:rsid w:val="03FB11FA"/>
    <w:rsid w:val="04006F18"/>
    <w:rsid w:val="04322AA8"/>
    <w:rsid w:val="0439300B"/>
    <w:rsid w:val="043B7A5A"/>
    <w:rsid w:val="04934A97"/>
    <w:rsid w:val="04A42978"/>
    <w:rsid w:val="04CF364D"/>
    <w:rsid w:val="04D05CEB"/>
    <w:rsid w:val="04DF7CDC"/>
    <w:rsid w:val="04E470A0"/>
    <w:rsid w:val="04F75026"/>
    <w:rsid w:val="051946BF"/>
    <w:rsid w:val="05236D0F"/>
    <w:rsid w:val="053340A7"/>
    <w:rsid w:val="054933A7"/>
    <w:rsid w:val="057C552B"/>
    <w:rsid w:val="058F34B0"/>
    <w:rsid w:val="05A86320"/>
    <w:rsid w:val="05AD7DDA"/>
    <w:rsid w:val="05BA193E"/>
    <w:rsid w:val="05CC64B2"/>
    <w:rsid w:val="05CF5858"/>
    <w:rsid w:val="06717D3E"/>
    <w:rsid w:val="067803E8"/>
    <w:rsid w:val="067F6BF3"/>
    <w:rsid w:val="0687687D"/>
    <w:rsid w:val="06A74829"/>
    <w:rsid w:val="06C114E8"/>
    <w:rsid w:val="06C57D9C"/>
    <w:rsid w:val="072245E3"/>
    <w:rsid w:val="073B0FB1"/>
    <w:rsid w:val="075D742C"/>
    <w:rsid w:val="07B805F0"/>
    <w:rsid w:val="07C43E2F"/>
    <w:rsid w:val="07CB4548"/>
    <w:rsid w:val="07CD206E"/>
    <w:rsid w:val="07DD68F7"/>
    <w:rsid w:val="08293C0D"/>
    <w:rsid w:val="083E2F6B"/>
    <w:rsid w:val="0845254C"/>
    <w:rsid w:val="088E7A4F"/>
    <w:rsid w:val="0899256D"/>
    <w:rsid w:val="08BF1245"/>
    <w:rsid w:val="08EE5A6E"/>
    <w:rsid w:val="08F44DC0"/>
    <w:rsid w:val="08FE3E51"/>
    <w:rsid w:val="092C34C3"/>
    <w:rsid w:val="09326998"/>
    <w:rsid w:val="094E7432"/>
    <w:rsid w:val="09591954"/>
    <w:rsid w:val="097219B9"/>
    <w:rsid w:val="09864BCA"/>
    <w:rsid w:val="09B62BB1"/>
    <w:rsid w:val="09CF128A"/>
    <w:rsid w:val="09D60928"/>
    <w:rsid w:val="09EA3E68"/>
    <w:rsid w:val="0A36214C"/>
    <w:rsid w:val="0A4357B6"/>
    <w:rsid w:val="0A586566"/>
    <w:rsid w:val="0A5B7E05"/>
    <w:rsid w:val="0A772A23"/>
    <w:rsid w:val="0A80133E"/>
    <w:rsid w:val="0A8145C9"/>
    <w:rsid w:val="0AC0410C"/>
    <w:rsid w:val="0AC203B3"/>
    <w:rsid w:val="0ACE3FA1"/>
    <w:rsid w:val="0ADB3764"/>
    <w:rsid w:val="0ADE1048"/>
    <w:rsid w:val="0AE31A0A"/>
    <w:rsid w:val="0AE35A07"/>
    <w:rsid w:val="0AFD4F19"/>
    <w:rsid w:val="0B4C599F"/>
    <w:rsid w:val="0B6332E7"/>
    <w:rsid w:val="0B7A76ED"/>
    <w:rsid w:val="0B90626D"/>
    <w:rsid w:val="0B996E37"/>
    <w:rsid w:val="0B9A670B"/>
    <w:rsid w:val="0BC65752"/>
    <w:rsid w:val="0BD95485"/>
    <w:rsid w:val="0BF262CB"/>
    <w:rsid w:val="0C1571EE"/>
    <w:rsid w:val="0C21299B"/>
    <w:rsid w:val="0C3C5A14"/>
    <w:rsid w:val="0C6E2364"/>
    <w:rsid w:val="0C6F7B97"/>
    <w:rsid w:val="0C934FCB"/>
    <w:rsid w:val="0C954CE8"/>
    <w:rsid w:val="0CC333AC"/>
    <w:rsid w:val="0CF462EF"/>
    <w:rsid w:val="0CF50331"/>
    <w:rsid w:val="0D133DE5"/>
    <w:rsid w:val="0D200B57"/>
    <w:rsid w:val="0D4B4161"/>
    <w:rsid w:val="0D5079C9"/>
    <w:rsid w:val="0D584ACF"/>
    <w:rsid w:val="0D642DDA"/>
    <w:rsid w:val="0D7116ED"/>
    <w:rsid w:val="0DB16305"/>
    <w:rsid w:val="0DB717F6"/>
    <w:rsid w:val="0DDC125D"/>
    <w:rsid w:val="0E176739"/>
    <w:rsid w:val="0E303B62"/>
    <w:rsid w:val="0E6C1F07"/>
    <w:rsid w:val="0EB31861"/>
    <w:rsid w:val="0ED62150"/>
    <w:rsid w:val="0EE205D3"/>
    <w:rsid w:val="0EE9144B"/>
    <w:rsid w:val="0EFB5712"/>
    <w:rsid w:val="0EFD148A"/>
    <w:rsid w:val="0F242EBB"/>
    <w:rsid w:val="0F551648"/>
    <w:rsid w:val="0FA627F3"/>
    <w:rsid w:val="0FAF1109"/>
    <w:rsid w:val="0FC01167"/>
    <w:rsid w:val="0FD07D0A"/>
    <w:rsid w:val="0FE10DAC"/>
    <w:rsid w:val="0FE11731"/>
    <w:rsid w:val="0FEC7E0C"/>
    <w:rsid w:val="100827DD"/>
    <w:rsid w:val="100A6474"/>
    <w:rsid w:val="10264659"/>
    <w:rsid w:val="104326BF"/>
    <w:rsid w:val="10437371"/>
    <w:rsid w:val="106043C7"/>
    <w:rsid w:val="10683B11"/>
    <w:rsid w:val="107203D2"/>
    <w:rsid w:val="10B25880"/>
    <w:rsid w:val="10B64750"/>
    <w:rsid w:val="10C44237"/>
    <w:rsid w:val="1112258D"/>
    <w:rsid w:val="111916A9"/>
    <w:rsid w:val="114C494B"/>
    <w:rsid w:val="1170063A"/>
    <w:rsid w:val="11961779"/>
    <w:rsid w:val="120E3460"/>
    <w:rsid w:val="12130FC5"/>
    <w:rsid w:val="123541D2"/>
    <w:rsid w:val="12413D84"/>
    <w:rsid w:val="12443874"/>
    <w:rsid w:val="12503FC7"/>
    <w:rsid w:val="126A1C08"/>
    <w:rsid w:val="12902616"/>
    <w:rsid w:val="129C720C"/>
    <w:rsid w:val="129D7263"/>
    <w:rsid w:val="12F340BF"/>
    <w:rsid w:val="12F65CF5"/>
    <w:rsid w:val="12FD414F"/>
    <w:rsid w:val="13367661"/>
    <w:rsid w:val="1340403C"/>
    <w:rsid w:val="134C0D0E"/>
    <w:rsid w:val="136F305F"/>
    <w:rsid w:val="13CC712F"/>
    <w:rsid w:val="13F84916"/>
    <w:rsid w:val="140137CB"/>
    <w:rsid w:val="14107EB2"/>
    <w:rsid w:val="14290F74"/>
    <w:rsid w:val="14524B64"/>
    <w:rsid w:val="14A55109"/>
    <w:rsid w:val="14B273EA"/>
    <w:rsid w:val="14CE4AB6"/>
    <w:rsid w:val="14F0383F"/>
    <w:rsid w:val="1517701E"/>
    <w:rsid w:val="152E4A94"/>
    <w:rsid w:val="153B0F5F"/>
    <w:rsid w:val="156134DC"/>
    <w:rsid w:val="158B192D"/>
    <w:rsid w:val="15A1433C"/>
    <w:rsid w:val="15BE2E9F"/>
    <w:rsid w:val="15CA7A7E"/>
    <w:rsid w:val="15D66ED9"/>
    <w:rsid w:val="15E0791B"/>
    <w:rsid w:val="15FE6FBA"/>
    <w:rsid w:val="162478EF"/>
    <w:rsid w:val="1629395A"/>
    <w:rsid w:val="16340B5B"/>
    <w:rsid w:val="163F05D8"/>
    <w:rsid w:val="168A4856"/>
    <w:rsid w:val="169F30EE"/>
    <w:rsid w:val="169F3139"/>
    <w:rsid w:val="169F72CB"/>
    <w:rsid w:val="16A04D1D"/>
    <w:rsid w:val="16F07B27"/>
    <w:rsid w:val="17103D25"/>
    <w:rsid w:val="171C6B6E"/>
    <w:rsid w:val="17253C74"/>
    <w:rsid w:val="172B0806"/>
    <w:rsid w:val="17423D77"/>
    <w:rsid w:val="17444E62"/>
    <w:rsid w:val="177A62A4"/>
    <w:rsid w:val="17806668"/>
    <w:rsid w:val="17AB6841"/>
    <w:rsid w:val="17AF2B07"/>
    <w:rsid w:val="17D31622"/>
    <w:rsid w:val="17E9210E"/>
    <w:rsid w:val="17F83137"/>
    <w:rsid w:val="187529D9"/>
    <w:rsid w:val="187C3D68"/>
    <w:rsid w:val="18A510DF"/>
    <w:rsid w:val="18A54492"/>
    <w:rsid w:val="190A3122"/>
    <w:rsid w:val="193D33B5"/>
    <w:rsid w:val="19444778"/>
    <w:rsid w:val="195E6FCA"/>
    <w:rsid w:val="196E0440"/>
    <w:rsid w:val="19B17A41"/>
    <w:rsid w:val="19B80DD0"/>
    <w:rsid w:val="19BE5CBA"/>
    <w:rsid w:val="19C534ED"/>
    <w:rsid w:val="19C66A03"/>
    <w:rsid w:val="19E576EB"/>
    <w:rsid w:val="19FB51C8"/>
    <w:rsid w:val="1A753894"/>
    <w:rsid w:val="1ABB7BC8"/>
    <w:rsid w:val="1ACE4623"/>
    <w:rsid w:val="1ADD7EF6"/>
    <w:rsid w:val="1AE23C2A"/>
    <w:rsid w:val="1AEF71C8"/>
    <w:rsid w:val="1AF325F0"/>
    <w:rsid w:val="1AF44089"/>
    <w:rsid w:val="1AF9102E"/>
    <w:rsid w:val="1B0B7A9B"/>
    <w:rsid w:val="1B232392"/>
    <w:rsid w:val="1B2821BF"/>
    <w:rsid w:val="1B2F7C0C"/>
    <w:rsid w:val="1B39201F"/>
    <w:rsid w:val="1B437D5D"/>
    <w:rsid w:val="1B943177"/>
    <w:rsid w:val="1BA66AB5"/>
    <w:rsid w:val="1BA830B4"/>
    <w:rsid w:val="1BC07836"/>
    <w:rsid w:val="1BD01610"/>
    <w:rsid w:val="1C1E6EE4"/>
    <w:rsid w:val="1C427807"/>
    <w:rsid w:val="1C597198"/>
    <w:rsid w:val="1C6C7C4F"/>
    <w:rsid w:val="1C7F2817"/>
    <w:rsid w:val="1C8054A9"/>
    <w:rsid w:val="1C8168D0"/>
    <w:rsid w:val="1D39267C"/>
    <w:rsid w:val="1D3D339A"/>
    <w:rsid w:val="1D4209B0"/>
    <w:rsid w:val="1D4330A6"/>
    <w:rsid w:val="1D491D3F"/>
    <w:rsid w:val="1D976F4E"/>
    <w:rsid w:val="1DBE793D"/>
    <w:rsid w:val="1E0740D4"/>
    <w:rsid w:val="1E101274"/>
    <w:rsid w:val="1E205195"/>
    <w:rsid w:val="1E6E4153"/>
    <w:rsid w:val="1E8112A9"/>
    <w:rsid w:val="1EA96F39"/>
    <w:rsid w:val="1EAD4127"/>
    <w:rsid w:val="1EB130D1"/>
    <w:rsid w:val="1EBD4792"/>
    <w:rsid w:val="1EC504B9"/>
    <w:rsid w:val="1EFB52BB"/>
    <w:rsid w:val="1F081D2F"/>
    <w:rsid w:val="1F0B19A2"/>
    <w:rsid w:val="1F0F14A0"/>
    <w:rsid w:val="1F1840BF"/>
    <w:rsid w:val="1F4912BE"/>
    <w:rsid w:val="1F5A6485"/>
    <w:rsid w:val="1F5F7A31"/>
    <w:rsid w:val="1FF717FB"/>
    <w:rsid w:val="1FF71F26"/>
    <w:rsid w:val="20216645"/>
    <w:rsid w:val="20335A75"/>
    <w:rsid w:val="206A26F8"/>
    <w:rsid w:val="2080782E"/>
    <w:rsid w:val="20C503F6"/>
    <w:rsid w:val="20DD4088"/>
    <w:rsid w:val="20FC21EE"/>
    <w:rsid w:val="21521B0A"/>
    <w:rsid w:val="21B856E5"/>
    <w:rsid w:val="21C84693"/>
    <w:rsid w:val="21EB5ABA"/>
    <w:rsid w:val="220A23E4"/>
    <w:rsid w:val="2213581D"/>
    <w:rsid w:val="2234120F"/>
    <w:rsid w:val="223426DD"/>
    <w:rsid w:val="22421B7E"/>
    <w:rsid w:val="225278E7"/>
    <w:rsid w:val="228E5649"/>
    <w:rsid w:val="22CF718A"/>
    <w:rsid w:val="23047F32"/>
    <w:rsid w:val="2310526B"/>
    <w:rsid w:val="23145F46"/>
    <w:rsid w:val="232272BA"/>
    <w:rsid w:val="23490CEA"/>
    <w:rsid w:val="234B4A53"/>
    <w:rsid w:val="237C42CC"/>
    <w:rsid w:val="23845F52"/>
    <w:rsid w:val="23947596"/>
    <w:rsid w:val="23B00EA0"/>
    <w:rsid w:val="23D031BA"/>
    <w:rsid w:val="23DA6A33"/>
    <w:rsid w:val="23EE28BF"/>
    <w:rsid w:val="240874D1"/>
    <w:rsid w:val="24207C9D"/>
    <w:rsid w:val="2466027C"/>
    <w:rsid w:val="24680656"/>
    <w:rsid w:val="24A02C22"/>
    <w:rsid w:val="24C238D0"/>
    <w:rsid w:val="24DB0068"/>
    <w:rsid w:val="24E707BB"/>
    <w:rsid w:val="25001EA9"/>
    <w:rsid w:val="256C04C3"/>
    <w:rsid w:val="258E5E2C"/>
    <w:rsid w:val="25973F8F"/>
    <w:rsid w:val="25AE3087"/>
    <w:rsid w:val="25B5237B"/>
    <w:rsid w:val="25C94365"/>
    <w:rsid w:val="25CB3C39"/>
    <w:rsid w:val="25EA3FF0"/>
    <w:rsid w:val="264F4136"/>
    <w:rsid w:val="269A14E9"/>
    <w:rsid w:val="26B271AC"/>
    <w:rsid w:val="26B528D7"/>
    <w:rsid w:val="26C25796"/>
    <w:rsid w:val="26D14D86"/>
    <w:rsid w:val="26E119EC"/>
    <w:rsid w:val="26E60402"/>
    <w:rsid w:val="27003DB6"/>
    <w:rsid w:val="271B0BF0"/>
    <w:rsid w:val="273870AC"/>
    <w:rsid w:val="27492AD0"/>
    <w:rsid w:val="27544C14"/>
    <w:rsid w:val="27664921"/>
    <w:rsid w:val="27952750"/>
    <w:rsid w:val="27EB05C2"/>
    <w:rsid w:val="28744262"/>
    <w:rsid w:val="28996270"/>
    <w:rsid w:val="28D0714C"/>
    <w:rsid w:val="290C0461"/>
    <w:rsid w:val="292A6EC8"/>
    <w:rsid w:val="292C5DC7"/>
    <w:rsid w:val="292D2AD1"/>
    <w:rsid w:val="292E418D"/>
    <w:rsid w:val="298154A8"/>
    <w:rsid w:val="298F4F7D"/>
    <w:rsid w:val="299E3412"/>
    <w:rsid w:val="29CF2655"/>
    <w:rsid w:val="29D71054"/>
    <w:rsid w:val="29F37C02"/>
    <w:rsid w:val="29F85218"/>
    <w:rsid w:val="2A01722D"/>
    <w:rsid w:val="2A691C72"/>
    <w:rsid w:val="2A704DAF"/>
    <w:rsid w:val="2A7B1BF9"/>
    <w:rsid w:val="2A9F0D49"/>
    <w:rsid w:val="2ACB7241"/>
    <w:rsid w:val="2ACD241C"/>
    <w:rsid w:val="2AEA4B61"/>
    <w:rsid w:val="2B011EAB"/>
    <w:rsid w:val="2B1240B8"/>
    <w:rsid w:val="2B200583"/>
    <w:rsid w:val="2B232846"/>
    <w:rsid w:val="2B3202B6"/>
    <w:rsid w:val="2B415931"/>
    <w:rsid w:val="2B593A95"/>
    <w:rsid w:val="2B5B15BB"/>
    <w:rsid w:val="2BA9559B"/>
    <w:rsid w:val="2BB242BF"/>
    <w:rsid w:val="2BCE7FDF"/>
    <w:rsid w:val="2BE05E12"/>
    <w:rsid w:val="2C374D34"/>
    <w:rsid w:val="2C6076D1"/>
    <w:rsid w:val="2C657210"/>
    <w:rsid w:val="2C723109"/>
    <w:rsid w:val="2C9C550E"/>
    <w:rsid w:val="2CAD31ED"/>
    <w:rsid w:val="2CCD43F8"/>
    <w:rsid w:val="2CE42659"/>
    <w:rsid w:val="2CED0939"/>
    <w:rsid w:val="2D0906A2"/>
    <w:rsid w:val="2D6C4992"/>
    <w:rsid w:val="2D76706D"/>
    <w:rsid w:val="2D7746A6"/>
    <w:rsid w:val="2DA0303E"/>
    <w:rsid w:val="2DB04579"/>
    <w:rsid w:val="2DCC4905"/>
    <w:rsid w:val="2DCF1F8A"/>
    <w:rsid w:val="2E0E0B66"/>
    <w:rsid w:val="2E0E6DB8"/>
    <w:rsid w:val="2E1A51F3"/>
    <w:rsid w:val="2E2C5491"/>
    <w:rsid w:val="2E383E35"/>
    <w:rsid w:val="2E654AD8"/>
    <w:rsid w:val="2E835E5F"/>
    <w:rsid w:val="2E9A064C"/>
    <w:rsid w:val="2EA27501"/>
    <w:rsid w:val="2EAE40F8"/>
    <w:rsid w:val="2EB03B03"/>
    <w:rsid w:val="2EB64042"/>
    <w:rsid w:val="2EBA6F40"/>
    <w:rsid w:val="2EE6563F"/>
    <w:rsid w:val="2EFC7217"/>
    <w:rsid w:val="2EFE5765"/>
    <w:rsid w:val="2F030261"/>
    <w:rsid w:val="2F2B399A"/>
    <w:rsid w:val="2F3E547B"/>
    <w:rsid w:val="2F421ED5"/>
    <w:rsid w:val="2F541DA4"/>
    <w:rsid w:val="2F6F5C0C"/>
    <w:rsid w:val="2F8B1525"/>
    <w:rsid w:val="2FDD2EE6"/>
    <w:rsid w:val="2FE34275"/>
    <w:rsid w:val="2FFA3A98"/>
    <w:rsid w:val="2FFD0FD0"/>
    <w:rsid w:val="30330055"/>
    <w:rsid w:val="3038636F"/>
    <w:rsid w:val="303F1C14"/>
    <w:rsid w:val="305872A0"/>
    <w:rsid w:val="306C3DFF"/>
    <w:rsid w:val="30907F59"/>
    <w:rsid w:val="30B0790B"/>
    <w:rsid w:val="30C017A0"/>
    <w:rsid w:val="30CF7FED"/>
    <w:rsid w:val="30D047F9"/>
    <w:rsid w:val="30DC13F0"/>
    <w:rsid w:val="30F310DC"/>
    <w:rsid w:val="310607B8"/>
    <w:rsid w:val="312B58F9"/>
    <w:rsid w:val="312F7772"/>
    <w:rsid w:val="3133737E"/>
    <w:rsid w:val="31340055"/>
    <w:rsid w:val="31503B47"/>
    <w:rsid w:val="31660030"/>
    <w:rsid w:val="318E3140"/>
    <w:rsid w:val="31A4786F"/>
    <w:rsid w:val="31AF08B2"/>
    <w:rsid w:val="31CD2AE7"/>
    <w:rsid w:val="31CF0F01"/>
    <w:rsid w:val="321E1594"/>
    <w:rsid w:val="32285F6F"/>
    <w:rsid w:val="32625925"/>
    <w:rsid w:val="32733EA0"/>
    <w:rsid w:val="3293788C"/>
    <w:rsid w:val="32AC4DF2"/>
    <w:rsid w:val="32AF1AFB"/>
    <w:rsid w:val="32C23A54"/>
    <w:rsid w:val="32F522F5"/>
    <w:rsid w:val="331704BD"/>
    <w:rsid w:val="334D2131"/>
    <w:rsid w:val="33674654"/>
    <w:rsid w:val="33877AC8"/>
    <w:rsid w:val="33944529"/>
    <w:rsid w:val="33997E66"/>
    <w:rsid w:val="339D3C4E"/>
    <w:rsid w:val="33CF5BE3"/>
    <w:rsid w:val="33D70D39"/>
    <w:rsid w:val="33E278B0"/>
    <w:rsid w:val="33E70001"/>
    <w:rsid w:val="34000F51"/>
    <w:rsid w:val="345179FF"/>
    <w:rsid w:val="34651EA4"/>
    <w:rsid w:val="3492592C"/>
    <w:rsid w:val="349D49F2"/>
    <w:rsid w:val="349E5D58"/>
    <w:rsid w:val="34BA1A48"/>
    <w:rsid w:val="34C12DD7"/>
    <w:rsid w:val="34DC3313"/>
    <w:rsid w:val="34F77116"/>
    <w:rsid w:val="34FE3092"/>
    <w:rsid w:val="350B41E2"/>
    <w:rsid w:val="352944D8"/>
    <w:rsid w:val="35BC17F0"/>
    <w:rsid w:val="35CA5CBB"/>
    <w:rsid w:val="35D408E8"/>
    <w:rsid w:val="35E75E44"/>
    <w:rsid w:val="35F94372"/>
    <w:rsid w:val="360071E9"/>
    <w:rsid w:val="36420B4E"/>
    <w:rsid w:val="367F4CF7"/>
    <w:rsid w:val="36981915"/>
    <w:rsid w:val="36A858D0"/>
    <w:rsid w:val="36AD7518"/>
    <w:rsid w:val="36B14785"/>
    <w:rsid w:val="36B400AC"/>
    <w:rsid w:val="36CC7811"/>
    <w:rsid w:val="36D466C5"/>
    <w:rsid w:val="372633C5"/>
    <w:rsid w:val="37323DD6"/>
    <w:rsid w:val="37735EDE"/>
    <w:rsid w:val="377D0B0B"/>
    <w:rsid w:val="378123A9"/>
    <w:rsid w:val="378A4D90"/>
    <w:rsid w:val="37904CE2"/>
    <w:rsid w:val="379938D3"/>
    <w:rsid w:val="379A3594"/>
    <w:rsid w:val="37AF63E2"/>
    <w:rsid w:val="37B07132"/>
    <w:rsid w:val="37BA58BB"/>
    <w:rsid w:val="37E552B3"/>
    <w:rsid w:val="38085751"/>
    <w:rsid w:val="382814F0"/>
    <w:rsid w:val="382E4F36"/>
    <w:rsid w:val="38312021"/>
    <w:rsid w:val="38327F67"/>
    <w:rsid w:val="384210E7"/>
    <w:rsid w:val="384F4255"/>
    <w:rsid w:val="3851621F"/>
    <w:rsid w:val="386F48F8"/>
    <w:rsid w:val="389A3789"/>
    <w:rsid w:val="38BE5E78"/>
    <w:rsid w:val="38C81EFB"/>
    <w:rsid w:val="38DE22B2"/>
    <w:rsid w:val="38EC46E2"/>
    <w:rsid w:val="38F66DC7"/>
    <w:rsid w:val="391061AD"/>
    <w:rsid w:val="391D23C3"/>
    <w:rsid w:val="392C27E9"/>
    <w:rsid w:val="3942200C"/>
    <w:rsid w:val="39646937"/>
    <w:rsid w:val="39C80763"/>
    <w:rsid w:val="39CB3DB0"/>
    <w:rsid w:val="39E6508D"/>
    <w:rsid w:val="39ED07F1"/>
    <w:rsid w:val="3A3E6C77"/>
    <w:rsid w:val="3A523DA4"/>
    <w:rsid w:val="3A687850"/>
    <w:rsid w:val="3A6920D6"/>
    <w:rsid w:val="3A8C0C87"/>
    <w:rsid w:val="3ABE29A7"/>
    <w:rsid w:val="3ABE5156"/>
    <w:rsid w:val="3ACA4067"/>
    <w:rsid w:val="3B196D9D"/>
    <w:rsid w:val="3B1D688D"/>
    <w:rsid w:val="3B2319C9"/>
    <w:rsid w:val="3B280A67"/>
    <w:rsid w:val="3B547DD5"/>
    <w:rsid w:val="3B585B17"/>
    <w:rsid w:val="3B81792F"/>
    <w:rsid w:val="3BB272B6"/>
    <w:rsid w:val="3BDD229D"/>
    <w:rsid w:val="3BEF7D68"/>
    <w:rsid w:val="3C0B2B89"/>
    <w:rsid w:val="3C5F6A31"/>
    <w:rsid w:val="3C69127B"/>
    <w:rsid w:val="3C6D55F2"/>
    <w:rsid w:val="3C6F0B3B"/>
    <w:rsid w:val="3C8B5F36"/>
    <w:rsid w:val="3C9E1C4F"/>
    <w:rsid w:val="3CD236A7"/>
    <w:rsid w:val="3CD613E9"/>
    <w:rsid w:val="3CD93413"/>
    <w:rsid w:val="3CE3409D"/>
    <w:rsid w:val="3D141F11"/>
    <w:rsid w:val="3D9170BE"/>
    <w:rsid w:val="3DA23079"/>
    <w:rsid w:val="3DA718FD"/>
    <w:rsid w:val="3DD516A1"/>
    <w:rsid w:val="3E285C74"/>
    <w:rsid w:val="3E8346A9"/>
    <w:rsid w:val="3E8D5AD7"/>
    <w:rsid w:val="3E9926CE"/>
    <w:rsid w:val="3EB30BE3"/>
    <w:rsid w:val="3EB76FF8"/>
    <w:rsid w:val="3ED100BA"/>
    <w:rsid w:val="3ED10CAC"/>
    <w:rsid w:val="3EF9316D"/>
    <w:rsid w:val="3F0D09C6"/>
    <w:rsid w:val="3F1E65B9"/>
    <w:rsid w:val="3F1F6A24"/>
    <w:rsid w:val="3F223D0B"/>
    <w:rsid w:val="3F397A0D"/>
    <w:rsid w:val="3F493A88"/>
    <w:rsid w:val="3F7D5B4C"/>
    <w:rsid w:val="3F8C5274"/>
    <w:rsid w:val="3F954D3C"/>
    <w:rsid w:val="3F9B2476"/>
    <w:rsid w:val="3F9B62FB"/>
    <w:rsid w:val="3F9F3D14"/>
    <w:rsid w:val="3FA532F5"/>
    <w:rsid w:val="3FA55992"/>
    <w:rsid w:val="3FC86EBF"/>
    <w:rsid w:val="3FCE4315"/>
    <w:rsid w:val="3FF102E8"/>
    <w:rsid w:val="3FF34060"/>
    <w:rsid w:val="401B3430"/>
    <w:rsid w:val="40402DB2"/>
    <w:rsid w:val="40436D96"/>
    <w:rsid w:val="40445456"/>
    <w:rsid w:val="404E661A"/>
    <w:rsid w:val="40663A4E"/>
    <w:rsid w:val="40692574"/>
    <w:rsid w:val="406C796F"/>
    <w:rsid w:val="406E4615"/>
    <w:rsid w:val="407D1B7C"/>
    <w:rsid w:val="40B71A99"/>
    <w:rsid w:val="40BB2DD0"/>
    <w:rsid w:val="40F238FE"/>
    <w:rsid w:val="411B561D"/>
    <w:rsid w:val="41412BA9"/>
    <w:rsid w:val="416D3A3D"/>
    <w:rsid w:val="41C55588"/>
    <w:rsid w:val="41E41EB2"/>
    <w:rsid w:val="41EB5F6C"/>
    <w:rsid w:val="41FF4F3E"/>
    <w:rsid w:val="421F1443"/>
    <w:rsid w:val="423F77F9"/>
    <w:rsid w:val="424526D7"/>
    <w:rsid w:val="427C78F1"/>
    <w:rsid w:val="42AC535C"/>
    <w:rsid w:val="43017B00"/>
    <w:rsid w:val="4310169A"/>
    <w:rsid w:val="43452E25"/>
    <w:rsid w:val="436A7A31"/>
    <w:rsid w:val="4397130C"/>
    <w:rsid w:val="43AC3FB0"/>
    <w:rsid w:val="43B62173"/>
    <w:rsid w:val="440C3EF6"/>
    <w:rsid w:val="440D78B0"/>
    <w:rsid w:val="4440625F"/>
    <w:rsid w:val="44511355"/>
    <w:rsid w:val="44937BC0"/>
    <w:rsid w:val="44984AB0"/>
    <w:rsid w:val="449851D6"/>
    <w:rsid w:val="44BE2E8F"/>
    <w:rsid w:val="44CE6E4A"/>
    <w:rsid w:val="44EE54AC"/>
    <w:rsid w:val="4508235C"/>
    <w:rsid w:val="45204B2D"/>
    <w:rsid w:val="452D591E"/>
    <w:rsid w:val="452F330E"/>
    <w:rsid w:val="452F5B3A"/>
    <w:rsid w:val="45322F35"/>
    <w:rsid w:val="45502F48"/>
    <w:rsid w:val="455C26A8"/>
    <w:rsid w:val="457C68A6"/>
    <w:rsid w:val="4588349D"/>
    <w:rsid w:val="458F482B"/>
    <w:rsid w:val="458F7DDF"/>
    <w:rsid w:val="45C67B21"/>
    <w:rsid w:val="45D1274E"/>
    <w:rsid w:val="460946E3"/>
    <w:rsid w:val="463A4797"/>
    <w:rsid w:val="4645313C"/>
    <w:rsid w:val="46511AE0"/>
    <w:rsid w:val="469320F9"/>
    <w:rsid w:val="46BE36AC"/>
    <w:rsid w:val="47190850"/>
    <w:rsid w:val="47533D29"/>
    <w:rsid w:val="47590C4D"/>
    <w:rsid w:val="475950F1"/>
    <w:rsid w:val="475A0757"/>
    <w:rsid w:val="475C698F"/>
    <w:rsid w:val="47625049"/>
    <w:rsid w:val="476D46F8"/>
    <w:rsid w:val="478657BA"/>
    <w:rsid w:val="47AC2395"/>
    <w:rsid w:val="47D27C72"/>
    <w:rsid w:val="47F70466"/>
    <w:rsid w:val="47FE279E"/>
    <w:rsid w:val="48074B4D"/>
    <w:rsid w:val="480D7C89"/>
    <w:rsid w:val="48235312"/>
    <w:rsid w:val="48367C7F"/>
    <w:rsid w:val="484C7F56"/>
    <w:rsid w:val="48683D74"/>
    <w:rsid w:val="4893018E"/>
    <w:rsid w:val="489D2DBB"/>
    <w:rsid w:val="48C0081C"/>
    <w:rsid w:val="48CF5A36"/>
    <w:rsid w:val="48E22EC4"/>
    <w:rsid w:val="49076E78"/>
    <w:rsid w:val="49131149"/>
    <w:rsid w:val="493C6A78"/>
    <w:rsid w:val="49517E69"/>
    <w:rsid w:val="49A903D6"/>
    <w:rsid w:val="49E62540"/>
    <w:rsid w:val="4A0004CE"/>
    <w:rsid w:val="4A233903"/>
    <w:rsid w:val="4A5367DB"/>
    <w:rsid w:val="4A722025"/>
    <w:rsid w:val="4A800BE6"/>
    <w:rsid w:val="4AA76173"/>
    <w:rsid w:val="4AC44998"/>
    <w:rsid w:val="4ACC3E2B"/>
    <w:rsid w:val="4AE01685"/>
    <w:rsid w:val="4B1E4F12"/>
    <w:rsid w:val="4B215F25"/>
    <w:rsid w:val="4B34526D"/>
    <w:rsid w:val="4B6C1730"/>
    <w:rsid w:val="4B7E7C76"/>
    <w:rsid w:val="4B903A48"/>
    <w:rsid w:val="4BE34F89"/>
    <w:rsid w:val="4BED22AB"/>
    <w:rsid w:val="4C3B6774"/>
    <w:rsid w:val="4C3C2FC8"/>
    <w:rsid w:val="4C46376A"/>
    <w:rsid w:val="4C650094"/>
    <w:rsid w:val="4C6E0C61"/>
    <w:rsid w:val="4C7D0D1E"/>
    <w:rsid w:val="4C902025"/>
    <w:rsid w:val="4CA77F6E"/>
    <w:rsid w:val="4CB359BB"/>
    <w:rsid w:val="4CC62EFB"/>
    <w:rsid w:val="4CCC4378"/>
    <w:rsid w:val="4CE138A8"/>
    <w:rsid w:val="4D057181"/>
    <w:rsid w:val="4D317F76"/>
    <w:rsid w:val="4D341814"/>
    <w:rsid w:val="4D600CF2"/>
    <w:rsid w:val="4D9910FB"/>
    <w:rsid w:val="4DD3102D"/>
    <w:rsid w:val="4DE56AF4"/>
    <w:rsid w:val="4DE708BF"/>
    <w:rsid w:val="4E404914"/>
    <w:rsid w:val="4E5959D6"/>
    <w:rsid w:val="4E5E53A4"/>
    <w:rsid w:val="4E745F45"/>
    <w:rsid w:val="4E78242B"/>
    <w:rsid w:val="4E9B1B4B"/>
    <w:rsid w:val="4EB54D5B"/>
    <w:rsid w:val="4EBC7483"/>
    <w:rsid w:val="4ED54FC0"/>
    <w:rsid w:val="4ED876D7"/>
    <w:rsid w:val="4EF37BD9"/>
    <w:rsid w:val="4F5F3C86"/>
    <w:rsid w:val="4F637232"/>
    <w:rsid w:val="4F9862D3"/>
    <w:rsid w:val="4FB37618"/>
    <w:rsid w:val="4FED4628"/>
    <w:rsid w:val="500D4CCA"/>
    <w:rsid w:val="506B48CF"/>
    <w:rsid w:val="50A84E91"/>
    <w:rsid w:val="50DE0415"/>
    <w:rsid w:val="51134562"/>
    <w:rsid w:val="51234079"/>
    <w:rsid w:val="51346287"/>
    <w:rsid w:val="515F2860"/>
    <w:rsid w:val="51624BA2"/>
    <w:rsid w:val="516D3FCA"/>
    <w:rsid w:val="517B5C63"/>
    <w:rsid w:val="51BE16BF"/>
    <w:rsid w:val="51FD492E"/>
    <w:rsid w:val="520E6AD8"/>
    <w:rsid w:val="521C2FA3"/>
    <w:rsid w:val="52291E69"/>
    <w:rsid w:val="523D2E55"/>
    <w:rsid w:val="523E5DA7"/>
    <w:rsid w:val="526F3A1A"/>
    <w:rsid w:val="52C5107F"/>
    <w:rsid w:val="52C9444C"/>
    <w:rsid w:val="52FE4D9E"/>
    <w:rsid w:val="532319E9"/>
    <w:rsid w:val="533100B0"/>
    <w:rsid w:val="53A452C5"/>
    <w:rsid w:val="53AE1FC2"/>
    <w:rsid w:val="53DD49B3"/>
    <w:rsid w:val="53EC2463"/>
    <w:rsid w:val="53FD0BB2"/>
    <w:rsid w:val="54014033"/>
    <w:rsid w:val="540A3044"/>
    <w:rsid w:val="5428550E"/>
    <w:rsid w:val="543776B0"/>
    <w:rsid w:val="5442162A"/>
    <w:rsid w:val="544B28DA"/>
    <w:rsid w:val="544B4013"/>
    <w:rsid w:val="54905ECA"/>
    <w:rsid w:val="54B2555C"/>
    <w:rsid w:val="54E94597"/>
    <w:rsid w:val="553023E1"/>
    <w:rsid w:val="55C23E61"/>
    <w:rsid w:val="561E06BF"/>
    <w:rsid w:val="56463A16"/>
    <w:rsid w:val="564D49A1"/>
    <w:rsid w:val="567C3CF2"/>
    <w:rsid w:val="56C67981"/>
    <w:rsid w:val="56E16569"/>
    <w:rsid w:val="57027024"/>
    <w:rsid w:val="57030BD5"/>
    <w:rsid w:val="57092431"/>
    <w:rsid w:val="5710487C"/>
    <w:rsid w:val="577055D9"/>
    <w:rsid w:val="5799724F"/>
    <w:rsid w:val="57BD10A8"/>
    <w:rsid w:val="57E76093"/>
    <w:rsid w:val="581E7E48"/>
    <w:rsid w:val="58232EFA"/>
    <w:rsid w:val="583517C7"/>
    <w:rsid w:val="58496ABB"/>
    <w:rsid w:val="586E207E"/>
    <w:rsid w:val="588B7D70"/>
    <w:rsid w:val="59091DA7"/>
    <w:rsid w:val="590B3D71"/>
    <w:rsid w:val="595C281E"/>
    <w:rsid w:val="595F6580"/>
    <w:rsid w:val="59A75706"/>
    <w:rsid w:val="59DB7232"/>
    <w:rsid w:val="59EE0D00"/>
    <w:rsid w:val="5A04713E"/>
    <w:rsid w:val="5A185B07"/>
    <w:rsid w:val="5A404FC4"/>
    <w:rsid w:val="5A405C9C"/>
    <w:rsid w:val="5A4F514E"/>
    <w:rsid w:val="5A534639"/>
    <w:rsid w:val="5A7708EA"/>
    <w:rsid w:val="5A9276BB"/>
    <w:rsid w:val="5AA91A93"/>
    <w:rsid w:val="5ABF3065"/>
    <w:rsid w:val="5AC15124"/>
    <w:rsid w:val="5AC661A1"/>
    <w:rsid w:val="5ACF1901"/>
    <w:rsid w:val="5AD76600"/>
    <w:rsid w:val="5B127639"/>
    <w:rsid w:val="5B5163B3"/>
    <w:rsid w:val="5B7A2A1E"/>
    <w:rsid w:val="5B7E4CCE"/>
    <w:rsid w:val="5B957AEC"/>
    <w:rsid w:val="5BC14BBB"/>
    <w:rsid w:val="5BFC4BC3"/>
    <w:rsid w:val="5CB70498"/>
    <w:rsid w:val="5CE2128D"/>
    <w:rsid w:val="5CFE249F"/>
    <w:rsid w:val="5D04395F"/>
    <w:rsid w:val="5D094A6B"/>
    <w:rsid w:val="5D137698"/>
    <w:rsid w:val="5D142FE0"/>
    <w:rsid w:val="5D2418A5"/>
    <w:rsid w:val="5D616655"/>
    <w:rsid w:val="5D752101"/>
    <w:rsid w:val="5DFF5F0B"/>
    <w:rsid w:val="5E0222C2"/>
    <w:rsid w:val="5E053485"/>
    <w:rsid w:val="5E2F0501"/>
    <w:rsid w:val="5E5835B4"/>
    <w:rsid w:val="5E590E82"/>
    <w:rsid w:val="5E59607E"/>
    <w:rsid w:val="5E672077"/>
    <w:rsid w:val="5E7423B8"/>
    <w:rsid w:val="5E745F14"/>
    <w:rsid w:val="5EA60100"/>
    <w:rsid w:val="5EC155FD"/>
    <w:rsid w:val="5EE50BC0"/>
    <w:rsid w:val="5EF84D97"/>
    <w:rsid w:val="5F37766E"/>
    <w:rsid w:val="5F5D69BB"/>
    <w:rsid w:val="5F5F0972"/>
    <w:rsid w:val="5FAA76E1"/>
    <w:rsid w:val="5FCDC28F"/>
    <w:rsid w:val="5FEC2A61"/>
    <w:rsid w:val="5FF46272"/>
    <w:rsid w:val="5FF7504F"/>
    <w:rsid w:val="60050D06"/>
    <w:rsid w:val="60200102"/>
    <w:rsid w:val="604F09D5"/>
    <w:rsid w:val="604F19FE"/>
    <w:rsid w:val="607246D5"/>
    <w:rsid w:val="60B66CB8"/>
    <w:rsid w:val="60BB42CE"/>
    <w:rsid w:val="60D66C58"/>
    <w:rsid w:val="613100ED"/>
    <w:rsid w:val="6162299C"/>
    <w:rsid w:val="6183597E"/>
    <w:rsid w:val="61842912"/>
    <w:rsid w:val="61A31CDB"/>
    <w:rsid w:val="61A374B2"/>
    <w:rsid w:val="61A65EC3"/>
    <w:rsid w:val="61D802C3"/>
    <w:rsid w:val="61F1069D"/>
    <w:rsid w:val="62473055"/>
    <w:rsid w:val="624E5E5A"/>
    <w:rsid w:val="62527D9B"/>
    <w:rsid w:val="62620BF0"/>
    <w:rsid w:val="628343F7"/>
    <w:rsid w:val="62AC0373"/>
    <w:rsid w:val="62B86D17"/>
    <w:rsid w:val="62C81AB5"/>
    <w:rsid w:val="62C84D65"/>
    <w:rsid w:val="62DE5968"/>
    <w:rsid w:val="62FA7330"/>
    <w:rsid w:val="63135EB6"/>
    <w:rsid w:val="63554566"/>
    <w:rsid w:val="638832EC"/>
    <w:rsid w:val="63C77D26"/>
    <w:rsid w:val="63D407E9"/>
    <w:rsid w:val="63DD2FC5"/>
    <w:rsid w:val="63F41E03"/>
    <w:rsid w:val="640970FF"/>
    <w:rsid w:val="642D04CF"/>
    <w:rsid w:val="646A49B5"/>
    <w:rsid w:val="647757C1"/>
    <w:rsid w:val="64777340"/>
    <w:rsid w:val="648A46E4"/>
    <w:rsid w:val="649E74F3"/>
    <w:rsid w:val="64A84B6A"/>
    <w:rsid w:val="64B14110"/>
    <w:rsid w:val="64FD1B5A"/>
    <w:rsid w:val="651A3A57"/>
    <w:rsid w:val="654E74BF"/>
    <w:rsid w:val="6598253F"/>
    <w:rsid w:val="65A17F37"/>
    <w:rsid w:val="65A44BB2"/>
    <w:rsid w:val="65C53083"/>
    <w:rsid w:val="65CB4FB4"/>
    <w:rsid w:val="65DE4CE7"/>
    <w:rsid w:val="65FF6A0B"/>
    <w:rsid w:val="660B53B0"/>
    <w:rsid w:val="6644528F"/>
    <w:rsid w:val="667A7EAA"/>
    <w:rsid w:val="669E4476"/>
    <w:rsid w:val="66AE0BBF"/>
    <w:rsid w:val="66F61BBC"/>
    <w:rsid w:val="66F75934"/>
    <w:rsid w:val="67065B78"/>
    <w:rsid w:val="672659F0"/>
    <w:rsid w:val="672F1572"/>
    <w:rsid w:val="674C7B5B"/>
    <w:rsid w:val="674E3357"/>
    <w:rsid w:val="67686FC4"/>
    <w:rsid w:val="677A7AF7"/>
    <w:rsid w:val="67CF4C60"/>
    <w:rsid w:val="67DE1B73"/>
    <w:rsid w:val="682B6B1E"/>
    <w:rsid w:val="683706DE"/>
    <w:rsid w:val="685B5A0A"/>
    <w:rsid w:val="685C76BD"/>
    <w:rsid w:val="68901D0C"/>
    <w:rsid w:val="689951C2"/>
    <w:rsid w:val="68EF2D67"/>
    <w:rsid w:val="68F550AB"/>
    <w:rsid w:val="68F87745"/>
    <w:rsid w:val="69157021"/>
    <w:rsid w:val="6919590F"/>
    <w:rsid w:val="69205616"/>
    <w:rsid w:val="69252C2D"/>
    <w:rsid w:val="696A4484"/>
    <w:rsid w:val="699456BD"/>
    <w:rsid w:val="69A95FA7"/>
    <w:rsid w:val="69C50988"/>
    <w:rsid w:val="69C53AC8"/>
    <w:rsid w:val="69CA2B35"/>
    <w:rsid w:val="6A1011E7"/>
    <w:rsid w:val="6A491A7F"/>
    <w:rsid w:val="6A4946F9"/>
    <w:rsid w:val="6A516AA2"/>
    <w:rsid w:val="6A554E4C"/>
    <w:rsid w:val="6A5E63F6"/>
    <w:rsid w:val="6A78751B"/>
    <w:rsid w:val="6A860B58"/>
    <w:rsid w:val="6AE368FC"/>
    <w:rsid w:val="6AED32D6"/>
    <w:rsid w:val="6AF06B08"/>
    <w:rsid w:val="6AFD4EF3"/>
    <w:rsid w:val="6B0963B6"/>
    <w:rsid w:val="6B0F76F1"/>
    <w:rsid w:val="6B391D13"/>
    <w:rsid w:val="6B512CE9"/>
    <w:rsid w:val="6B5670CE"/>
    <w:rsid w:val="6BC009EB"/>
    <w:rsid w:val="6BC71D79"/>
    <w:rsid w:val="6BC80319"/>
    <w:rsid w:val="6BDA5F51"/>
    <w:rsid w:val="6C267BFC"/>
    <w:rsid w:val="6C276CBC"/>
    <w:rsid w:val="6C3513D9"/>
    <w:rsid w:val="6C6C431E"/>
    <w:rsid w:val="6C7E52EF"/>
    <w:rsid w:val="6CCE4E4E"/>
    <w:rsid w:val="6CDB56A5"/>
    <w:rsid w:val="6D170A98"/>
    <w:rsid w:val="6D342466"/>
    <w:rsid w:val="6D513FF0"/>
    <w:rsid w:val="6D9373FD"/>
    <w:rsid w:val="6D99392A"/>
    <w:rsid w:val="6DA95F8F"/>
    <w:rsid w:val="6DC71181"/>
    <w:rsid w:val="6DF46B4F"/>
    <w:rsid w:val="6E4C0C5C"/>
    <w:rsid w:val="6E5D1ADB"/>
    <w:rsid w:val="6E697118"/>
    <w:rsid w:val="6E6E0BD2"/>
    <w:rsid w:val="6EB63F89"/>
    <w:rsid w:val="6F1654F2"/>
    <w:rsid w:val="6F35349E"/>
    <w:rsid w:val="6F437969"/>
    <w:rsid w:val="6F4D07E7"/>
    <w:rsid w:val="6F5C2FC5"/>
    <w:rsid w:val="6FB76DAA"/>
    <w:rsid w:val="6FB9A545"/>
    <w:rsid w:val="6FE0340A"/>
    <w:rsid w:val="6FF8173E"/>
    <w:rsid w:val="701522AA"/>
    <w:rsid w:val="7016507D"/>
    <w:rsid w:val="701E2184"/>
    <w:rsid w:val="703074E8"/>
    <w:rsid w:val="70444745"/>
    <w:rsid w:val="704E4817"/>
    <w:rsid w:val="70AC79B4"/>
    <w:rsid w:val="70C24045"/>
    <w:rsid w:val="70DF1913"/>
    <w:rsid w:val="711470EF"/>
    <w:rsid w:val="713C4FB8"/>
    <w:rsid w:val="715773D1"/>
    <w:rsid w:val="718B1B22"/>
    <w:rsid w:val="71B752C8"/>
    <w:rsid w:val="71D51813"/>
    <w:rsid w:val="71EC21E0"/>
    <w:rsid w:val="71F72C8D"/>
    <w:rsid w:val="7200557B"/>
    <w:rsid w:val="721573AD"/>
    <w:rsid w:val="721F520B"/>
    <w:rsid w:val="722241AD"/>
    <w:rsid w:val="722F68CA"/>
    <w:rsid w:val="725974A3"/>
    <w:rsid w:val="7269642D"/>
    <w:rsid w:val="728575CB"/>
    <w:rsid w:val="728A3B01"/>
    <w:rsid w:val="72982766"/>
    <w:rsid w:val="72A72905"/>
    <w:rsid w:val="72D0142B"/>
    <w:rsid w:val="72DC3F55"/>
    <w:rsid w:val="72DD1E82"/>
    <w:rsid w:val="731F7F1A"/>
    <w:rsid w:val="73317DD8"/>
    <w:rsid w:val="73422F90"/>
    <w:rsid w:val="734D40AD"/>
    <w:rsid w:val="73576E02"/>
    <w:rsid w:val="73781BAB"/>
    <w:rsid w:val="738642C8"/>
    <w:rsid w:val="738E0F3E"/>
    <w:rsid w:val="73A11102"/>
    <w:rsid w:val="73F7737C"/>
    <w:rsid w:val="7419386D"/>
    <w:rsid w:val="74277E3A"/>
    <w:rsid w:val="743415A6"/>
    <w:rsid w:val="74561EEC"/>
    <w:rsid w:val="747316E0"/>
    <w:rsid w:val="74936C9D"/>
    <w:rsid w:val="74CC21AE"/>
    <w:rsid w:val="74D3178F"/>
    <w:rsid w:val="74D53759"/>
    <w:rsid w:val="74E5348A"/>
    <w:rsid w:val="74F11C15"/>
    <w:rsid w:val="75047B9A"/>
    <w:rsid w:val="75204428"/>
    <w:rsid w:val="752C0E9F"/>
    <w:rsid w:val="75397E58"/>
    <w:rsid w:val="757E41C0"/>
    <w:rsid w:val="7598190E"/>
    <w:rsid w:val="75A629FF"/>
    <w:rsid w:val="75C74B1A"/>
    <w:rsid w:val="75CF63FA"/>
    <w:rsid w:val="75F623E5"/>
    <w:rsid w:val="76651F43"/>
    <w:rsid w:val="769D3E02"/>
    <w:rsid w:val="76A553AD"/>
    <w:rsid w:val="76AA010F"/>
    <w:rsid w:val="76B1562A"/>
    <w:rsid w:val="76B2075D"/>
    <w:rsid w:val="76C6154F"/>
    <w:rsid w:val="76DD06A3"/>
    <w:rsid w:val="76E60943"/>
    <w:rsid w:val="771530DF"/>
    <w:rsid w:val="77360841"/>
    <w:rsid w:val="77617526"/>
    <w:rsid w:val="776718BD"/>
    <w:rsid w:val="77822FF8"/>
    <w:rsid w:val="77B358A8"/>
    <w:rsid w:val="77C32A35"/>
    <w:rsid w:val="77CF3632"/>
    <w:rsid w:val="77F450B1"/>
    <w:rsid w:val="782236A8"/>
    <w:rsid w:val="78B9153C"/>
    <w:rsid w:val="78BE2756"/>
    <w:rsid w:val="78C13A4C"/>
    <w:rsid w:val="78C31B1A"/>
    <w:rsid w:val="78C7785D"/>
    <w:rsid w:val="78DF3BAF"/>
    <w:rsid w:val="78F9378E"/>
    <w:rsid w:val="79420C91"/>
    <w:rsid w:val="794C3C6C"/>
    <w:rsid w:val="7956149B"/>
    <w:rsid w:val="795C7B0F"/>
    <w:rsid w:val="79B24069"/>
    <w:rsid w:val="79BD180A"/>
    <w:rsid w:val="79DF0BD6"/>
    <w:rsid w:val="7A075712"/>
    <w:rsid w:val="7A861051"/>
    <w:rsid w:val="7AAC7850"/>
    <w:rsid w:val="7AF65F97"/>
    <w:rsid w:val="7B51340D"/>
    <w:rsid w:val="7B5C1BCB"/>
    <w:rsid w:val="7B6E48AB"/>
    <w:rsid w:val="7B766494"/>
    <w:rsid w:val="7BBF2A6D"/>
    <w:rsid w:val="7BDA1655"/>
    <w:rsid w:val="7BF96288"/>
    <w:rsid w:val="7C705EF4"/>
    <w:rsid w:val="7C8415C1"/>
    <w:rsid w:val="7C9A7205"/>
    <w:rsid w:val="7D0E2DE5"/>
    <w:rsid w:val="7D2B0199"/>
    <w:rsid w:val="7D4A288D"/>
    <w:rsid w:val="7D627B54"/>
    <w:rsid w:val="7D9A72EE"/>
    <w:rsid w:val="7D9E2572"/>
    <w:rsid w:val="7DA21EAE"/>
    <w:rsid w:val="7DDD618F"/>
    <w:rsid w:val="7DE95B7F"/>
    <w:rsid w:val="7DEC4F5A"/>
    <w:rsid w:val="7DF74740"/>
    <w:rsid w:val="7E437985"/>
    <w:rsid w:val="7E676F26"/>
    <w:rsid w:val="7EA342B9"/>
    <w:rsid w:val="7EAE7034"/>
    <w:rsid w:val="7ED56104"/>
    <w:rsid w:val="7EF04F1F"/>
    <w:rsid w:val="7EF24F07"/>
    <w:rsid w:val="7F271055"/>
    <w:rsid w:val="7F954211"/>
    <w:rsid w:val="7FA83C46"/>
    <w:rsid w:val="7FB51599"/>
    <w:rsid w:val="7FC4206D"/>
    <w:rsid w:val="7FCD55D2"/>
    <w:rsid w:val="7FEB5539"/>
    <w:rsid w:val="7FF444A0"/>
    <w:rsid w:val="7FFB6720"/>
    <w:rsid w:val="DFE6BDFE"/>
    <w:rsid w:val="E3B70494"/>
    <w:rsid w:val="EFFFEBA2"/>
    <w:rsid w:val="F177DA7F"/>
    <w:rsid w:val="F5F7C312"/>
    <w:rsid w:val="F6FF5286"/>
    <w:rsid w:val="F78F853B"/>
    <w:rsid w:val="FB4E8478"/>
    <w:rsid w:val="FF6F6B25"/>
    <w:rsid w:val="FFD604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9"/>
    <w:pPr>
      <w:keepNext/>
      <w:keepLines/>
      <w:spacing w:before="260" w:after="260" w:line="416" w:lineRule="auto"/>
      <w:outlineLvl w:val="1"/>
    </w:pPr>
    <w:rPr>
      <w:rFonts w:ascii="Cambria" w:hAnsi="Cambria"/>
      <w:b/>
      <w:bCs/>
      <w:kern w:val="0"/>
      <w:sz w:val="32"/>
      <w:szCs w:val="32"/>
    </w:rPr>
  </w:style>
  <w:style w:type="paragraph" w:styleId="4">
    <w:name w:val="heading 3"/>
    <w:basedOn w:val="1"/>
    <w:next w:val="1"/>
    <w:unhideWhenUsed/>
    <w:qFormat/>
    <w:uiPriority w:val="9"/>
    <w:pPr>
      <w:keepNext/>
      <w:keepLines/>
      <w:spacing w:before="260" w:after="260" w:line="416" w:lineRule="auto"/>
      <w:outlineLvl w:val="2"/>
    </w:pPr>
    <w:rPr>
      <w:b/>
      <w:bCs/>
      <w:sz w:val="32"/>
      <w:szCs w:val="32"/>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annotation text"/>
    <w:basedOn w:val="1"/>
    <w:uiPriority w:val="0"/>
    <w:pPr>
      <w:jc w:val="left"/>
    </w:pPr>
  </w:style>
  <w:style w:type="paragraph" w:styleId="6">
    <w:name w:val="endnote text"/>
    <w:basedOn w:val="1"/>
    <w:qFormat/>
    <w:uiPriority w:val="0"/>
    <w:pPr>
      <w:snapToGrid w:val="0"/>
      <w:jc w:val="left"/>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footnote text"/>
    <w:basedOn w:val="1"/>
    <w:qFormat/>
    <w:uiPriority w:val="0"/>
    <w:pPr>
      <w:snapToGrid w:val="0"/>
      <w:jc w:val="left"/>
    </w:pPr>
    <w:rPr>
      <w:sz w:val="18"/>
    </w:rPr>
  </w:style>
  <w:style w:type="paragraph" w:styleId="10">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2">
    <w:name w:val="Table Grid"/>
    <w:basedOn w:val="1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endnote reference"/>
    <w:basedOn w:val="13"/>
    <w:qFormat/>
    <w:uiPriority w:val="0"/>
    <w:rPr>
      <w:vertAlign w:val="superscript"/>
    </w:rPr>
  </w:style>
  <w:style w:type="character" w:styleId="16">
    <w:name w:val="Hyperlink"/>
    <w:basedOn w:val="13"/>
    <w:qFormat/>
    <w:uiPriority w:val="0"/>
    <w:rPr>
      <w:color w:val="0000FF"/>
      <w:u w:val="single"/>
    </w:rPr>
  </w:style>
  <w:style w:type="character" w:styleId="17">
    <w:name w:val="footnote reference"/>
    <w:basedOn w:val="13"/>
    <w:qFormat/>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customXml" Target="ink/ink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customXml" Target="ink/ink2.xml"/><Relationship Id="rId10" Type="http://schemas.openxmlformats.org/officeDocument/2006/relationships/image" Target="media/image2.png"/><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6" units="1/cm"/>
          <inkml:channelProperty channel="Y" name="resolution" value="28.34646" units="1/cm"/>
        </inkml:channelProperties>
      </inkml:inkSource>
      <inkml:timestamp xml:id="ts0" timeString="2024-05-11T11:14:20"/>
    </inkml:context>
    <inkml:brush xml:id="br0">
      <inkml:brushProperty name="width" value="0.05292" units="cm"/>
      <inkml:brushProperty name="height" value="0.05292" units="cm"/>
      <inkml:brushProperty name="color" value="#000000"/>
    </inkml:brush>
  </inkml:definitions>
  <inkml:trace contextRef="#ctx0" brushRef="#br0">2754.000 98559.000,'0.000'0.000</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6" units="1/cm"/>
          <inkml:channelProperty channel="Y" name="resolution" value="28.34646" units="1/cm"/>
        </inkml:channelProperties>
      </inkml:inkSource>
      <inkml:timestamp xml:id="ts0" timeString="2024-05-11T11:14:20"/>
    </inkml:context>
    <inkml:brush xml:id="br0">
      <inkml:brushProperty name="width" value="0.05292" units="cm"/>
      <inkml:brushProperty name="height" value="0.05292" units="cm"/>
      <inkml:brushProperty name="color" value="#000000"/>
    </inkml:brush>
  </inkml:definitions>
  <inkml:trace contextRef="#ctx0" brushRef="#br0">2747.000 98574.000,'0.000'0.000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7119</Words>
  <Characters>7412</Characters>
  <Lines>0</Lines>
  <Paragraphs>0</Paragraphs>
  <TotalTime>120</TotalTime>
  <ScaleCrop>false</ScaleCrop>
  <LinksUpToDate>false</LinksUpToDate>
  <CharactersWithSpaces>7425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2014-11-02T12:08:00Z</dcterms:created>
  <dc:creator>huz</dc:creator>
  <cp:lastModifiedBy>一树花开</cp:lastModifiedBy>
  <dcterms:modified xsi:type="dcterms:W3CDTF">2026-04-04T04:05:50Z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4D02A1E160124E089E7A989EF739779B_13</vt:lpwstr>
  </property>
  <property fmtid="{D5CDD505-2E9C-101B-9397-08002B2CF9AE}" pid="4" name="KSOTemplateDocerSaveRecord">
    <vt:lpwstr>eyJoZGlkIjoiZWNkMTU2ZmJmMmUxMzIxYzMwOTc1YjE2MGRlODYwMDEiLCJ1c2VySWQiOiI0NjczMTU1OTEifQ==</vt:lpwstr>
  </property>
</Properties>
</file>