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FE72D">
      <w:pPr>
        <w:jc w:val="center"/>
        <w:rPr>
          <w:rFonts w:hint="eastAsia" w:ascii="黑体" w:hAnsi="黑体" w:eastAsia="黑体"/>
          <w:b/>
          <w:sz w:val="30"/>
          <w:szCs w:val="30"/>
        </w:rPr>
      </w:pPr>
      <w:r>
        <w:rPr>
          <w:rFonts w:hint="eastAsia" w:ascii="黑体" w:hAnsi="黑体" w:eastAsia="黑体"/>
          <w:b/>
          <w:sz w:val="30"/>
          <w:szCs w:val="30"/>
        </w:rPr>
        <w:t>中国政法大学研究生学报审稿评分表</w:t>
      </w:r>
    </w:p>
    <w:p w14:paraId="4F29C615">
      <w:pPr>
        <w:jc w:val="center"/>
        <w:rPr>
          <w:rFonts w:hint="eastAsia" w:ascii="黑体" w:hAnsi="黑体" w:eastAsia="黑体"/>
          <w:b/>
          <w:sz w:val="30"/>
          <w:szCs w:val="30"/>
        </w:rPr>
      </w:pPr>
    </w:p>
    <w:p w14:paraId="321595F9">
      <w:pPr>
        <w:rPr>
          <w:rFonts w:hint="eastAsia"/>
          <w:sz w:val="24"/>
        </w:rPr>
      </w:pPr>
      <w:r>
        <w:rPr>
          <w:rFonts w:hint="eastAsia"/>
          <w:sz w:val="24"/>
        </w:rPr>
        <w:t>论文题目：股债融合型融资合同定性路径之检讨</w:t>
      </w:r>
    </w:p>
    <w:p w14:paraId="01273A11">
      <w:pPr>
        <w:rPr>
          <w:sz w:val="24"/>
        </w:rPr>
      </w:pPr>
      <w:r>
        <w:rPr>
          <w:rFonts w:hint="eastAsia"/>
          <w:sz w:val="24"/>
        </w:rPr>
        <w:t>论文作者：</w:t>
      </w:r>
      <w:r>
        <w:rPr>
          <w:sz w:val="24"/>
        </w:rPr>
        <w:t xml:space="preserve"> </w:t>
      </w:r>
    </w:p>
    <w:p w14:paraId="58EB5206">
      <w:pPr>
        <w:rPr>
          <w:sz w:val="24"/>
        </w:rPr>
      </w:pPr>
    </w:p>
    <w:tbl>
      <w:tblPr>
        <w:tblStyle w:val="6"/>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901"/>
        <w:gridCol w:w="5767"/>
        <w:gridCol w:w="1442"/>
      </w:tblGrid>
      <w:tr w14:paraId="125CC669">
        <w:trPr>
          <w:trHeight w:val="586" w:hRule="atLeast"/>
        </w:trPr>
        <w:tc>
          <w:tcPr>
            <w:tcW w:w="649" w:type="dxa"/>
          </w:tcPr>
          <w:p w14:paraId="56B6A4B1">
            <w:pPr>
              <w:rPr>
                <w:b/>
                <w:sz w:val="18"/>
                <w:szCs w:val="18"/>
              </w:rPr>
            </w:pPr>
            <w:r>
              <w:rPr>
                <w:rFonts w:hint="eastAsia"/>
                <w:b/>
                <w:sz w:val="18"/>
                <w:szCs w:val="18"/>
              </w:rPr>
              <w:t>序号</w:t>
            </w:r>
          </w:p>
        </w:tc>
        <w:tc>
          <w:tcPr>
            <w:tcW w:w="901" w:type="dxa"/>
          </w:tcPr>
          <w:p w14:paraId="37D910EA">
            <w:pPr>
              <w:rPr>
                <w:b/>
                <w:sz w:val="18"/>
                <w:szCs w:val="18"/>
              </w:rPr>
            </w:pPr>
            <w:r>
              <w:rPr>
                <w:rFonts w:hint="eastAsia"/>
                <w:b/>
                <w:sz w:val="18"/>
                <w:szCs w:val="18"/>
              </w:rPr>
              <w:t>评价</w:t>
            </w:r>
          </w:p>
          <w:p w14:paraId="1D6AA917">
            <w:pPr>
              <w:rPr>
                <w:b/>
                <w:sz w:val="18"/>
                <w:szCs w:val="18"/>
              </w:rPr>
            </w:pPr>
            <w:r>
              <w:rPr>
                <w:rFonts w:hint="eastAsia"/>
                <w:b/>
                <w:sz w:val="18"/>
                <w:szCs w:val="18"/>
              </w:rPr>
              <w:t>指标</w:t>
            </w:r>
          </w:p>
        </w:tc>
        <w:tc>
          <w:tcPr>
            <w:tcW w:w="5767" w:type="dxa"/>
          </w:tcPr>
          <w:p w14:paraId="1FE5A728">
            <w:pPr>
              <w:jc w:val="center"/>
              <w:rPr>
                <w:b/>
                <w:sz w:val="18"/>
                <w:szCs w:val="18"/>
              </w:rPr>
            </w:pPr>
            <w:r>
              <w:rPr>
                <w:rFonts w:hint="eastAsia"/>
                <w:b/>
                <w:sz w:val="18"/>
                <w:szCs w:val="18"/>
              </w:rPr>
              <w:t>评价标准</w:t>
            </w:r>
          </w:p>
        </w:tc>
        <w:tc>
          <w:tcPr>
            <w:tcW w:w="1442" w:type="dxa"/>
          </w:tcPr>
          <w:p w14:paraId="484A6E2A">
            <w:pPr>
              <w:jc w:val="center"/>
              <w:rPr>
                <w:b/>
                <w:sz w:val="18"/>
                <w:szCs w:val="18"/>
              </w:rPr>
            </w:pPr>
            <w:r>
              <w:rPr>
                <w:rFonts w:hint="eastAsia"/>
                <w:b/>
                <w:sz w:val="18"/>
                <w:szCs w:val="18"/>
              </w:rPr>
              <w:t>分值</w:t>
            </w:r>
          </w:p>
          <w:p w14:paraId="6A7129C8">
            <w:pPr>
              <w:rPr>
                <w:b/>
                <w:sz w:val="18"/>
                <w:szCs w:val="18"/>
              </w:rPr>
            </w:pPr>
          </w:p>
        </w:tc>
      </w:tr>
      <w:tr w14:paraId="518AF511">
        <w:trPr>
          <w:trHeight w:val="289" w:hRule="atLeast"/>
        </w:trPr>
        <w:tc>
          <w:tcPr>
            <w:tcW w:w="649" w:type="dxa"/>
            <w:vMerge w:val="restart"/>
          </w:tcPr>
          <w:p w14:paraId="0C345B14">
            <w:pPr>
              <w:jc w:val="center"/>
              <w:rPr>
                <w:sz w:val="18"/>
                <w:szCs w:val="18"/>
              </w:rPr>
            </w:pPr>
          </w:p>
          <w:p w14:paraId="7F51B3B0">
            <w:pPr>
              <w:jc w:val="center"/>
              <w:rPr>
                <w:b/>
                <w:sz w:val="18"/>
                <w:szCs w:val="18"/>
              </w:rPr>
            </w:pPr>
            <w:r>
              <w:rPr>
                <w:rFonts w:hint="eastAsia"/>
                <w:b/>
                <w:sz w:val="18"/>
                <w:szCs w:val="18"/>
              </w:rPr>
              <w:t>1</w:t>
            </w:r>
          </w:p>
          <w:p w14:paraId="4F96B2D4">
            <w:pPr>
              <w:jc w:val="center"/>
              <w:rPr>
                <w:sz w:val="18"/>
                <w:szCs w:val="18"/>
              </w:rPr>
            </w:pPr>
          </w:p>
        </w:tc>
        <w:tc>
          <w:tcPr>
            <w:tcW w:w="901" w:type="dxa"/>
            <w:vMerge w:val="restart"/>
          </w:tcPr>
          <w:p w14:paraId="6357616E">
            <w:pPr>
              <w:jc w:val="center"/>
              <w:rPr>
                <w:sz w:val="18"/>
                <w:szCs w:val="18"/>
              </w:rPr>
            </w:pPr>
            <w:r>
              <w:rPr>
                <w:rFonts w:hint="eastAsia"/>
                <w:sz w:val="18"/>
                <w:szCs w:val="18"/>
              </w:rPr>
              <w:t>论文</w:t>
            </w:r>
          </w:p>
          <w:p w14:paraId="2A41A0D0">
            <w:pPr>
              <w:jc w:val="center"/>
              <w:rPr>
                <w:sz w:val="18"/>
                <w:szCs w:val="18"/>
              </w:rPr>
            </w:pPr>
            <w:r>
              <w:rPr>
                <w:rFonts w:hint="eastAsia"/>
                <w:sz w:val="18"/>
                <w:szCs w:val="18"/>
              </w:rPr>
              <w:t>选题</w:t>
            </w:r>
          </w:p>
          <w:p w14:paraId="32C31BF6">
            <w:pPr>
              <w:jc w:val="center"/>
              <w:rPr>
                <w:sz w:val="18"/>
                <w:szCs w:val="18"/>
              </w:rPr>
            </w:pPr>
            <w:r>
              <w:rPr>
                <w:rFonts w:hint="eastAsia"/>
                <w:sz w:val="18"/>
                <w:szCs w:val="18"/>
              </w:rPr>
              <w:t>（</w:t>
            </w:r>
            <w:r>
              <w:rPr>
                <w:rFonts w:hint="eastAsia"/>
                <w:b/>
                <w:sz w:val="18"/>
                <w:szCs w:val="18"/>
              </w:rPr>
              <w:t>10</w:t>
            </w:r>
            <w:r>
              <w:rPr>
                <w:rFonts w:hint="eastAsia"/>
                <w:sz w:val="18"/>
                <w:szCs w:val="18"/>
              </w:rPr>
              <w:t>分）</w:t>
            </w:r>
          </w:p>
        </w:tc>
        <w:tc>
          <w:tcPr>
            <w:tcW w:w="5767" w:type="dxa"/>
          </w:tcPr>
          <w:p w14:paraId="02148264">
            <w:pPr>
              <w:rPr>
                <w:sz w:val="18"/>
                <w:szCs w:val="18"/>
              </w:rPr>
            </w:pPr>
            <w:r>
              <w:rPr>
                <w:rFonts w:hint="eastAsia"/>
                <w:sz w:val="18"/>
                <w:szCs w:val="18"/>
              </w:rPr>
              <w:t>具有较高学术性、创新性、实践性和可行性</w:t>
            </w:r>
          </w:p>
        </w:tc>
        <w:tc>
          <w:tcPr>
            <w:tcW w:w="1442" w:type="dxa"/>
          </w:tcPr>
          <w:p w14:paraId="67DAD785">
            <w:pPr>
              <w:jc w:val="center"/>
              <w:rPr>
                <w:b/>
                <w:sz w:val="18"/>
                <w:szCs w:val="18"/>
              </w:rPr>
            </w:pPr>
            <w:r>
              <w:rPr>
                <w:rFonts w:hint="eastAsia"/>
                <w:b/>
                <w:sz w:val="18"/>
                <w:szCs w:val="18"/>
              </w:rPr>
              <w:t>8-10</w:t>
            </w:r>
          </w:p>
        </w:tc>
      </w:tr>
      <w:tr w14:paraId="714C5DF4">
        <w:trPr>
          <w:trHeight w:val="312" w:hRule="atLeast"/>
        </w:trPr>
        <w:tc>
          <w:tcPr>
            <w:tcW w:w="649" w:type="dxa"/>
            <w:vMerge w:val="continue"/>
          </w:tcPr>
          <w:p w14:paraId="5AE85F4C">
            <w:pPr>
              <w:jc w:val="center"/>
              <w:rPr>
                <w:sz w:val="18"/>
                <w:szCs w:val="18"/>
              </w:rPr>
            </w:pPr>
          </w:p>
        </w:tc>
        <w:tc>
          <w:tcPr>
            <w:tcW w:w="901" w:type="dxa"/>
            <w:vMerge w:val="continue"/>
          </w:tcPr>
          <w:p w14:paraId="1F9CC373">
            <w:pPr>
              <w:jc w:val="center"/>
              <w:rPr>
                <w:sz w:val="18"/>
                <w:szCs w:val="18"/>
              </w:rPr>
            </w:pPr>
          </w:p>
        </w:tc>
        <w:tc>
          <w:tcPr>
            <w:tcW w:w="5767" w:type="dxa"/>
          </w:tcPr>
          <w:p w14:paraId="5C02C846">
            <w:pPr>
              <w:rPr>
                <w:sz w:val="18"/>
                <w:szCs w:val="18"/>
              </w:rPr>
            </w:pPr>
            <w:r>
              <w:rPr>
                <w:rFonts w:hint="eastAsia"/>
                <w:sz w:val="18"/>
                <w:szCs w:val="18"/>
              </w:rPr>
              <w:t>有一定的学术性、实践性和可行性</w:t>
            </w:r>
          </w:p>
        </w:tc>
        <w:tc>
          <w:tcPr>
            <w:tcW w:w="1442" w:type="dxa"/>
          </w:tcPr>
          <w:p w14:paraId="71CA19CA">
            <w:pPr>
              <w:jc w:val="center"/>
              <w:rPr>
                <w:b/>
                <w:sz w:val="18"/>
                <w:szCs w:val="18"/>
              </w:rPr>
            </w:pPr>
            <w:r>
              <w:rPr>
                <w:rFonts w:hint="eastAsia"/>
                <w:b/>
                <w:sz w:val="18"/>
                <w:szCs w:val="18"/>
              </w:rPr>
              <w:t>4-7</w:t>
            </w:r>
          </w:p>
        </w:tc>
      </w:tr>
      <w:tr w14:paraId="07193F17">
        <w:trPr>
          <w:trHeight w:val="302" w:hRule="atLeast"/>
        </w:trPr>
        <w:tc>
          <w:tcPr>
            <w:tcW w:w="649" w:type="dxa"/>
            <w:vMerge w:val="continue"/>
          </w:tcPr>
          <w:p w14:paraId="19BD5859">
            <w:pPr>
              <w:jc w:val="center"/>
              <w:rPr>
                <w:sz w:val="18"/>
                <w:szCs w:val="18"/>
              </w:rPr>
            </w:pPr>
          </w:p>
        </w:tc>
        <w:tc>
          <w:tcPr>
            <w:tcW w:w="901" w:type="dxa"/>
            <w:vMerge w:val="continue"/>
          </w:tcPr>
          <w:p w14:paraId="0FF307CE">
            <w:pPr>
              <w:jc w:val="center"/>
              <w:rPr>
                <w:sz w:val="18"/>
                <w:szCs w:val="18"/>
              </w:rPr>
            </w:pPr>
          </w:p>
        </w:tc>
        <w:tc>
          <w:tcPr>
            <w:tcW w:w="5767" w:type="dxa"/>
          </w:tcPr>
          <w:p w14:paraId="797F2986">
            <w:pPr>
              <w:rPr>
                <w:sz w:val="18"/>
                <w:szCs w:val="18"/>
              </w:rPr>
            </w:pPr>
            <w:r>
              <w:rPr>
                <w:rFonts w:hint="eastAsia"/>
                <w:sz w:val="18"/>
                <w:szCs w:val="18"/>
              </w:rPr>
              <w:t>学术性、实践性、可行性较差</w:t>
            </w:r>
          </w:p>
        </w:tc>
        <w:tc>
          <w:tcPr>
            <w:tcW w:w="1442" w:type="dxa"/>
          </w:tcPr>
          <w:p w14:paraId="1E68E2A8">
            <w:pPr>
              <w:jc w:val="center"/>
              <w:rPr>
                <w:b/>
                <w:sz w:val="18"/>
                <w:szCs w:val="18"/>
              </w:rPr>
            </w:pPr>
            <w:r>
              <w:rPr>
                <w:rFonts w:hint="eastAsia"/>
                <w:b/>
                <w:sz w:val="18"/>
                <w:szCs w:val="18"/>
              </w:rPr>
              <w:t>0-3</w:t>
            </w:r>
          </w:p>
          <w:p w14:paraId="38CC0CF1">
            <w:pPr>
              <w:jc w:val="center"/>
              <w:rPr>
                <w:b/>
                <w:sz w:val="18"/>
                <w:szCs w:val="18"/>
              </w:rPr>
            </w:pPr>
          </w:p>
        </w:tc>
      </w:tr>
      <w:tr w14:paraId="66528C08">
        <w:trPr>
          <w:trHeight w:val="321" w:hRule="atLeast"/>
        </w:trPr>
        <w:tc>
          <w:tcPr>
            <w:tcW w:w="649" w:type="dxa"/>
            <w:vMerge w:val="restart"/>
          </w:tcPr>
          <w:p w14:paraId="6E95F80B">
            <w:pPr>
              <w:rPr>
                <w:b/>
                <w:sz w:val="18"/>
                <w:szCs w:val="18"/>
              </w:rPr>
            </w:pPr>
          </w:p>
          <w:p w14:paraId="0A59C206">
            <w:pPr>
              <w:jc w:val="center"/>
              <w:rPr>
                <w:b/>
                <w:sz w:val="18"/>
                <w:szCs w:val="18"/>
              </w:rPr>
            </w:pPr>
            <w:r>
              <w:rPr>
                <w:rFonts w:hint="eastAsia"/>
                <w:b/>
                <w:sz w:val="18"/>
                <w:szCs w:val="18"/>
              </w:rPr>
              <w:t xml:space="preserve">2  </w:t>
            </w:r>
          </w:p>
          <w:p w14:paraId="307515C1">
            <w:pPr>
              <w:jc w:val="center"/>
              <w:rPr>
                <w:b/>
                <w:sz w:val="18"/>
                <w:szCs w:val="18"/>
              </w:rPr>
            </w:pPr>
          </w:p>
        </w:tc>
        <w:tc>
          <w:tcPr>
            <w:tcW w:w="901" w:type="dxa"/>
            <w:vMerge w:val="restart"/>
          </w:tcPr>
          <w:p w14:paraId="16D06216">
            <w:pPr>
              <w:jc w:val="center"/>
              <w:rPr>
                <w:sz w:val="18"/>
                <w:szCs w:val="18"/>
              </w:rPr>
            </w:pPr>
            <w:r>
              <w:rPr>
                <w:rFonts w:hint="eastAsia"/>
                <w:sz w:val="18"/>
                <w:szCs w:val="18"/>
              </w:rPr>
              <w:t>论文</w:t>
            </w:r>
          </w:p>
          <w:p w14:paraId="534F98B8">
            <w:pPr>
              <w:jc w:val="center"/>
              <w:rPr>
                <w:sz w:val="18"/>
                <w:szCs w:val="18"/>
              </w:rPr>
            </w:pPr>
            <w:r>
              <w:rPr>
                <w:rFonts w:hint="eastAsia"/>
                <w:sz w:val="18"/>
                <w:szCs w:val="18"/>
              </w:rPr>
              <w:t>观点</w:t>
            </w:r>
          </w:p>
          <w:p w14:paraId="2FA2A38F">
            <w:pPr>
              <w:jc w:val="center"/>
              <w:rPr>
                <w:sz w:val="18"/>
                <w:szCs w:val="18"/>
              </w:rPr>
            </w:pPr>
            <w:r>
              <w:rPr>
                <w:rFonts w:hint="eastAsia"/>
                <w:sz w:val="18"/>
                <w:szCs w:val="18"/>
              </w:rPr>
              <w:t>（</w:t>
            </w:r>
            <w:r>
              <w:rPr>
                <w:rFonts w:hint="eastAsia"/>
                <w:b/>
                <w:sz w:val="18"/>
                <w:szCs w:val="18"/>
              </w:rPr>
              <w:t>15</w:t>
            </w:r>
            <w:r>
              <w:rPr>
                <w:rFonts w:hint="eastAsia"/>
                <w:sz w:val="18"/>
                <w:szCs w:val="18"/>
              </w:rPr>
              <w:t>分）</w:t>
            </w:r>
          </w:p>
        </w:tc>
        <w:tc>
          <w:tcPr>
            <w:tcW w:w="5767" w:type="dxa"/>
          </w:tcPr>
          <w:p w14:paraId="0D698130">
            <w:pPr>
              <w:rPr>
                <w:sz w:val="18"/>
                <w:szCs w:val="18"/>
              </w:rPr>
            </w:pPr>
            <w:r>
              <w:rPr>
                <w:rFonts w:hint="eastAsia"/>
                <w:sz w:val="18"/>
                <w:szCs w:val="18"/>
              </w:rPr>
              <w:t>论点鲜明，见解独到、有创新性</w:t>
            </w:r>
          </w:p>
        </w:tc>
        <w:tc>
          <w:tcPr>
            <w:tcW w:w="1442" w:type="dxa"/>
          </w:tcPr>
          <w:p w14:paraId="238DD8EB">
            <w:pPr>
              <w:jc w:val="center"/>
              <w:rPr>
                <w:b/>
                <w:sz w:val="18"/>
                <w:szCs w:val="18"/>
              </w:rPr>
            </w:pPr>
            <w:r>
              <w:rPr>
                <w:rFonts w:hint="eastAsia"/>
                <w:b/>
                <w:sz w:val="18"/>
                <w:szCs w:val="18"/>
              </w:rPr>
              <w:t>13-15</w:t>
            </w:r>
          </w:p>
          <w:p w14:paraId="13C777FB">
            <w:pPr>
              <w:jc w:val="center"/>
              <w:rPr>
                <w:b/>
                <w:sz w:val="18"/>
                <w:szCs w:val="18"/>
              </w:rPr>
            </w:pPr>
          </w:p>
        </w:tc>
      </w:tr>
      <w:tr w14:paraId="5D90BC85">
        <w:trPr>
          <w:trHeight w:val="302" w:hRule="atLeast"/>
        </w:trPr>
        <w:tc>
          <w:tcPr>
            <w:tcW w:w="649" w:type="dxa"/>
            <w:vMerge w:val="continue"/>
          </w:tcPr>
          <w:p w14:paraId="07D3036C">
            <w:pPr>
              <w:jc w:val="center"/>
              <w:rPr>
                <w:b/>
                <w:sz w:val="18"/>
                <w:szCs w:val="18"/>
              </w:rPr>
            </w:pPr>
          </w:p>
        </w:tc>
        <w:tc>
          <w:tcPr>
            <w:tcW w:w="901" w:type="dxa"/>
            <w:vMerge w:val="continue"/>
          </w:tcPr>
          <w:p w14:paraId="45370B05">
            <w:pPr>
              <w:jc w:val="center"/>
              <w:rPr>
                <w:sz w:val="18"/>
                <w:szCs w:val="18"/>
              </w:rPr>
            </w:pPr>
          </w:p>
        </w:tc>
        <w:tc>
          <w:tcPr>
            <w:tcW w:w="5767" w:type="dxa"/>
          </w:tcPr>
          <w:p w14:paraId="6BAE8EEA">
            <w:pPr>
              <w:rPr>
                <w:sz w:val="18"/>
                <w:szCs w:val="18"/>
              </w:rPr>
            </w:pPr>
            <w:r>
              <w:rPr>
                <w:rFonts w:hint="eastAsia"/>
                <w:sz w:val="18"/>
                <w:szCs w:val="18"/>
              </w:rPr>
              <w:t>论点明确，有一定新意对既有观点有较深的阐释</w:t>
            </w:r>
          </w:p>
        </w:tc>
        <w:tc>
          <w:tcPr>
            <w:tcW w:w="1442" w:type="dxa"/>
          </w:tcPr>
          <w:p w14:paraId="22AD8784">
            <w:pPr>
              <w:jc w:val="center"/>
              <w:rPr>
                <w:b/>
                <w:sz w:val="18"/>
                <w:szCs w:val="18"/>
              </w:rPr>
            </w:pPr>
            <w:r>
              <w:rPr>
                <w:rFonts w:hint="eastAsia"/>
                <w:b/>
                <w:sz w:val="18"/>
                <w:szCs w:val="18"/>
              </w:rPr>
              <w:t>5-12</w:t>
            </w:r>
          </w:p>
          <w:p w14:paraId="7634AAFE">
            <w:pPr>
              <w:jc w:val="center"/>
              <w:rPr>
                <w:b/>
                <w:sz w:val="18"/>
                <w:szCs w:val="18"/>
              </w:rPr>
            </w:pPr>
          </w:p>
        </w:tc>
      </w:tr>
      <w:tr w14:paraId="2BAFB89C">
        <w:trPr>
          <w:trHeight w:val="389" w:hRule="atLeast"/>
        </w:trPr>
        <w:tc>
          <w:tcPr>
            <w:tcW w:w="649" w:type="dxa"/>
            <w:vMerge w:val="continue"/>
          </w:tcPr>
          <w:p w14:paraId="149D2A0A">
            <w:pPr>
              <w:jc w:val="center"/>
              <w:rPr>
                <w:b/>
                <w:sz w:val="18"/>
                <w:szCs w:val="18"/>
              </w:rPr>
            </w:pPr>
          </w:p>
        </w:tc>
        <w:tc>
          <w:tcPr>
            <w:tcW w:w="901" w:type="dxa"/>
            <w:vMerge w:val="continue"/>
          </w:tcPr>
          <w:p w14:paraId="6C626E70">
            <w:pPr>
              <w:jc w:val="center"/>
              <w:rPr>
                <w:sz w:val="18"/>
                <w:szCs w:val="18"/>
              </w:rPr>
            </w:pPr>
          </w:p>
        </w:tc>
        <w:tc>
          <w:tcPr>
            <w:tcW w:w="5767" w:type="dxa"/>
          </w:tcPr>
          <w:p w14:paraId="1733B05B">
            <w:pPr>
              <w:rPr>
                <w:sz w:val="18"/>
                <w:szCs w:val="18"/>
              </w:rPr>
            </w:pPr>
            <w:r>
              <w:rPr>
                <w:rFonts w:hint="eastAsia"/>
                <w:sz w:val="18"/>
                <w:szCs w:val="18"/>
              </w:rPr>
              <w:t>论点不够明确</w:t>
            </w:r>
          </w:p>
        </w:tc>
        <w:tc>
          <w:tcPr>
            <w:tcW w:w="1442" w:type="dxa"/>
          </w:tcPr>
          <w:p w14:paraId="35015BAA">
            <w:pPr>
              <w:jc w:val="center"/>
              <w:rPr>
                <w:b/>
                <w:sz w:val="18"/>
                <w:szCs w:val="18"/>
              </w:rPr>
            </w:pPr>
            <w:r>
              <w:rPr>
                <w:rFonts w:hint="eastAsia"/>
                <w:b/>
                <w:sz w:val="18"/>
                <w:szCs w:val="18"/>
              </w:rPr>
              <w:t>0-4</w:t>
            </w:r>
          </w:p>
          <w:p w14:paraId="102662FA">
            <w:pPr>
              <w:jc w:val="center"/>
              <w:rPr>
                <w:b/>
                <w:sz w:val="18"/>
                <w:szCs w:val="18"/>
              </w:rPr>
            </w:pPr>
          </w:p>
        </w:tc>
      </w:tr>
      <w:tr w14:paraId="20310541">
        <w:trPr>
          <w:trHeight w:val="302" w:hRule="atLeast"/>
        </w:trPr>
        <w:tc>
          <w:tcPr>
            <w:tcW w:w="649" w:type="dxa"/>
            <w:vMerge w:val="restart"/>
          </w:tcPr>
          <w:p w14:paraId="0F49FD76">
            <w:pPr>
              <w:rPr>
                <w:b/>
                <w:sz w:val="18"/>
                <w:szCs w:val="18"/>
              </w:rPr>
            </w:pPr>
          </w:p>
          <w:p w14:paraId="13A37517">
            <w:pPr>
              <w:jc w:val="center"/>
              <w:rPr>
                <w:b/>
                <w:sz w:val="18"/>
                <w:szCs w:val="18"/>
              </w:rPr>
            </w:pPr>
            <w:r>
              <w:rPr>
                <w:rFonts w:hint="eastAsia"/>
                <w:b/>
                <w:sz w:val="18"/>
                <w:szCs w:val="18"/>
              </w:rPr>
              <w:t>3</w:t>
            </w:r>
          </w:p>
          <w:p w14:paraId="248D419B">
            <w:pPr>
              <w:jc w:val="center"/>
              <w:rPr>
                <w:b/>
                <w:sz w:val="18"/>
                <w:szCs w:val="18"/>
              </w:rPr>
            </w:pPr>
          </w:p>
        </w:tc>
        <w:tc>
          <w:tcPr>
            <w:tcW w:w="901" w:type="dxa"/>
            <w:vMerge w:val="restart"/>
          </w:tcPr>
          <w:p w14:paraId="5A1A9174">
            <w:pPr>
              <w:jc w:val="center"/>
              <w:rPr>
                <w:sz w:val="18"/>
                <w:szCs w:val="18"/>
              </w:rPr>
            </w:pPr>
          </w:p>
          <w:p w14:paraId="484AE72E">
            <w:pPr>
              <w:jc w:val="center"/>
              <w:rPr>
                <w:sz w:val="18"/>
                <w:szCs w:val="18"/>
              </w:rPr>
            </w:pPr>
            <w:r>
              <w:rPr>
                <w:rFonts w:hint="eastAsia"/>
                <w:sz w:val="18"/>
                <w:szCs w:val="18"/>
              </w:rPr>
              <w:t>论文</w:t>
            </w:r>
          </w:p>
          <w:p w14:paraId="7C93B9F5">
            <w:pPr>
              <w:jc w:val="center"/>
              <w:rPr>
                <w:sz w:val="18"/>
                <w:szCs w:val="18"/>
              </w:rPr>
            </w:pPr>
            <w:r>
              <w:rPr>
                <w:rFonts w:hint="eastAsia"/>
                <w:sz w:val="18"/>
                <w:szCs w:val="18"/>
              </w:rPr>
              <w:t>论证</w:t>
            </w:r>
          </w:p>
          <w:p w14:paraId="4A51DB92">
            <w:pPr>
              <w:jc w:val="center"/>
              <w:rPr>
                <w:sz w:val="18"/>
                <w:szCs w:val="18"/>
              </w:rPr>
            </w:pPr>
            <w:r>
              <w:rPr>
                <w:rFonts w:hint="eastAsia"/>
                <w:sz w:val="18"/>
                <w:szCs w:val="18"/>
              </w:rPr>
              <w:t>（</w:t>
            </w:r>
            <w:r>
              <w:rPr>
                <w:rFonts w:hint="eastAsia"/>
                <w:b/>
                <w:sz w:val="18"/>
                <w:szCs w:val="18"/>
              </w:rPr>
              <w:t>40</w:t>
            </w:r>
            <w:r>
              <w:rPr>
                <w:rFonts w:hint="eastAsia"/>
                <w:sz w:val="18"/>
                <w:szCs w:val="18"/>
              </w:rPr>
              <w:t>分）</w:t>
            </w:r>
          </w:p>
        </w:tc>
        <w:tc>
          <w:tcPr>
            <w:tcW w:w="5767" w:type="dxa"/>
          </w:tcPr>
          <w:p w14:paraId="41615BB6">
            <w:pPr>
              <w:rPr>
                <w:sz w:val="18"/>
                <w:szCs w:val="18"/>
              </w:rPr>
            </w:pPr>
            <w:r>
              <w:rPr>
                <w:rFonts w:hint="eastAsia"/>
                <w:sz w:val="18"/>
                <w:szCs w:val="18"/>
              </w:rPr>
              <w:t>方法新颖，论证充分，论据确凿，逻辑性强，对问题有较深入的分析</w:t>
            </w:r>
          </w:p>
        </w:tc>
        <w:tc>
          <w:tcPr>
            <w:tcW w:w="1442" w:type="dxa"/>
          </w:tcPr>
          <w:p w14:paraId="4F082FA1">
            <w:pPr>
              <w:jc w:val="center"/>
              <w:rPr>
                <w:b/>
                <w:sz w:val="18"/>
                <w:szCs w:val="18"/>
              </w:rPr>
            </w:pPr>
            <w:r>
              <w:rPr>
                <w:rFonts w:hint="eastAsia"/>
                <w:b/>
                <w:sz w:val="18"/>
                <w:szCs w:val="18"/>
              </w:rPr>
              <w:t>35-40</w:t>
            </w:r>
          </w:p>
          <w:p w14:paraId="08181D84">
            <w:pPr>
              <w:jc w:val="center"/>
              <w:rPr>
                <w:b/>
                <w:sz w:val="18"/>
                <w:szCs w:val="18"/>
              </w:rPr>
            </w:pPr>
          </w:p>
        </w:tc>
      </w:tr>
      <w:tr w14:paraId="518682BA">
        <w:trPr>
          <w:trHeight w:val="302" w:hRule="atLeast"/>
        </w:trPr>
        <w:tc>
          <w:tcPr>
            <w:tcW w:w="649" w:type="dxa"/>
            <w:vMerge w:val="continue"/>
          </w:tcPr>
          <w:p w14:paraId="13A36037">
            <w:pPr>
              <w:jc w:val="center"/>
              <w:rPr>
                <w:b/>
                <w:sz w:val="18"/>
                <w:szCs w:val="18"/>
              </w:rPr>
            </w:pPr>
          </w:p>
        </w:tc>
        <w:tc>
          <w:tcPr>
            <w:tcW w:w="901" w:type="dxa"/>
            <w:vMerge w:val="continue"/>
          </w:tcPr>
          <w:p w14:paraId="7DAECA09">
            <w:pPr>
              <w:jc w:val="center"/>
              <w:rPr>
                <w:sz w:val="18"/>
                <w:szCs w:val="18"/>
              </w:rPr>
            </w:pPr>
          </w:p>
        </w:tc>
        <w:tc>
          <w:tcPr>
            <w:tcW w:w="5767" w:type="dxa"/>
          </w:tcPr>
          <w:p w14:paraId="3589B3FB">
            <w:pPr>
              <w:rPr>
                <w:sz w:val="18"/>
                <w:szCs w:val="18"/>
              </w:rPr>
            </w:pPr>
            <w:r>
              <w:rPr>
                <w:rFonts w:hint="eastAsia"/>
                <w:sz w:val="18"/>
                <w:szCs w:val="18"/>
              </w:rPr>
              <w:t>方法得当，论证比较充分，论据可靠，逻辑性比较强，分析比较深入</w:t>
            </w:r>
          </w:p>
        </w:tc>
        <w:tc>
          <w:tcPr>
            <w:tcW w:w="1442" w:type="dxa"/>
          </w:tcPr>
          <w:p w14:paraId="7ECA6FA2">
            <w:pPr>
              <w:jc w:val="center"/>
              <w:rPr>
                <w:b/>
                <w:sz w:val="18"/>
                <w:szCs w:val="18"/>
              </w:rPr>
            </w:pPr>
            <w:r>
              <w:rPr>
                <w:rFonts w:hint="eastAsia"/>
                <w:b/>
                <w:sz w:val="18"/>
                <w:szCs w:val="18"/>
              </w:rPr>
              <w:t>25-34</w:t>
            </w:r>
          </w:p>
          <w:p w14:paraId="372996AF">
            <w:pPr>
              <w:jc w:val="center"/>
              <w:rPr>
                <w:b/>
                <w:sz w:val="18"/>
                <w:szCs w:val="18"/>
              </w:rPr>
            </w:pPr>
          </w:p>
        </w:tc>
      </w:tr>
      <w:tr w14:paraId="404C3D53">
        <w:trPr>
          <w:trHeight w:val="302" w:hRule="atLeast"/>
        </w:trPr>
        <w:tc>
          <w:tcPr>
            <w:tcW w:w="649" w:type="dxa"/>
            <w:vMerge w:val="continue"/>
          </w:tcPr>
          <w:p w14:paraId="3051FA87">
            <w:pPr>
              <w:jc w:val="center"/>
              <w:rPr>
                <w:b/>
                <w:sz w:val="18"/>
                <w:szCs w:val="18"/>
              </w:rPr>
            </w:pPr>
          </w:p>
        </w:tc>
        <w:tc>
          <w:tcPr>
            <w:tcW w:w="901" w:type="dxa"/>
            <w:vMerge w:val="continue"/>
          </w:tcPr>
          <w:p w14:paraId="5404E888">
            <w:pPr>
              <w:jc w:val="center"/>
              <w:rPr>
                <w:sz w:val="18"/>
                <w:szCs w:val="18"/>
              </w:rPr>
            </w:pPr>
          </w:p>
        </w:tc>
        <w:tc>
          <w:tcPr>
            <w:tcW w:w="5767" w:type="dxa"/>
          </w:tcPr>
          <w:p w14:paraId="5B597AED">
            <w:pPr>
              <w:rPr>
                <w:sz w:val="18"/>
                <w:szCs w:val="18"/>
              </w:rPr>
            </w:pPr>
            <w:r>
              <w:rPr>
                <w:rFonts w:hint="eastAsia"/>
                <w:sz w:val="18"/>
                <w:szCs w:val="18"/>
              </w:rPr>
              <w:t>对事物有一定的分析能力和概括能力，能运用所学理论和知识阐述问题</w:t>
            </w:r>
          </w:p>
        </w:tc>
        <w:tc>
          <w:tcPr>
            <w:tcW w:w="1442" w:type="dxa"/>
          </w:tcPr>
          <w:p w14:paraId="12CDC7EB">
            <w:pPr>
              <w:jc w:val="center"/>
              <w:rPr>
                <w:b/>
                <w:sz w:val="18"/>
                <w:szCs w:val="18"/>
              </w:rPr>
            </w:pPr>
            <w:r>
              <w:rPr>
                <w:rFonts w:hint="eastAsia"/>
                <w:b/>
                <w:sz w:val="18"/>
                <w:szCs w:val="18"/>
              </w:rPr>
              <w:t>13-24</w:t>
            </w:r>
          </w:p>
          <w:p w14:paraId="7B7B3279">
            <w:pPr>
              <w:jc w:val="center"/>
              <w:rPr>
                <w:b/>
                <w:sz w:val="18"/>
                <w:szCs w:val="18"/>
              </w:rPr>
            </w:pPr>
          </w:p>
        </w:tc>
      </w:tr>
      <w:tr w14:paraId="3314D677">
        <w:trPr>
          <w:trHeight w:val="302" w:hRule="atLeast"/>
        </w:trPr>
        <w:tc>
          <w:tcPr>
            <w:tcW w:w="649" w:type="dxa"/>
            <w:vMerge w:val="continue"/>
          </w:tcPr>
          <w:p w14:paraId="47D96C3F">
            <w:pPr>
              <w:jc w:val="center"/>
              <w:rPr>
                <w:b/>
                <w:sz w:val="18"/>
                <w:szCs w:val="18"/>
              </w:rPr>
            </w:pPr>
          </w:p>
        </w:tc>
        <w:tc>
          <w:tcPr>
            <w:tcW w:w="901" w:type="dxa"/>
            <w:vMerge w:val="continue"/>
          </w:tcPr>
          <w:p w14:paraId="7B1A9795">
            <w:pPr>
              <w:jc w:val="center"/>
              <w:rPr>
                <w:sz w:val="18"/>
                <w:szCs w:val="18"/>
              </w:rPr>
            </w:pPr>
          </w:p>
        </w:tc>
        <w:tc>
          <w:tcPr>
            <w:tcW w:w="5767" w:type="dxa"/>
          </w:tcPr>
          <w:p w14:paraId="46362225">
            <w:pPr>
              <w:rPr>
                <w:sz w:val="18"/>
                <w:szCs w:val="18"/>
              </w:rPr>
            </w:pPr>
            <w:r>
              <w:rPr>
                <w:rFonts w:hint="eastAsia"/>
                <w:sz w:val="18"/>
                <w:szCs w:val="18"/>
              </w:rPr>
              <w:t>论证未充分说明论点</w:t>
            </w:r>
          </w:p>
        </w:tc>
        <w:tc>
          <w:tcPr>
            <w:tcW w:w="1442" w:type="dxa"/>
          </w:tcPr>
          <w:p w14:paraId="25C8B864">
            <w:pPr>
              <w:jc w:val="center"/>
              <w:rPr>
                <w:b/>
                <w:sz w:val="18"/>
                <w:szCs w:val="18"/>
              </w:rPr>
            </w:pPr>
            <w:r>
              <w:rPr>
                <w:rFonts w:hint="eastAsia"/>
                <w:b/>
                <w:sz w:val="18"/>
                <w:szCs w:val="18"/>
              </w:rPr>
              <w:t>1-12</w:t>
            </w:r>
          </w:p>
          <w:p w14:paraId="20568ABA">
            <w:pPr>
              <w:jc w:val="center"/>
              <w:rPr>
                <w:b/>
                <w:sz w:val="18"/>
                <w:szCs w:val="18"/>
              </w:rPr>
            </w:pPr>
          </w:p>
        </w:tc>
      </w:tr>
      <w:tr w14:paraId="202C1792">
        <w:trPr>
          <w:trHeight w:val="293" w:hRule="atLeast"/>
        </w:trPr>
        <w:tc>
          <w:tcPr>
            <w:tcW w:w="649" w:type="dxa"/>
            <w:vMerge w:val="restart"/>
          </w:tcPr>
          <w:p w14:paraId="4174655A">
            <w:pPr>
              <w:jc w:val="center"/>
              <w:rPr>
                <w:b/>
                <w:sz w:val="18"/>
                <w:szCs w:val="18"/>
              </w:rPr>
            </w:pPr>
          </w:p>
          <w:p w14:paraId="2FA48A63">
            <w:pPr>
              <w:jc w:val="center"/>
              <w:rPr>
                <w:b/>
                <w:sz w:val="18"/>
                <w:szCs w:val="18"/>
              </w:rPr>
            </w:pPr>
            <w:r>
              <w:rPr>
                <w:rFonts w:hint="eastAsia"/>
                <w:b/>
                <w:sz w:val="18"/>
                <w:szCs w:val="18"/>
              </w:rPr>
              <w:t>4</w:t>
            </w:r>
          </w:p>
          <w:p w14:paraId="29610A88">
            <w:pPr>
              <w:jc w:val="center"/>
              <w:rPr>
                <w:b/>
                <w:sz w:val="18"/>
                <w:szCs w:val="18"/>
              </w:rPr>
            </w:pPr>
          </w:p>
        </w:tc>
        <w:tc>
          <w:tcPr>
            <w:tcW w:w="901" w:type="dxa"/>
            <w:vMerge w:val="restart"/>
          </w:tcPr>
          <w:p w14:paraId="0ADDDF46">
            <w:pPr>
              <w:jc w:val="center"/>
              <w:rPr>
                <w:sz w:val="18"/>
                <w:szCs w:val="18"/>
              </w:rPr>
            </w:pPr>
            <w:r>
              <w:rPr>
                <w:rFonts w:hint="eastAsia"/>
                <w:sz w:val="18"/>
                <w:szCs w:val="18"/>
              </w:rPr>
              <w:t>论文</w:t>
            </w:r>
          </w:p>
          <w:p w14:paraId="7CCB2810">
            <w:pPr>
              <w:jc w:val="center"/>
              <w:rPr>
                <w:sz w:val="18"/>
                <w:szCs w:val="18"/>
              </w:rPr>
            </w:pPr>
            <w:r>
              <w:rPr>
                <w:rFonts w:hint="eastAsia"/>
                <w:sz w:val="18"/>
                <w:szCs w:val="18"/>
              </w:rPr>
              <w:t>规范性</w:t>
            </w:r>
          </w:p>
          <w:p w14:paraId="18CCF164">
            <w:pPr>
              <w:jc w:val="center"/>
              <w:rPr>
                <w:sz w:val="18"/>
                <w:szCs w:val="18"/>
              </w:rPr>
            </w:pPr>
            <w:r>
              <w:rPr>
                <w:rFonts w:hint="eastAsia"/>
                <w:sz w:val="18"/>
                <w:szCs w:val="18"/>
              </w:rPr>
              <w:t>（</w:t>
            </w:r>
            <w:r>
              <w:rPr>
                <w:rFonts w:hint="eastAsia"/>
                <w:b/>
                <w:sz w:val="18"/>
                <w:szCs w:val="18"/>
              </w:rPr>
              <w:t>10</w:t>
            </w:r>
            <w:r>
              <w:rPr>
                <w:rFonts w:hint="eastAsia"/>
                <w:sz w:val="18"/>
                <w:szCs w:val="18"/>
              </w:rPr>
              <w:t>分）</w:t>
            </w:r>
          </w:p>
        </w:tc>
        <w:tc>
          <w:tcPr>
            <w:tcW w:w="5767" w:type="dxa"/>
          </w:tcPr>
          <w:p w14:paraId="09553B4F">
            <w:pPr>
              <w:rPr>
                <w:sz w:val="18"/>
                <w:szCs w:val="18"/>
              </w:rPr>
            </w:pPr>
            <w:r>
              <w:rPr>
                <w:rFonts w:hint="eastAsia"/>
                <w:sz w:val="18"/>
                <w:szCs w:val="18"/>
              </w:rPr>
              <w:t>论文的注释体例和参考文献规范、内容摘要和关键词，符合规范性</w:t>
            </w:r>
          </w:p>
        </w:tc>
        <w:tc>
          <w:tcPr>
            <w:tcW w:w="1442" w:type="dxa"/>
          </w:tcPr>
          <w:p w14:paraId="25D0FF19">
            <w:pPr>
              <w:jc w:val="center"/>
              <w:rPr>
                <w:b/>
                <w:sz w:val="18"/>
                <w:szCs w:val="18"/>
              </w:rPr>
            </w:pPr>
            <w:r>
              <w:rPr>
                <w:rFonts w:hint="eastAsia"/>
                <w:b/>
                <w:sz w:val="18"/>
                <w:szCs w:val="18"/>
              </w:rPr>
              <w:t>6-10</w:t>
            </w:r>
          </w:p>
          <w:p w14:paraId="5DD71ACD">
            <w:pPr>
              <w:jc w:val="center"/>
              <w:rPr>
                <w:b/>
                <w:sz w:val="18"/>
                <w:szCs w:val="18"/>
              </w:rPr>
            </w:pPr>
          </w:p>
        </w:tc>
      </w:tr>
      <w:tr w14:paraId="21055BD5">
        <w:trPr>
          <w:trHeight w:val="605" w:hRule="atLeast"/>
        </w:trPr>
        <w:tc>
          <w:tcPr>
            <w:tcW w:w="649" w:type="dxa"/>
            <w:vMerge w:val="continue"/>
          </w:tcPr>
          <w:p w14:paraId="5691017F">
            <w:pPr>
              <w:jc w:val="center"/>
              <w:rPr>
                <w:b/>
                <w:sz w:val="18"/>
                <w:szCs w:val="18"/>
              </w:rPr>
            </w:pPr>
          </w:p>
        </w:tc>
        <w:tc>
          <w:tcPr>
            <w:tcW w:w="901" w:type="dxa"/>
            <w:vMerge w:val="continue"/>
          </w:tcPr>
          <w:p w14:paraId="13F34D97">
            <w:pPr>
              <w:jc w:val="center"/>
              <w:rPr>
                <w:sz w:val="18"/>
                <w:szCs w:val="18"/>
              </w:rPr>
            </w:pPr>
          </w:p>
        </w:tc>
        <w:tc>
          <w:tcPr>
            <w:tcW w:w="5767" w:type="dxa"/>
          </w:tcPr>
          <w:p w14:paraId="77F45545">
            <w:pPr>
              <w:rPr>
                <w:sz w:val="18"/>
                <w:szCs w:val="18"/>
              </w:rPr>
            </w:pPr>
            <w:r>
              <w:rPr>
                <w:rFonts w:hint="eastAsia"/>
                <w:sz w:val="18"/>
                <w:szCs w:val="18"/>
              </w:rPr>
              <w:t>论文的注释体例和参考文献基本符合规范、内容摘要和关键词，基本符合规范性</w:t>
            </w:r>
          </w:p>
        </w:tc>
        <w:tc>
          <w:tcPr>
            <w:tcW w:w="1442" w:type="dxa"/>
          </w:tcPr>
          <w:p w14:paraId="737839D7">
            <w:pPr>
              <w:jc w:val="center"/>
              <w:rPr>
                <w:b/>
                <w:sz w:val="18"/>
                <w:szCs w:val="18"/>
              </w:rPr>
            </w:pPr>
            <w:r>
              <w:rPr>
                <w:rFonts w:hint="eastAsia"/>
                <w:b/>
                <w:sz w:val="18"/>
                <w:szCs w:val="18"/>
              </w:rPr>
              <w:t>1-5</w:t>
            </w:r>
          </w:p>
          <w:p w14:paraId="664FDE05">
            <w:pPr>
              <w:jc w:val="center"/>
              <w:rPr>
                <w:b/>
                <w:sz w:val="18"/>
                <w:szCs w:val="18"/>
              </w:rPr>
            </w:pPr>
          </w:p>
        </w:tc>
      </w:tr>
      <w:tr w14:paraId="290EF904">
        <w:trPr>
          <w:trHeight w:val="337" w:hRule="atLeast"/>
        </w:trPr>
        <w:tc>
          <w:tcPr>
            <w:tcW w:w="649" w:type="dxa"/>
            <w:vMerge w:val="restart"/>
          </w:tcPr>
          <w:p w14:paraId="65A0B113">
            <w:pPr>
              <w:jc w:val="center"/>
              <w:rPr>
                <w:b/>
                <w:sz w:val="18"/>
                <w:szCs w:val="18"/>
              </w:rPr>
            </w:pPr>
          </w:p>
          <w:p w14:paraId="7260B16C">
            <w:pPr>
              <w:jc w:val="center"/>
              <w:rPr>
                <w:b/>
                <w:sz w:val="18"/>
                <w:szCs w:val="18"/>
              </w:rPr>
            </w:pPr>
            <w:r>
              <w:rPr>
                <w:rFonts w:hint="eastAsia"/>
                <w:b/>
                <w:sz w:val="18"/>
                <w:szCs w:val="18"/>
              </w:rPr>
              <w:t>5</w:t>
            </w:r>
          </w:p>
          <w:p w14:paraId="60B616AB">
            <w:pPr>
              <w:jc w:val="center"/>
              <w:rPr>
                <w:b/>
                <w:sz w:val="18"/>
                <w:szCs w:val="18"/>
              </w:rPr>
            </w:pPr>
          </w:p>
        </w:tc>
        <w:tc>
          <w:tcPr>
            <w:tcW w:w="901" w:type="dxa"/>
            <w:vMerge w:val="restart"/>
          </w:tcPr>
          <w:p w14:paraId="4490861F">
            <w:pPr>
              <w:jc w:val="center"/>
              <w:rPr>
                <w:sz w:val="18"/>
                <w:szCs w:val="18"/>
              </w:rPr>
            </w:pPr>
            <w:r>
              <w:rPr>
                <w:rFonts w:hint="eastAsia"/>
                <w:sz w:val="18"/>
                <w:szCs w:val="18"/>
              </w:rPr>
              <w:t>资料引用与调查实证（</w:t>
            </w:r>
            <w:r>
              <w:rPr>
                <w:rFonts w:hint="eastAsia"/>
                <w:b/>
                <w:sz w:val="18"/>
                <w:szCs w:val="18"/>
              </w:rPr>
              <w:t>10</w:t>
            </w:r>
            <w:r>
              <w:rPr>
                <w:rFonts w:hint="eastAsia"/>
                <w:sz w:val="18"/>
                <w:szCs w:val="18"/>
              </w:rPr>
              <w:t>分）</w:t>
            </w:r>
          </w:p>
        </w:tc>
        <w:tc>
          <w:tcPr>
            <w:tcW w:w="5767" w:type="dxa"/>
          </w:tcPr>
          <w:p w14:paraId="77763198">
            <w:pPr>
              <w:rPr>
                <w:sz w:val="18"/>
                <w:szCs w:val="18"/>
              </w:rPr>
            </w:pPr>
            <w:r>
              <w:rPr>
                <w:rFonts w:hint="eastAsia"/>
                <w:sz w:val="18"/>
                <w:szCs w:val="18"/>
              </w:rPr>
              <w:t>参考文献具有相关性、准确性和一定的专业性、权威性，或有较充分的实证调查研究</w:t>
            </w:r>
          </w:p>
        </w:tc>
        <w:tc>
          <w:tcPr>
            <w:tcW w:w="1442" w:type="dxa"/>
          </w:tcPr>
          <w:p w14:paraId="0C59885C">
            <w:pPr>
              <w:jc w:val="center"/>
              <w:rPr>
                <w:b/>
                <w:sz w:val="18"/>
                <w:szCs w:val="18"/>
              </w:rPr>
            </w:pPr>
            <w:r>
              <w:rPr>
                <w:rFonts w:hint="eastAsia"/>
                <w:b/>
                <w:sz w:val="18"/>
                <w:szCs w:val="18"/>
              </w:rPr>
              <w:t>7-10</w:t>
            </w:r>
          </w:p>
          <w:p w14:paraId="61D0F9E0">
            <w:pPr>
              <w:jc w:val="center"/>
              <w:rPr>
                <w:b/>
                <w:sz w:val="18"/>
                <w:szCs w:val="18"/>
              </w:rPr>
            </w:pPr>
          </w:p>
        </w:tc>
      </w:tr>
      <w:tr w14:paraId="27217AC9">
        <w:trPr>
          <w:trHeight w:val="538" w:hRule="atLeast"/>
        </w:trPr>
        <w:tc>
          <w:tcPr>
            <w:tcW w:w="649" w:type="dxa"/>
            <w:vMerge w:val="continue"/>
          </w:tcPr>
          <w:p w14:paraId="3E73E4D9">
            <w:pPr>
              <w:jc w:val="center"/>
              <w:rPr>
                <w:b/>
                <w:sz w:val="18"/>
                <w:szCs w:val="18"/>
              </w:rPr>
            </w:pPr>
          </w:p>
        </w:tc>
        <w:tc>
          <w:tcPr>
            <w:tcW w:w="901" w:type="dxa"/>
            <w:vMerge w:val="continue"/>
          </w:tcPr>
          <w:p w14:paraId="7F1F1CDD">
            <w:pPr>
              <w:jc w:val="center"/>
              <w:rPr>
                <w:sz w:val="18"/>
                <w:szCs w:val="18"/>
              </w:rPr>
            </w:pPr>
          </w:p>
        </w:tc>
        <w:tc>
          <w:tcPr>
            <w:tcW w:w="5767" w:type="dxa"/>
          </w:tcPr>
          <w:p w14:paraId="67A347CA">
            <w:pPr>
              <w:rPr>
                <w:sz w:val="18"/>
                <w:szCs w:val="18"/>
              </w:rPr>
            </w:pPr>
            <w:r>
              <w:rPr>
                <w:rFonts w:hint="eastAsia"/>
                <w:sz w:val="18"/>
                <w:szCs w:val="18"/>
              </w:rPr>
              <w:t>参考文献相关性、准确性、专业性较不足</w:t>
            </w:r>
          </w:p>
        </w:tc>
        <w:tc>
          <w:tcPr>
            <w:tcW w:w="1442" w:type="dxa"/>
          </w:tcPr>
          <w:p w14:paraId="7E05F3CF">
            <w:pPr>
              <w:jc w:val="center"/>
              <w:rPr>
                <w:b/>
                <w:sz w:val="18"/>
                <w:szCs w:val="18"/>
              </w:rPr>
            </w:pPr>
            <w:r>
              <w:rPr>
                <w:rFonts w:hint="eastAsia"/>
                <w:b/>
                <w:sz w:val="18"/>
                <w:szCs w:val="18"/>
              </w:rPr>
              <w:t>1-6</w:t>
            </w:r>
          </w:p>
          <w:p w14:paraId="45674DD3">
            <w:pPr>
              <w:jc w:val="center"/>
              <w:rPr>
                <w:b/>
                <w:sz w:val="18"/>
                <w:szCs w:val="18"/>
              </w:rPr>
            </w:pPr>
          </w:p>
        </w:tc>
      </w:tr>
      <w:tr w14:paraId="222F9761">
        <w:trPr>
          <w:trHeight w:val="293" w:hRule="atLeast"/>
        </w:trPr>
        <w:tc>
          <w:tcPr>
            <w:tcW w:w="649" w:type="dxa"/>
            <w:vMerge w:val="restart"/>
          </w:tcPr>
          <w:p w14:paraId="4A703069">
            <w:pPr>
              <w:jc w:val="center"/>
              <w:rPr>
                <w:b/>
                <w:sz w:val="18"/>
                <w:szCs w:val="18"/>
              </w:rPr>
            </w:pPr>
          </w:p>
          <w:p w14:paraId="152A3ED3">
            <w:pPr>
              <w:jc w:val="center"/>
              <w:rPr>
                <w:b/>
                <w:sz w:val="18"/>
                <w:szCs w:val="18"/>
              </w:rPr>
            </w:pPr>
            <w:r>
              <w:rPr>
                <w:rFonts w:hint="eastAsia"/>
                <w:b/>
                <w:sz w:val="18"/>
                <w:szCs w:val="18"/>
              </w:rPr>
              <w:t>6</w:t>
            </w:r>
          </w:p>
          <w:p w14:paraId="4CFDF93F">
            <w:pPr>
              <w:jc w:val="center"/>
              <w:rPr>
                <w:b/>
                <w:sz w:val="18"/>
                <w:szCs w:val="18"/>
              </w:rPr>
            </w:pPr>
          </w:p>
        </w:tc>
        <w:tc>
          <w:tcPr>
            <w:tcW w:w="901" w:type="dxa"/>
            <w:vMerge w:val="restart"/>
          </w:tcPr>
          <w:p w14:paraId="464FBC34">
            <w:pPr>
              <w:jc w:val="center"/>
              <w:rPr>
                <w:sz w:val="18"/>
                <w:szCs w:val="18"/>
              </w:rPr>
            </w:pPr>
            <w:r>
              <w:rPr>
                <w:rFonts w:hint="eastAsia"/>
                <w:sz w:val="18"/>
                <w:szCs w:val="18"/>
              </w:rPr>
              <w:t>布局结构与文字表达</w:t>
            </w:r>
          </w:p>
          <w:p w14:paraId="7BF3FA51">
            <w:pPr>
              <w:jc w:val="center"/>
              <w:rPr>
                <w:sz w:val="18"/>
                <w:szCs w:val="18"/>
              </w:rPr>
            </w:pPr>
            <w:r>
              <w:rPr>
                <w:rFonts w:hint="eastAsia"/>
                <w:sz w:val="18"/>
                <w:szCs w:val="18"/>
              </w:rPr>
              <w:t>（</w:t>
            </w:r>
            <w:r>
              <w:rPr>
                <w:rFonts w:hint="eastAsia"/>
                <w:b/>
                <w:sz w:val="18"/>
                <w:szCs w:val="18"/>
              </w:rPr>
              <w:t>15</w:t>
            </w:r>
            <w:r>
              <w:rPr>
                <w:rFonts w:hint="eastAsia"/>
                <w:sz w:val="18"/>
                <w:szCs w:val="18"/>
              </w:rPr>
              <w:t>分）</w:t>
            </w:r>
          </w:p>
        </w:tc>
        <w:tc>
          <w:tcPr>
            <w:tcW w:w="5767" w:type="dxa"/>
          </w:tcPr>
          <w:p w14:paraId="59D6F70D">
            <w:pPr>
              <w:rPr>
                <w:sz w:val="18"/>
                <w:szCs w:val="18"/>
              </w:rPr>
            </w:pPr>
            <w:r>
              <w:rPr>
                <w:rFonts w:hint="eastAsia"/>
                <w:sz w:val="18"/>
                <w:szCs w:val="18"/>
              </w:rPr>
              <w:t>结构严谨，层次分明，论述清晰，语言流畅，表达准确</w:t>
            </w:r>
          </w:p>
        </w:tc>
        <w:tc>
          <w:tcPr>
            <w:tcW w:w="1442" w:type="dxa"/>
          </w:tcPr>
          <w:p w14:paraId="26D090DB">
            <w:pPr>
              <w:jc w:val="center"/>
              <w:rPr>
                <w:b/>
                <w:sz w:val="18"/>
                <w:szCs w:val="18"/>
              </w:rPr>
            </w:pPr>
            <w:r>
              <w:rPr>
                <w:rFonts w:hint="eastAsia"/>
                <w:b/>
                <w:sz w:val="18"/>
                <w:szCs w:val="18"/>
              </w:rPr>
              <w:t>12-15</w:t>
            </w:r>
          </w:p>
          <w:p w14:paraId="2A51E0F3">
            <w:pPr>
              <w:jc w:val="center"/>
              <w:rPr>
                <w:b/>
                <w:sz w:val="18"/>
                <w:szCs w:val="18"/>
              </w:rPr>
            </w:pPr>
          </w:p>
        </w:tc>
      </w:tr>
      <w:tr w14:paraId="27A0D4EB">
        <w:trPr>
          <w:trHeight w:val="302" w:hRule="atLeast"/>
        </w:trPr>
        <w:tc>
          <w:tcPr>
            <w:tcW w:w="649" w:type="dxa"/>
            <w:vMerge w:val="continue"/>
          </w:tcPr>
          <w:p w14:paraId="16CF3A8F">
            <w:pPr>
              <w:jc w:val="center"/>
              <w:rPr>
                <w:sz w:val="18"/>
                <w:szCs w:val="18"/>
              </w:rPr>
            </w:pPr>
          </w:p>
        </w:tc>
        <w:tc>
          <w:tcPr>
            <w:tcW w:w="901" w:type="dxa"/>
            <w:vMerge w:val="continue"/>
          </w:tcPr>
          <w:p w14:paraId="27063D05">
            <w:pPr>
              <w:jc w:val="center"/>
              <w:rPr>
                <w:sz w:val="18"/>
                <w:szCs w:val="18"/>
              </w:rPr>
            </w:pPr>
          </w:p>
        </w:tc>
        <w:tc>
          <w:tcPr>
            <w:tcW w:w="5767" w:type="dxa"/>
          </w:tcPr>
          <w:p w14:paraId="355F9DB7">
            <w:pPr>
              <w:rPr>
                <w:sz w:val="18"/>
                <w:szCs w:val="18"/>
              </w:rPr>
            </w:pPr>
            <w:r>
              <w:rPr>
                <w:rFonts w:hint="eastAsia"/>
                <w:sz w:val="18"/>
                <w:szCs w:val="18"/>
              </w:rPr>
              <w:t>结构合理，符合逻辑，语言通顺，语言表达符合基本文法</w:t>
            </w:r>
          </w:p>
        </w:tc>
        <w:tc>
          <w:tcPr>
            <w:tcW w:w="1442" w:type="dxa"/>
          </w:tcPr>
          <w:p w14:paraId="30325876">
            <w:pPr>
              <w:jc w:val="center"/>
              <w:rPr>
                <w:b/>
                <w:sz w:val="18"/>
                <w:szCs w:val="18"/>
              </w:rPr>
            </w:pPr>
            <w:r>
              <w:rPr>
                <w:rFonts w:hint="eastAsia"/>
                <w:b/>
                <w:sz w:val="18"/>
                <w:szCs w:val="18"/>
              </w:rPr>
              <w:t>6-11</w:t>
            </w:r>
          </w:p>
          <w:p w14:paraId="16787EB0">
            <w:pPr>
              <w:jc w:val="center"/>
              <w:rPr>
                <w:b/>
                <w:sz w:val="18"/>
                <w:szCs w:val="18"/>
              </w:rPr>
            </w:pPr>
          </w:p>
        </w:tc>
      </w:tr>
      <w:tr w14:paraId="650365C0">
        <w:trPr>
          <w:trHeight w:val="504" w:hRule="atLeast"/>
        </w:trPr>
        <w:tc>
          <w:tcPr>
            <w:tcW w:w="649" w:type="dxa"/>
            <w:vMerge w:val="continue"/>
          </w:tcPr>
          <w:p w14:paraId="601510F0">
            <w:pPr>
              <w:jc w:val="center"/>
              <w:rPr>
                <w:sz w:val="18"/>
                <w:szCs w:val="18"/>
              </w:rPr>
            </w:pPr>
          </w:p>
        </w:tc>
        <w:tc>
          <w:tcPr>
            <w:tcW w:w="901" w:type="dxa"/>
            <w:vMerge w:val="continue"/>
          </w:tcPr>
          <w:p w14:paraId="2337B1AA">
            <w:pPr>
              <w:jc w:val="center"/>
              <w:rPr>
                <w:sz w:val="18"/>
                <w:szCs w:val="18"/>
              </w:rPr>
            </w:pPr>
          </w:p>
        </w:tc>
        <w:tc>
          <w:tcPr>
            <w:tcW w:w="5767" w:type="dxa"/>
          </w:tcPr>
          <w:p w14:paraId="2AA77E82">
            <w:pPr>
              <w:rPr>
                <w:sz w:val="18"/>
                <w:szCs w:val="18"/>
              </w:rPr>
            </w:pPr>
            <w:r>
              <w:rPr>
                <w:rFonts w:hint="eastAsia"/>
                <w:sz w:val="18"/>
                <w:szCs w:val="18"/>
              </w:rPr>
              <w:t>结构不甚合理，文字语言表达较不清</w:t>
            </w:r>
          </w:p>
        </w:tc>
        <w:tc>
          <w:tcPr>
            <w:tcW w:w="1442" w:type="dxa"/>
          </w:tcPr>
          <w:p w14:paraId="76ACFA18">
            <w:pPr>
              <w:jc w:val="center"/>
              <w:rPr>
                <w:b/>
                <w:sz w:val="18"/>
                <w:szCs w:val="18"/>
              </w:rPr>
            </w:pPr>
            <w:r>
              <w:rPr>
                <w:rFonts w:hint="eastAsia"/>
                <w:b/>
                <w:sz w:val="18"/>
                <w:szCs w:val="18"/>
              </w:rPr>
              <w:t>1-5</w:t>
            </w:r>
          </w:p>
        </w:tc>
      </w:tr>
      <w:tr w14:paraId="2445E801">
        <w:trPr>
          <w:trHeight w:val="494" w:hRule="atLeast"/>
        </w:trPr>
        <w:tc>
          <w:tcPr>
            <w:tcW w:w="1550" w:type="dxa"/>
            <w:gridSpan w:val="2"/>
            <w:vAlign w:val="center"/>
          </w:tcPr>
          <w:p w14:paraId="4E635A7B">
            <w:pPr>
              <w:jc w:val="center"/>
              <w:rPr>
                <w:sz w:val="18"/>
                <w:szCs w:val="18"/>
              </w:rPr>
            </w:pPr>
            <w:r>
              <w:rPr>
                <w:rFonts w:hint="eastAsia"/>
                <w:sz w:val="18"/>
                <w:szCs w:val="18"/>
              </w:rPr>
              <w:t>总分</w:t>
            </w:r>
          </w:p>
        </w:tc>
        <w:tc>
          <w:tcPr>
            <w:tcW w:w="7209" w:type="dxa"/>
            <w:gridSpan w:val="2"/>
            <w:vAlign w:val="center"/>
          </w:tcPr>
          <w:p w14:paraId="5492F175">
            <w:pPr>
              <w:jc w:val="center"/>
              <w:rPr>
                <w:rFonts w:hint="default" w:eastAsia="宋体"/>
                <w:sz w:val="18"/>
                <w:szCs w:val="18"/>
                <w:lang w:val="en-US" w:eastAsia="zh-CN"/>
              </w:rPr>
            </w:pPr>
            <w:r>
              <w:rPr>
                <w:rFonts w:hint="eastAsia"/>
                <w:sz w:val="18"/>
                <w:szCs w:val="18"/>
                <w:lang w:val="en-US" w:eastAsia="zh-CN"/>
              </w:rPr>
              <w:t>85</w:t>
            </w:r>
          </w:p>
        </w:tc>
      </w:tr>
      <w:tr w14:paraId="50D8F472">
        <w:trPr>
          <w:trHeight w:val="512" w:hRule="atLeast"/>
        </w:trPr>
        <w:tc>
          <w:tcPr>
            <w:tcW w:w="1550" w:type="dxa"/>
            <w:gridSpan w:val="2"/>
            <w:vAlign w:val="center"/>
          </w:tcPr>
          <w:p w14:paraId="28E22151">
            <w:pPr>
              <w:jc w:val="center"/>
              <w:rPr>
                <w:sz w:val="18"/>
                <w:szCs w:val="18"/>
              </w:rPr>
            </w:pPr>
            <w:r>
              <w:rPr>
                <w:rFonts w:hint="eastAsia"/>
                <w:sz w:val="18"/>
                <w:szCs w:val="18"/>
              </w:rPr>
              <w:t>审定意见</w:t>
            </w:r>
          </w:p>
        </w:tc>
        <w:tc>
          <w:tcPr>
            <w:tcW w:w="7209" w:type="dxa"/>
            <w:gridSpan w:val="2"/>
            <w:vAlign w:val="center"/>
          </w:tcPr>
          <w:p w14:paraId="0624E7B0">
            <w:pPr>
              <w:jc w:val="center"/>
              <w:rPr>
                <w:rFonts w:hint="default" w:eastAsia="宋体"/>
                <w:sz w:val="18"/>
                <w:szCs w:val="18"/>
                <w:lang w:val="en-US" w:eastAsia="zh-CN"/>
              </w:rPr>
            </w:pPr>
            <w:r>
              <w:rPr>
                <w:rFonts w:hint="eastAsia"/>
                <w:sz w:val="18"/>
                <w:szCs w:val="18"/>
                <w:lang w:val="en-US" w:eastAsia="zh-CN"/>
              </w:rPr>
              <w:t>退修</w:t>
            </w:r>
          </w:p>
        </w:tc>
      </w:tr>
      <w:tr w14:paraId="6B3276AB">
        <w:trPr>
          <w:trHeight w:val="512" w:hRule="atLeast"/>
        </w:trPr>
        <w:tc>
          <w:tcPr>
            <w:tcW w:w="1550" w:type="dxa"/>
            <w:gridSpan w:val="2"/>
            <w:vAlign w:val="center"/>
          </w:tcPr>
          <w:p w14:paraId="2E26AB62">
            <w:pPr>
              <w:jc w:val="center"/>
              <w:rPr>
                <w:sz w:val="18"/>
                <w:szCs w:val="18"/>
              </w:rPr>
            </w:pPr>
          </w:p>
          <w:p w14:paraId="1C898CA5">
            <w:pPr>
              <w:jc w:val="center"/>
              <w:rPr>
                <w:sz w:val="18"/>
                <w:szCs w:val="18"/>
              </w:rPr>
            </w:pPr>
          </w:p>
          <w:p w14:paraId="63E558B3">
            <w:pPr>
              <w:jc w:val="center"/>
              <w:rPr>
                <w:sz w:val="18"/>
                <w:szCs w:val="18"/>
              </w:rPr>
            </w:pPr>
          </w:p>
          <w:p w14:paraId="7088C528">
            <w:pPr>
              <w:jc w:val="center"/>
              <w:rPr>
                <w:sz w:val="18"/>
                <w:szCs w:val="18"/>
              </w:rPr>
            </w:pPr>
          </w:p>
          <w:p w14:paraId="4A009295">
            <w:pPr>
              <w:jc w:val="center"/>
              <w:rPr>
                <w:sz w:val="18"/>
                <w:szCs w:val="18"/>
              </w:rPr>
            </w:pPr>
          </w:p>
          <w:p w14:paraId="13042C22">
            <w:pPr>
              <w:jc w:val="center"/>
              <w:rPr>
                <w:sz w:val="18"/>
                <w:szCs w:val="18"/>
              </w:rPr>
            </w:pPr>
          </w:p>
          <w:p w14:paraId="221DCB34">
            <w:pPr>
              <w:jc w:val="center"/>
              <w:rPr>
                <w:sz w:val="18"/>
                <w:szCs w:val="18"/>
              </w:rPr>
            </w:pPr>
          </w:p>
          <w:p w14:paraId="6C093BDE">
            <w:pPr>
              <w:jc w:val="center"/>
              <w:rPr>
                <w:sz w:val="18"/>
                <w:szCs w:val="18"/>
              </w:rPr>
            </w:pPr>
          </w:p>
          <w:p w14:paraId="394A9368">
            <w:pPr>
              <w:jc w:val="center"/>
              <w:rPr>
                <w:sz w:val="18"/>
                <w:szCs w:val="18"/>
              </w:rPr>
            </w:pPr>
            <w:r>
              <w:rPr>
                <w:rFonts w:hint="eastAsia"/>
                <w:sz w:val="18"/>
                <w:szCs w:val="18"/>
              </w:rPr>
              <w:t>论文评价（优点、存在问题、修改建议等）</w:t>
            </w:r>
          </w:p>
        </w:tc>
        <w:tc>
          <w:tcPr>
            <w:tcW w:w="7209" w:type="dxa"/>
            <w:gridSpan w:val="2"/>
            <w:vAlign w:val="center"/>
          </w:tcPr>
          <w:p w14:paraId="5BC1A3D0">
            <w:pPr>
              <w:pStyle w:val="2"/>
              <w:rPr>
                <w:rFonts w:hint="eastAsia"/>
                <w:lang w:val="en-US" w:eastAsia="zh-CN"/>
              </w:rPr>
            </w:pPr>
            <w:r>
              <w:rPr>
                <w:rFonts w:hint="eastAsia"/>
                <w:lang w:val="en-US" w:eastAsia="zh-CN"/>
              </w:rPr>
              <w:t>选题切入点好，在复杂的股债融合问题中观察到了一个真问题，实践材料与文献都比较丰富。篇幅也比较合理，语言表达规范流畅。</w:t>
            </w:r>
          </w:p>
          <w:p w14:paraId="63A5524F">
            <w:pPr>
              <w:pStyle w:val="2"/>
              <w:rPr>
                <w:rFonts w:hint="default"/>
                <w:lang w:val="en-US" w:eastAsia="zh-CN"/>
              </w:rPr>
            </w:pPr>
            <w:r>
              <w:rPr>
                <w:rFonts w:hint="eastAsia"/>
                <w:lang w:val="en-US" w:eastAsia="zh-CN"/>
              </w:rPr>
              <w:t>问题集中在最后一个章节，作者前两章花了很多篇幅论证目前区分对赌与明股实债思路的不合理，此为破论，但论述不合理以后需找到解决方案，也即立论。目前只用最后一章立论，该章的论述有些似是而非，没有明显的观点，有些“留待未来展望”的意思。考虑到目前正文篇幅只有一万一，是否可以扩展立论部分，让文章更为完整。</w:t>
            </w:r>
          </w:p>
          <w:p w14:paraId="6D0C0995">
            <w:pPr>
              <w:pStyle w:val="2"/>
              <w:rPr>
                <w:rFonts w:hint="default"/>
                <w:lang w:val="en-US" w:eastAsia="zh-CN"/>
              </w:rPr>
            </w:pPr>
          </w:p>
          <w:p w14:paraId="6E2A0296">
            <w:pPr>
              <w:pStyle w:val="2"/>
              <w:rPr>
                <w:rFonts w:hint="default" w:eastAsiaTheme="minorEastAsia"/>
                <w:lang w:val="en-US" w:eastAsia="zh-CN"/>
              </w:rPr>
            </w:pPr>
            <w:r>
              <w:rPr>
                <w:rFonts w:hint="eastAsia"/>
                <w:lang w:val="en-US" w:eastAsia="zh-CN"/>
              </w:rPr>
              <w:t>目前最后一章的论述有些似是而非。第一，作者的意思就是不要区分二者，统一适用对赌的规则。第二，作者又认为目前对赌的规则（如与减资程序等结合）不合理，有待完善。那么，真正的解决方案是什么？司法实践之所以需要创设出这两种二分的方法，本质就是路径依赖，因为对赌有规范可依、认定为债权也有合同的成文规范可依。否定了上述路径，那该如何解决实践中要求回购、要求补偿等请求，在这</w:t>
            </w:r>
            <w:bookmarkStart w:id="0" w:name="_GoBack"/>
            <w:bookmarkEnd w:id="0"/>
            <w:r>
              <w:rPr>
                <w:rFonts w:hint="eastAsia"/>
                <w:lang w:val="en-US" w:eastAsia="zh-CN"/>
              </w:rPr>
              <w:t>一章节中并没有看到明确的解决方案。</w:t>
            </w:r>
          </w:p>
          <w:p w14:paraId="6FD8B644">
            <w:pPr>
              <w:pStyle w:val="2"/>
              <w:ind w:left="0" w:leftChars="0" w:firstLine="0" w:firstLineChars="0"/>
              <w:rPr>
                <w:sz w:val="18"/>
                <w:szCs w:val="18"/>
              </w:rPr>
            </w:pPr>
          </w:p>
          <w:p w14:paraId="6DA58C5D">
            <w:pPr>
              <w:ind w:firstLine="420" w:firstLineChars="200"/>
              <w:rPr>
                <w:rFonts w:ascii="宋体" w:hAnsi="宋体"/>
              </w:rPr>
            </w:pPr>
            <w:r>
              <w:rPr>
                <w:rFonts w:hint="eastAsia" w:ascii="宋体" w:hAnsi="宋体"/>
                <w:lang w:val="en-US" w:eastAsia="zh-CN"/>
              </w:rPr>
              <w:t>此外，</w:t>
            </w:r>
            <w:r>
              <w:rPr>
                <w:rFonts w:ascii="宋体" w:hAnsi="宋体"/>
              </w:rPr>
              <w:t>第一，本文在批判现有区分路径不成立后直接主张“以对赌协议统摄”，存在两方面问题：其一，为何选择对赌协议而非其他上位合同类型？本文批评明股实债忽略组织法逻辑，却将实质为“债”的交易强行纳入接近“股”的对赌协议</w:t>
            </w:r>
            <w:r>
              <w:rPr>
                <w:rFonts w:hint="eastAsia" w:ascii="宋体" w:hAnsi="宋体"/>
              </w:rPr>
              <w:t>减资程序、债权人保护等</w:t>
            </w:r>
            <w:r>
              <w:rPr>
                <w:rFonts w:ascii="宋体" w:hAnsi="宋体"/>
              </w:rPr>
              <w:t>组织法规则，</w:t>
            </w:r>
            <w:r>
              <w:rPr>
                <w:rFonts w:hint="eastAsia" w:ascii="宋体" w:hAnsi="宋体"/>
              </w:rPr>
              <w:t>亦</w:t>
            </w:r>
            <w:r>
              <w:rPr>
                <w:rFonts w:ascii="宋体" w:hAnsi="宋体"/>
              </w:rPr>
              <w:t>可能导致一刀切。其二，对赌协议本身仅是经验总结的概念，仍需依具体权利义务定性为非典型合同。本文试图超越定性路径，但将各类交易统摄为对赌协议，本质上仍是重新定性，并未真正超越。</w:t>
            </w:r>
          </w:p>
          <w:p w14:paraId="558E0730">
            <w:pPr>
              <w:ind w:firstLine="420" w:firstLineChars="200"/>
              <w:rPr>
                <w:rFonts w:hint="eastAsia" w:ascii="宋体" w:hAnsi="宋体"/>
              </w:rPr>
            </w:pPr>
            <w:r>
              <w:rPr>
                <w:rFonts w:ascii="宋体" w:hAnsi="宋体"/>
              </w:rPr>
              <w:t>第二，本文因穿透式审判忽略组织法而否定它，但基于资本维持原则的组织法理由</w:t>
            </w:r>
            <w:r>
              <w:rPr>
                <w:rFonts w:hint="eastAsia" w:ascii="宋体" w:hAnsi="宋体"/>
              </w:rPr>
              <w:t>亦可能</w:t>
            </w:r>
            <w:r>
              <w:rPr>
                <w:rFonts w:ascii="宋体" w:hAnsi="宋体"/>
              </w:rPr>
              <w:t>穿透合同否定其效力。问题核心在于何时、以何种方式错误适用组织法逻辑，将债权人保护变成无需证明实际损害的僵化教条。</w:t>
            </w:r>
            <w:r>
              <w:rPr>
                <w:rFonts w:hint="eastAsia" w:ascii="宋体" w:hAnsi="宋体"/>
              </w:rPr>
              <w:t>本文</w:t>
            </w:r>
            <w:r>
              <w:rPr>
                <w:rFonts w:ascii="宋体" w:hAnsi="宋体"/>
              </w:rPr>
              <w:t>将其归结为以有名合同规则强行解释当事人意思。</w:t>
            </w:r>
            <w:r>
              <w:rPr>
                <w:rFonts w:hint="eastAsia" w:ascii="宋体" w:hAnsi="宋体"/>
              </w:rPr>
              <w:t>但</w:t>
            </w:r>
            <w:r>
              <w:rPr>
                <w:rFonts w:ascii="宋体" w:hAnsi="宋体"/>
              </w:rPr>
              <w:t>实际上，许多交易中当事人的真实意图</w:t>
            </w:r>
            <w:r>
              <w:rPr>
                <w:rFonts w:hint="eastAsia" w:ascii="宋体" w:hAnsi="宋体"/>
              </w:rPr>
              <w:t>即</w:t>
            </w:r>
            <w:r>
              <w:rPr>
                <w:rFonts w:ascii="宋体" w:hAnsi="宋体"/>
              </w:rPr>
              <w:t>固定收益、到期还本，股权变更仅为风控安排，此时强行归入对赌协议同样是用另一种有名合同压制意思自治。法院“名为……实为……”的实质审查注重经济理性，问题在于穿透后适用何种规则，而非穿透方法。简单否定穿透可能退回形式主义。</w:t>
            </w:r>
          </w:p>
          <w:p w14:paraId="2F22098C">
            <w:pPr>
              <w:ind w:firstLine="420" w:firstLineChars="200"/>
              <w:rPr>
                <w:rFonts w:hint="eastAsia" w:ascii="宋体" w:hAnsi="宋体"/>
              </w:rPr>
            </w:pPr>
            <w:r>
              <w:rPr>
                <w:rFonts w:hint="eastAsia" w:ascii="宋体" w:hAnsi="宋体"/>
              </w:rPr>
              <w:t>第三</w:t>
            </w:r>
            <w:r>
              <w:rPr>
                <w:rFonts w:ascii="宋体" w:hAnsi="宋体"/>
              </w:rPr>
              <w:t>，本文批评将利益衡量前置到定性阶段，以合同目的等概念逃避论证义务。</w:t>
            </w:r>
            <w:r>
              <w:rPr>
                <w:rFonts w:hint="eastAsia" w:ascii="宋体" w:hAnsi="宋体"/>
              </w:rPr>
              <w:t>但是，明股实债可能是为了追求个案实质正义，因此，对此进行批评应指向其后的价值判断，而非技术本身。包括本文提出的看重“含期权的股权投资”的结构相似性而认定对赌协议和“保本退出”的经济结果相似性认定为借款合同，二者实则也为价值判断之争。</w:t>
            </w:r>
          </w:p>
          <w:p w14:paraId="733D1B31">
            <w:pPr>
              <w:ind w:firstLine="420" w:firstLineChars="200"/>
              <w:rPr>
                <w:rFonts w:hint="eastAsia" w:ascii="宋体" w:hAnsi="宋体"/>
              </w:rPr>
            </w:pPr>
            <w:r>
              <w:rPr>
                <w:rFonts w:hint="eastAsia" w:ascii="宋体" w:hAnsi="宋体"/>
              </w:rPr>
              <w:t>第四</w:t>
            </w:r>
            <w:r>
              <w:rPr>
                <w:rFonts w:ascii="宋体" w:hAnsi="宋体"/>
              </w:rPr>
              <w:t>，</w:t>
            </w:r>
            <w:r>
              <w:rPr>
                <w:rFonts w:hint="eastAsia" w:ascii="宋体" w:hAnsi="宋体"/>
              </w:rPr>
              <w:t>本文</w:t>
            </w:r>
            <w:r>
              <w:rPr>
                <w:rFonts w:ascii="宋体" w:hAnsi="宋体"/>
              </w:rPr>
              <w:t>承认对赌协议履行规则过于</w:t>
            </w:r>
            <w:r>
              <w:rPr>
                <w:rFonts w:hint="eastAsia" w:ascii="宋体" w:hAnsi="宋体"/>
              </w:rPr>
              <w:t>侧重</w:t>
            </w:r>
            <w:r>
              <w:rPr>
                <w:rFonts w:ascii="宋体" w:hAnsi="宋体"/>
              </w:rPr>
              <w:t>债权人保护，期待借违约金等替代救济实现个案公正。但这恰恰说明：一旦定性为对赌协议，就必须面对减资程序的刚性约束，违约金判决实则是在规避这一刚性，已超越定性路径。</w:t>
            </w:r>
          </w:p>
          <w:p w14:paraId="204DDEFC">
            <w:pPr>
              <w:tabs>
                <w:tab w:val="left" w:pos="720"/>
              </w:tabs>
              <w:autoSpaceDE w:val="0"/>
              <w:autoSpaceDN w:val="0"/>
              <w:adjustRightInd w:val="0"/>
              <w:snapToGrid w:val="0"/>
              <w:spacing w:line="360" w:lineRule="auto"/>
              <w:jc w:val="left"/>
              <w:rPr>
                <w:rFonts w:hint="eastAsia" w:ascii="宋体" w:hAnsi="宋体" w:cs="宋体"/>
                <w:kern w:val="0"/>
                <w:sz w:val="24"/>
              </w:rPr>
            </w:pPr>
            <w:r>
              <w:rPr>
                <w:rFonts w:ascii="宋体" w:hAnsi="宋体" w:cs="宋体"/>
                <w:kern w:val="0"/>
                <w:sz w:val="24"/>
              </w:rPr>
              <w:t xml:space="preserve"> </w:t>
            </w:r>
          </w:p>
          <w:p w14:paraId="3C8F68CE">
            <w:pPr>
              <w:pStyle w:val="2"/>
              <w:ind w:left="0" w:leftChars="0" w:firstLine="0" w:firstLineChars="0"/>
              <w:rPr>
                <w:sz w:val="18"/>
                <w:szCs w:val="18"/>
              </w:rPr>
            </w:pPr>
          </w:p>
          <w:p w14:paraId="074B34BA">
            <w:pPr>
              <w:jc w:val="center"/>
              <w:rPr>
                <w:sz w:val="18"/>
                <w:szCs w:val="18"/>
              </w:rPr>
            </w:pPr>
          </w:p>
        </w:tc>
      </w:tr>
      <w:tr w14:paraId="692EF192">
        <w:trPr>
          <w:trHeight w:val="512" w:hRule="atLeast"/>
        </w:trPr>
        <w:tc>
          <w:tcPr>
            <w:tcW w:w="1550" w:type="dxa"/>
            <w:gridSpan w:val="2"/>
            <w:vAlign w:val="center"/>
          </w:tcPr>
          <w:p w14:paraId="09FF79AE">
            <w:pPr>
              <w:jc w:val="center"/>
              <w:rPr>
                <w:sz w:val="18"/>
                <w:szCs w:val="18"/>
              </w:rPr>
            </w:pPr>
            <w:r>
              <w:rPr>
                <w:rFonts w:hint="eastAsia"/>
                <w:sz w:val="18"/>
                <w:szCs w:val="18"/>
              </w:rPr>
              <w:t>加挂导师建议</w:t>
            </w:r>
          </w:p>
          <w:p w14:paraId="28EBCFEB">
            <w:pPr>
              <w:jc w:val="center"/>
              <w:rPr>
                <w:sz w:val="18"/>
                <w:szCs w:val="18"/>
              </w:rPr>
            </w:pPr>
            <w:r>
              <w:rPr>
                <w:rFonts w:hint="eastAsia"/>
                <w:sz w:val="18"/>
                <w:szCs w:val="18"/>
              </w:rPr>
              <w:t>（复审专用，仅适用于正常来稿情况，非必填）</w:t>
            </w:r>
          </w:p>
        </w:tc>
        <w:tc>
          <w:tcPr>
            <w:tcW w:w="7209" w:type="dxa"/>
            <w:gridSpan w:val="2"/>
            <w:vAlign w:val="center"/>
          </w:tcPr>
          <w:p w14:paraId="79943DB0">
            <w:pPr>
              <w:rPr>
                <w:sz w:val="18"/>
                <w:szCs w:val="18"/>
              </w:rPr>
            </w:pPr>
            <w:r>
              <w:rPr>
                <w:rFonts w:hint="eastAsia"/>
                <w:sz w:val="18"/>
                <w:szCs w:val="18"/>
              </w:rPr>
              <w:t>1.优秀硕博士论文，不建议加挂导师。</w:t>
            </w:r>
          </w:p>
          <w:p w14:paraId="470F888A">
            <w:pPr>
              <w:rPr>
                <w:sz w:val="18"/>
                <w:szCs w:val="18"/>
              </w:rPr>
            </w:pPr>
            <w:r>
              <w:rPr>
                <w:rFonts w:hint="eastAsia"/>
                <w:sz w:val="18"/>
                <w:szCs w:val="18"/>
              </w:rPr>
              <w:t>2</w:t>
            </w:r>
            <w:r>
              <w:rPr>
                <w:sz w:val="18"/>
                <w:szCs w:val="18"/>
              </w:rPr>
              <w:t>.</w:t>
            </w:r>
            <w:r>
              <w:rPr>
                <w:rFonts w:hint="eastAsia"/>
                <w:sz w:val="18"/>
                <w:szCs w:val="18"/>
              </w:rPr>
              <w:t>论文质量较高，但未达到特别优秀程度。建议加挂导师。</w:t>
            </w:r>
          </w:p>
          <w:p w14:paraId="39F5FCDC">
            <w:pPr>
              <w:rPr>
                <w:sz w:val="18"/>
                <w:szCs w:val="18"/>
              </w:rPr>
            </w:pPr>
          </w:p>
          <w:p w14:paraId="2CF25EE3">
            <w:pPr>
              <w:jc w:val="right"/>
              <w:rPr>
                <w:sz w:val="18"/>
                <w:szCs w:val="18"/>
              </w:rPr>
            </w:pPr>
            <w:r>
              <w:rPr>
                <w:rFonts w:hint="eastAsia"/>
                <w:sz w:val="18"/>
                <w:szCs w:val="18"/>
              </w:rPr>
              <w:t>（如有，请在选项后打√）</w:t>
            </w:r>
          </w:p>
        </w:tc>
      </w:tr>
    </w:tbl>
    <w:p w14:paraId="48F656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9F8"/>
    <w:rsid w:val="00020F4D"/>
    <w:rsid w:val="00095A86"/>
    <w:rsid w:val="001B400D"/>
    <w:rsid w:val="002324FB"/>
    <w:rsid w:val="0038789F"/>
    <w:rsid w:val="004057BF"/>
    <w:rsid w:val="00423CC5"/>
    <w:rsid w:val="00571E05"/>
    <w:rsid w:val="005A1BAF"/>
    <w:rsid w:val="00604F98"/>
    <w:rsid w:val="007849DD"/>
    <w:rsid w:val="008A0F24"/>
    <w:rsid w:val="00945564"/>
    <w:rsid w:val="009C0098"/>
    <w:rsid w:val="00AE2A0E"/>
    <w:rsid w:val="00C17DEA"/>
    <w:rsid w:val="00C749F8"/>
    <w:rsid w:val="00CF60D9"/>
    <w:rsid w:val="00D36A3E"/>
    <w:rsid w:val="00DA24C4"/>
    <w:rsid w:val="00DD389A"/>
    <w:rsid w:val="00DD4CD6"/>
    <w:rsid w:val="00DE4985"/>
    <w:rsid w:val="00EC6232"/>
    <w:rsid w:val="00F00FCA"/>
    <w:rsid w:val="00FD491D"/>
    <w:rsid w:val="09C000DC"/>
    <w:rsid w:val="125F13DA"/>
    <w:rsid w:val="201705D6"/>
    <w:rsid w:val="2435301D"/>
    <w:rsid w:val="2A347B5A"/>
    <w:rsid w:val="53FD6B47"/>
    <w:rsid w:val="5B595267"/>
    <w:rsid w:val="5BDB3ECE"/>
    <w:rsid w:val="6AAE27AE"/>
    <w:rsid w:val="7E3A6AB8"/>
    <w:rsid w:val="FFBA8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autoRedefine/>
    <w:qFormat/>
    <w:uiPriority w:val="0"/>
    <w:pPr>
      <w:jc w:val="left"/>
    </w:pPr>
    <w:rPr>
      <w:rFonts w:asciiTheme="minorHAnsi" w:hAnsiTheme="minorHAnsi" w:eastAsiaTheme="minorEastAsia" w:cstheme="minorBidi"/>
    </w:rPr>
  </w:style>
  <w:style w:type="paragraph" w:styleId="3">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10"/>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footnote text"/>
    <w:basedOn w:val="1"/>
    <w:link w:val="14"/>
    <w:autoRedefine/>
    <w:qFormat/>
    <w:uiPriority w:val="0"/>
    <w:pPr>
      <w:snapToGrid w:val="0"/>
      <w:jc w:val="left"/>
    </w:pPr>
    <w:rPr>
      <w:rFonts w:asciiTheme="minorHAnsi" w:hAnsiTheme="minorHAnsi" w:eastAsiaTheme="minorEastAsia" w:cstheme="minorBidi"/>
      <w:sz w:val="18"/>
    </w:rPr>
  </w:style>
  <w:style w:type="character" w:styleId="8">
    <w:name w:val="annotation reference"/>
    <w:basedOn w:val="7"/>
    <w:qFormat/>
    <w:uiPriority w:val="99"/>
    <w:rPr>
      <w:sz w:val="21"/>
      <w:szCs w:val="21"/>
    </w:rPr>
  </w:style>
  <w:style w:type="character" w:styleId="9">
    <w:name w:val="footnote reference"/>
    <w:basedOn w:val="7"/>
    <w:autoRedefine/>
    <w:qFormat/>
    <w:uiPriority w:val="0"/>
    <w:rPr>
      <w:vertAlign w:val="superscript"/>
    </w:rPr>
  </w:style>
  <w:style w:type="character" w:customStyle="1" w:styleId="10">
    <w:name w:val="页眉 字符"/>
    <w:basedOn w:val="7"/>
    <w:link w:val="4"/>
    <w:uiPriority w:val="99"/>
    <w:rPr>
      <w:sz w:val="18"/>
      <w:szCs w:val="18"/>
    </w:rPr>
  </w:style>
  <w:style w:type="character" w:customStyle="1" w:styleId="11">
    <w:name w:val="页脚 字符"/>
    <w:basedOn w:val="7"/>
    <w:link w:val="3"/>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文字 字符"/>
    <w:basedOn w:val="7"/>
    <w:link w:val="2"/>
    <w:qFormat/>
    <w:uiPriority w:val="0"/>
    <w:rPr>
      <w:kern w:val="2"/>
      <w:sz w:val="21"/>
      <w:szCs w:val="24"/>
    </w:rPr>
  </w:style>
  <w:style w:type="character" w:customStyle="1" w:styleId="14">
    <w:name w:val="脚注文本 字符"/>
    <w:basedOn w:val="7"/>
    <w:link w:val="5"/>
    <w:qFormat/>
    <w:uiPriority w:val="0"/>
    <w:rPr>
      <w:kern w:val="2"/>
      <w:sz w:val="1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2470</Words>
  <Characters>2538</Characters>
  <Lines>6</Lines>
  <Paragraphs>1</Paragraphs>
  <TotalTime>0</TotalTime>
  <ScaleCrop>false</ScaleCrop>
  <LinksUpToDate>false</LinksUpToDate>
  <CharactersWithSpaces>2541</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2024-01-10T16:17:00Z</dcterms:created>
  <dc:creator>admin</dc:creator>
  <cp:lastModifiedBy>张芮铭</cp:lastModifiedBy>
  <dcterms:modified xsi:type="dcterms:W3CDTF">2026-05-13T10:11:28Z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E0F7B6C8D4DD8B79F961F166366CE078_42</vt:lpwstr>
  </property>
  <property fmtid="{D5CDD505-2E9C-101B-9397-08002B2CF9AE}" pid="4" name="KSOTemplateDocerSaveRecord">
    <vt:lpwstr>eyJoZGlkIjoiMzEwNTM5NzYwMDRjMzkwZTVkZjY2ODkwMGIxNGU0OTUiLCJ1c2VySWQiOiIzMDkzMDUwOTUifQ==</vt:lpwstr>
  </property>
</Properties>
</file>