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3EA66">
      <w:pPr>
        <w:rPr>
          <w:rFonts w:hint="eastAsia" w:ascii="楷体" w:hAnsi="楷体" w:eastAsia="楷体" w:cs="Times New Roman"/>
          <w:color w:val="000000"/>
          <w:sz w:val="44"/>
          <w:szCs w:val="44"/>
        </w:rPr>
      </w:pPr>
      <w:commentRangeStart w:id="0"/>
    </w:p>
    <w:p w14:paraId="28241E27">
      <w:pPr>
        <w:jc w:val="center"/>
        <w:rPr>
          <w:rFonts w:hint="eastAsia" w:ascii="黑体" w:hAnsi="黑体" w:eastAsia="黑体" w:cs="Times New Roman"/>
          <w:bCs/>
          <w:sz w:val="32"/>
          <w:szCs w:val="32"/>
        </w:rPr>
      </w:pPr>
      <w:bookmarkStart w:id="0" w:name="_Toc3248"/>
      <w:bookmarkStart w:id="1" w:name="_Toc3143"/>
      <w:bookmarkStart w:id="2" w:name="_Toc16162"/>
      <w:r>
        <w:rPr>
          <w:rFonts w:hint="eastAsia" w:ascii="黑体" w:hAnsi="黑体" w:eastAsia="黑体" w:cs="Times New Roman"/>
          <w:bCs/>
          <w:sz w:val="32"/>
          <w:szCs w:val="32"/>
        </w:rPr>
        <w:t>股债融合型融资合同定性路径之检讨</w:t>
      </w:r>
      <w:commentRangeEnd w:id="0"/>
      <w:bookmarkEnd w:id="0"/>
      <w:bookmarkEnd w:id="1"/>
      <w:bookmarkEnd w:id="2"/>
      <w:r>
        <w:commentReference w:id="0"/>
      </w:r>
    </w:p>
    <w:p w14:paraId="579FA9D3">
      <w:pPr>
        <w:ind w:firstLine="420" w:firstLineChars="200"/>
        <w:rPr>
          <w:rFonts w:hint="eastAsia" w:ascii="华文仿宋" w:hAnsi="华文仿宋" w:eastAsia="华文仿宋" w:cs="Times New Roman"/>
          <w:bCs/>
          <w:szCs w:val="22"/>
        </w:rPr>
      </w:pPr>
      <w:bookmarkStart w:id="3" w:name="_Toc13049"/>
      <w:bookmarkStart w:id="4" w:name="_Toc30255"/>
      <w:r>
        <w:rPr>
          <w:rFonts w:hint="eastAsia" w:ascii="华文仿宋" w:hAnsi="华文仿宋" w:eastAsia="华文仿宋" w:cs="Times New Roman"/>
          <w:bCs/>
          <w:szCs w:val="22"/>
        </w:rPr>
        <w:t>【摘 要</w:t>
      </w:r>
      <w:bookmarkEnd w:id="3"/>
      <w:r>
        <w:rPr>
          <w:rFonts w:hint="eastAsia" w:ascii="华文仿宋" w:hAnsi="华文仿宋" w:eastAsia="华文仿宋" w:cs="Times New Roman"/>
          <w:bCs/>
          <w:szCs w:val="22"/>
        </w:rPr>
        <w:t>】</w:t>
      </w:r>
      <w:bookmarkEnd w:id="4"/>
      <w:r>
        <w:rPr>
          <w:rFonts w:hint="eastAsia" w:ascii="华文仿宋" w:hAnsi="华文仿宋" w:eastAsia="华文仿宋" w:cs="Times New Roman"/>
          <w:bCs/>
          <w:szCs w:val="22"/>
        </w:rPr>
        <w:t>合同定性通常是股债融合型融资合同纠纷的首个争议焦点。对赌协议或明股实债的定性结果对当事人利益影响重大，但二者的内涵与关系并不明确，致使实践中陷入区分困境。目前实践中的区分标准缺乏理论根据，并非二者本质性区别。股债融合视域下二者具备相同的经济逻辑，均通过合同方式实现股债标准状态下风险负担和治理机制的再分配。股债融合的规范逻辑应融贯合同法与组织法，明股实债的认定囿于合同法逻辑而忽略组织法面向。在沿用定性路径的现实下应以对赌协议统摄股债融合型融资合同以实现其规范目的，并在规范限制下扩展商事主体自治空间。依赖典型合同的定性路径存在固有局限，不应以其掩盖纠纷中实质的利益冲突与利益衡量。</w:t>
      </w:r>
    </w:p>
    <w:p w14:paraId="3ADD3423">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0"/>
        <w:rPr>
          <w:rFonts w:hint="eastAsia" w:ascii="华文仿宋" w:hAnsi="华文仿宋" w:eastAsia="华文仿宋" w:cs="Times New Roman"/>
          <w:bCs/>
          <w:szCs w:val="22"/>
        </w:rPr>
      </w:pPr>
      <w:bookmarkStart w:id="5" w:name="_Toc28444"/>
      <w:bookmarkStart w:id="6" w:name="_Toc6081"/>
      <w:r>
        <w:rPr>
          <w:rFonts w:hint="eastAsia" w:ascii="华文仿宋" w:hAnsi="华文仿宋" w:eastAsia="华文仿宋" w:cs="Times New Roman"/>
          <w:bCs/>
          <w:szCs w:val="22"/>
        </w:rPr>
        <w:t>【关键词】股债融合</w:t>
      </w:r>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对赌协议</w:t>
      </w:r>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明股实债</w:t>
      </w:r>
      <w:bookmarkEnd w:id="5"/>
      <w:bookmarkEnd w:id="6"/>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 xml:space="preserve">合同定性 </w:t>
      </w:r>
    </w:p>
    <w:p w14:paraId="570224B5">
      <w:pPr>
        <w:rPr>
          <w:rFonts w:hint="eastAsia" w:ascii="黑体" w:hAnsi="黑体" w:eastAsia="黑体"/>
          <w:sz w:val="28"/>
          <w:szCs w:val="28"/>
        </w:rPr>
      </w:pPr>
      <w:bookmarkStart w:id="7" w:name="_Toc28409"/>
      <w:r>
        <w:rPr>
          <w:rFonts w:hint="eastAsia" w:ascii="黑体" w:hAnsi="黑体" w:eastAsia="黑体"/>
          <w:sz w:val="28"/>
          <w:szCs w:val="28"/>
        </w:rPr>
        <w:t>引言</w:t>
      </w:r>
      <w:bookmarkEnd w:id="7"/>
    </w:p>
    <w:p w14:paraId="0847141E">
      <w:pPr>
        <w:pageBreakBefore w:val="0"/>
        <w:kinsoku/>
        <w:wordWrap/>
        <w:overflowPunct/>
        <w:topLinePunct w:val="0"/>
        <w:autoSpaceDE/>
        <w:autoSpaceDN/>
        <w:bidi w:val="0"/>
        <w:adjustRightInd/>
        <w:spacing w:line="240" w:lineRule="auto"/>
        <w:ind w:firstLine="420" w:firstLineChars="200"/>
        <w:textAlignment w:val="auto"/>
        <w:rPr>
          <w:rStyle w:val="13"/>
          <w:rFonts w:hint="eastAsia" w:ascii="宋体" w:hAnsi="宋体" w:eastAsia="宋体" w:cs="宋体"/>
          <w:sz w:val="21"/>
          <w:szCs w:val="21"/>
        </w:rPr>
      </w:pPr>
      <w:r>
        <w:rPr>
          <w:rFonts w:hint="eastAsia" w:ascii="宋体" w:hAnsi="宋体" w:eastAsia="宋体" w:cs="宋体"/>
          <w:sz w:val="21"/>
          <w:szCs w:val="21"/>
        </w:rPr>
        <w:t>股与债分别为公司融资的两种基本工具，亦构成公司治理的底层逻辑，传统公司法体系建立于股债二分的基础之上。</w:t>
      </w:r>
      <w:r>
        <w:rPr>
          <w:rStyle w:val="13"/>
          <w:rFonts w:hint="eastAsia" w:ascii="宋体" w:hAnsi="宋体" w:eastAsia="宋体" w:cs="宋体"/>
          <w:sz w:val="21"/>
          <w:szCs w:val="21"/>
        </w:rPr>
        <w:footnoteReference w:id="0"/>
      </w:r>
      <w:r>
        <w:rPr>
          <w:rFonts w:hint="eastAsia" w:ascii="宋体" w:hAnsi="宋体" w:eastAsia="宋体" w:cs="宋体"/>
          <w:sz w:val="21"/>
          <w:szCs w:val="21"/>
        </w:rPr>
        <w:t>随着金融创新的发展，商事实践中处于中间状态、难以归入股或债的融合型融资合同已不鲜见，引发法律适用难题。</w:t>
      </w:r>
      <w:r>
        <w:rPr>
          <w:rStyle w:val="13"/>
          <w:rFonts w:hint="eastAsia" w:ascii="宋体" w:hAnsi="宋体" w:eastAsia="宋体" w:cs="宋体"/>
          <w:sz w:val="21"/>
          <w:szCs w:val="21"/>
        </w:rPr>
        <w:footnoteReference w:id="1"/>
      </w:r>
      <w:r>
        <w:rPr>
          <w:rFonts w:hint="eastAsia" w:ascii="宋体" w:hAnsi="宋体" w:eastAsia="宋体" w:cs="宋体"/>
          <w:sz w:val="21"/>
          <w:szCs w:val="21"/>
        </w:rPr>
        <w:t>对此，司法实践总结出“对赌协议”与“明股实债”两种典型类型，并通过合同定性方式将案涉交易与二者对应，从而适用不同的法律规范。由于两种定性结果的法律效果差异显著，案涉合同的类型之争通常成为裁判首个争议焦点。</w:t>
      </w:r>
      <w:r>
        <w:rPr>
          <w:rStyle w:val="13"/>
          <w:rFonts w:hint="eastAsia" w:ascii="宋体" w:hAnsi="宋体" w:eastAsia="宋体" w:cs="宋体"/>
          <w:sz w:val="21"/>
          <w:szCs w:val="21"/>
        </w:rPr>
        <w:footnoteReference w:id="2"/>
      </w:r>
    </w:p>
    <w:p w14:paraId="29DB66A4">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具体而言，围绕投资方退出这一核心问题，若案涉合同被定性为对赌协议，根据《全国法院民商事审判工作会议纪要》（</w:t>
      </w:r>
      <w:r>
        <w:rPr>
          <w:rFonts w:hint="default" w:ascii="Times New Roman" w:hAnsi="Times New Roman" w:eastAsia="宋体" w:cs="Times New Roman"/>
          <w:sz w:val="21"/>
          <w:szCs w:val="21"/>
          <w:rPrChange w:id="0" w:author="ad" w:date="2026-04-22T19:26:07Z">
            <w:rPr>
              <w:rFonts w:hint="eastAsia" w:ascii="宋体" w:hAnsi="宋体" w:eastAsia="宋体" w:cs="宋体"/>
              <w:sz w:val="21"/>
              <w:szCs w:val="21"/>
            </w:rPr>
          </w:rPrChange>
        </w:rPr>
        <w:t>法〔2019〕254号，以下简称《九民纪要》）第5条规</w:t>
      </w:r>
      <w:r>
        <w:rPr>
          <w:rFonts w:hint="eastAsia" w:ascii="宋体" w:hAnsi="宋体" w:eastAsia="宋体" w:cs="宋体"/>
          <w:sz w:val="21"/>
          <w:szCs w:val="21"/>
        </w:rPr>
        <w:t>定，完成相应债权人保护程序是投资方得以退出的前提条件，对赌协议履行常常因此陷入僵局。《最高人民法院关于适用〈中华人民共和国公司法〉若干问题的解释（征求意见稿）》（以下简称《公司法解释（征求意见稿）》）第</w:t>
      </w:r>
      <w:r>
        <w:rPr>
          <w:rFonts w:hint="default" w:ascii="Times New Roman" w:hAnsi="Times New Roman" w:eastAsia="宋体" w:cs="Times New Roman"/>
          <w:sz w:val="21"/>
          <w:szCs w:val="21"/>
          <w:rPrChange w:id="1" w:author="ad" w:date="2026-04-22T19:28:21Z">
            <w:rPr>
              <w:rFonts w:hint="eastAsia" w:ascii="宋体" w:hAnsi="宋体" w:eastAsia="宋体" w:cs="宋体"/>
              <w:sz w:val="21"/>
              <w:szCs w:val="21"/>
            </w:rPr>
          </w:rPrChange>
        </w:rPr>
        <w:t>37条第2款延</w:t>
      </w:r>
      <w:r>
        <w:rPr>
          <w:rFonts w:hint="eastAsia" w:ascii="宋体" w:hAnsi="宋体" w:eastAsia="宋体" w:cs="宋体"/>
          <w:sz w:val="21"/>
          <w:szCs w:val="21"/>
        </w:rPr>
        <w:t>续上述逻辑，反映出司法坚持资本维持原则的立场。</w:t>
      </w:r>
      <w:r>
        <w:rPr>
          <w:rFonts w:hint="eastAsia" w:ascii="宋体" w:hAnsi="宋体" w:eastAsia="宋体" w:cs="宋体"/>
          <w:sz w:val="21"/>
          <w:szCs w:val="21"/>
          <w:highlight w:val="yellow"/>
          <w:rPrChange w:id="2" w:author="ad" w:date="2026-04-22T21:29:39Z">
            <w:rPr>
              <w:rFonts w:hint="eastAsia" w:ascii="宋体" w:hAnsi="宋体" w:eastAsia="宋体" w:cs="宋体"/>
              <w:sz w:val="21"/>
              <w:szCs w:val="21"/>
            </w:rPr>
          </w:rPrChange>
        </w:rPr>
        <w:t>与之不同，若案涉合同被定性为明股实债，依照穿透式审判的逻辑，当事人的真实意思在于债权投资，应透过股权投资的外在形式将交易认定为借贷关系。于是，若非违反借贷管制和利息管制等规定，投资方主张公司偿还本息的请求往往能得到法院支持。</w:t>
      </w:r>
      <w:r>
        <w:rPr>
          <w:rStyle w:val="13"/>
          <w:rFonts w:hint="eastAsia" w:ascii="宋体" w:hAnsi="宋体" w:eastAsia="宋体" w:cs="宋体"/>
          <w:sz w:val="21"/>
          <w:szCs w:val="21"/>
        </w:rPr>
        <w:footnoteReference w:id="3"/>
      </w:r>
    </w:p>
    <w:p w14:paraId="60FD6DB4">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不限于此，潜在的股债二分思维使得定性结果具有牵一发而动全身的体系效应。例如，不少裁判观点认为明股实债兼具借贷与担保的双重功能。</w:t>
      </w:r>
      <w:r>
        <w:rPr>
          <w:rStyle w:val="13"/>
          <w:rFonts w:hint="eastAsia" w:ascii="宋体" w:hAnsi="宋体" w:eastAsia="宋体" w:cs="宋体"/>
          <w:sz w:val="21"/>
          <w:szCs w:val="21"/>
        </w:rPr>
        <w:footnoteReference w:id="4"/>
      </w:r>
      <w:r>
        <w:rPr>
          <w:rFonts w:hint="eastAsia" w:ascii="宋体" w:hAnsi="宋体" w:eastAsia="宋体" w:cs="宋体"/>
          <w:sz w:val="21"/>
          <w:szCs w:val="21"/>
        </w:rPr>
        <w:t>由于明股实债的核心法律关系被认定为借贷关系，投资方向目标公司的股权出资被法院解释为股权让与担保，股权的特殊性以及所具有的团体组织法色彩未能有效凸显。</w:t>
      </w:r>
      <w:r>
        <w:rPr>
          <w:rStyle w:val="13"/>
          <w:rFonts w:hint="eastAsia" w:ascii="宋体" w:hAnsi="宋体" w:eastAsia="宋体" w:cs="宋体"/>
          <w:sz w:val="21"/>
          <w:szCs w:val="21"/>
        </w:rPr>
        <w:footnoteReference w:id="5"/>
      </w:r>
      <w:r>
        <w:rPr>
          <w:rFonts w:hint="eastAsia" w:ascii="宋体" w:hAnsi="宋体" w:eastAsia="宋体" w:cs="宋体"/>
          <w:sz w:val="21"/>
          <w:szCs w:val="21"/>
        </w:rPr>
        <w:t>而由于司法实践以“股权性融资协议”认识对赌协议，为规避禁止流质规则限制，商事交易中也出现借用股权回购型对赌协议包装股权流质条款的现象。</w:t>
      </w:r>
      <w:r>
        <w:rPr>
          <w:rStyle w:val="13"/>
          <w:rFonts w:hint="eastAsia" w:ascii="宋体" w:hAnsi="宋体" w:eastAsia="宋体" w:cs="宋体"/>
          <w:sz w:val="21"/>
          <w:szCs w:val="21"/>
        </w:rPr>
        <w:footnoteReference w:id="6"/>
      </w:r>
      <w:r>
        <w:rPr>
          <w:rFonts w:hint="eastAsia" w:ascii="宋体" w:hAnsi="宋体" w:eastAsia="宋体" w:cs="宋体"/>
          <w:sz w:val="21"/>
          <w:szCs w:val="21"/>
        </w:rPr>
        <w:t>再如，有观点认为，由于商事时效特殊性等原因，对赌协议中回购权在行权期限上应有特殊限制而有别于普通请求权。</w:t>
      </w:r>
      <w:r>
        <w:rPr>
          <w:rStyle w:val="13"/>
          <w:rFonts w:hint="eastAsia" w:ascii="宋体" w:hAnsi="宋体" w:eastAsia="宋体" w:cs="宋体"/>
          <w:sz w:val="21"/>
          <w:szCs w:val="21"/>
        </w:rPr>
        <w:footnoteReference w:id="7"/>
      </w:r>
      <w:r>
        <w:rPr>
          <w:rFonts w:hint="eastAsia" w:ascii="宋体" w:hAnsi="宋体" w:eastAsia="宋体" w:cs="宋体"/>
          <w:sz w:val="21"/>
          <w:szCs w:val="21"/>
        </w:rPr>
        <w:t>但是，若将案涉合同认定为明股实债，其回购权实为返还本息的请求权，不应受到上述回购权行权期限限制。可以发现，由于合同定性在此类纠纷裁判中占据核心地位，定性结果的差异对各环节争议问题的处理均可能造成影响。</w:t>
      </w:r>
    </w:p>
    <w:p w14:paraId="7566813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综上所述，股债融合的交易安排因定性结果不同造成法律效果的巨大差异，极易诱发道德风险与机会主义行为，使得合同定性成为当事人利益之争的工具。作为股债融合型融资合同纠纷的前置性问题，在合同定性过程中区分对赌协议与明股实债，进而寻找裁判大前提的既有路径是否适当？本文尝试从定性路径的适用现状切入，分析定性路径在实践中存在的弊端，反思定性路径背后的理论缺陷，并在现行法律规范的框架下对定性路径提出完善方案。</w:t>
      </w:r>
    </w:p>
    <w:p w14:paraId="7877C0E4">
      <w:pPr>
        <w:rPr>
          <w:rFonts w:hint="eastAsia" w:ascii="黑体" w:hAnsi="黑体" w:eastAsia="黑体"/>
          <w:sz w:val="28"/>
          <w:szCs w:val="28"/>
        </w:rPr>
      </w:pPr>
      <w:bookmarkStart w:id="8" w:name="_Toc1690"/>
      <w:bookmarkStart w:id="9" w:name="_Toc15107"/>
      <w:bookmarkStart w:id="10" w:name="_Toc30872"/>
      <w:bookmarkStart w:id="11" w:name="_Toc13256"/>
      <w:bookmarkStart w:id="12" w:name="_Toc16635"/>
      <w:bookmarkStart w:id="13" w:name="_Toc22632"/>
      <w:r>
        <w:rPr>
          <w:rFonts w:hint="eastAsia" w:ascii="黑体" w:hAnsi="黑体" w:eastAsia="黑体"/>
          <w:sz w:val="28"/>
          <w:szCs w:val="28"/>
        </w:rPr>
        <w:t>一、股债融合型融资合同定性路径的</w:t>
      </w:r>
      <w:bookmarkEnd w:id="8"/>
      <w:bookmarkEnd w:id="9"/>
      <w:bookmarkEnd w:id="10"/>
      <w:bookmarkEnd w:id="11"/>
      <w:r>
        <w:rPr>
          <w:rFonts w:hint="eastAsia" w:ascii="黑体" w:hAnsi="黑体" w:eastAsia="黑体"/>
          <w:sz w:val="28"/>
          <w:szCs w:val="28"/>
        </w:rPr>
        <w:t>适用现状</w:t>
      </w:r>
      <w:bookmarkEnd w:id="12"/>
      <w:bookmarkEnd w:id="13"/>
    </w:p>
    <w:p w14:paraId="252FE7BC">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欲对股债融合型融资合同的定性路径展开研究，首先无法脱离其在司法实践中的现实应用。对赌协议与明股实债</w:t>
      </w:r>
      <w:bookmarkStart w:id="14" w:name="_Toc18858"/>
      <w:bookmarkStart w:id="15" w:name="_Toc17414"/>
      <w:bookmarkStart w:id="16" w:name="_Toc24971"/>
      <w:bookmarkStart w:id="17" w:name="_Toc6112"/>
      <w:r>
        <w:rPr>
          <w:rFonts w:hint="eastAsia" w:ascii="宋体" w:hAnsi="宋体" w:eastAsia="宋体" w:cs="宋体"/>
          <w:sz w:val="21"/>
          <w:szCs w:val="21"/>
        </w:rPr>
        <w:t>作为定性结果关系界定模糊，进而导致二者在实践中区分不能，这一问题构成本文展开检讨的逻辑起点。</w:t>
      </w:r>
    </w:p>
    <w:p w14:paraId="39D9E958">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US" w:eastAsia="zh-CN" w:bidi="ar-SA"/>
        </w:rPr>
      </w:pPr>
      <w:bookmarkStart w:id="18" w:name="_Toc16454"/>
      <w:bookmarkStart w:id="19" w:name="_Toc27638"/>
      <w:r>
        <w:rPr>
          <w:rFonts w:hint="eastAsia" w:ascii="华文楷体" w:hAnsi="华文楷体" w:eastAsia="华文楷体" w:cstheme="minorBidi"/>
          <w:b w:val="0"/>
          <w:bCs w:val="0"/>
          <w:kern w:val="2"/>
          <w:sz w:val="24"/>
          <w:szCs w:val="24"/>
          <w:lang w:val="en-GB" w:eastAsia="zh-CN" w:bidi="ar-SA"/>
        </w:rPr>
        <w:t>（一）</w:t>
      </w:r>
      <w:bookmarkEnd w:id="14"/>
      <w:bookmarkEnd w:id="15"/>
      <w:r>
        <w:rPr>
          <w:rFonts w:hint="eastAsia" w:ascii="华文楷体" w:hAnsi="华文楷体" w:eastAsia="华文楷体" w:cstheme="minorBidi"/>
          <w:b w:val="0"/>
          <w:bCs w:val="0"/>
          <w:kern w:val="2"/>
          <w:sz w:val="24"/>
          <w:szCs w:val="24"/>
          <w:lang w:val="en-US" w:eastAsia="zh-CN" w:bidi="ar-SA"/>
        </w:rPr>
        <w:t>对赌协议与明股实债的关系</w:t>
      </w:r>
      <w:bookmarkEnd w:id="16"/>
      <w:bookmarkEnd w:id="17"/>
      <w:r>
        <w:rPr>
          <w:rFonts w:hint="eastAsia" w:ascii="华文楷体" w:hAnsi="华文楷体" w:eastAsia="华文楷体" w:cstheme="minorBidi"/>
          <w:b w:val="0"/>
          <w:bCs w:val="0"/>
          <w:kern w:val="2"/>
          <w:sz w:val="24"/>
          <w:szCs w:val="24"/>
          <w:lang w:val="en-US" w:eastAsia="zh-CN" w:bidi="ar-SA"/>
        </w:rPr>
        <w:t>不明</w:t>
      </w:r>
      <w:bookmarkEnd w:id="18"/>
      <w:bookmarkEnd w:id="19"/>
    </w:p>
    <w:p w14:paraId="77D9AAD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股债融合样态繁多，不一而足，</w:t>
      </w:r>
      <w:r>
        <w:rPr>
          <w:rFonts w:hint="eastAsia" w:ascii="宋体" w:hAnsi="宋体" w:eastAsia="宋体" w:cs="宋体"/>
          <w:sz w:val="21"/>
          <w:szCs w:val="21"/>
          <w:vertAlign w:val="superscript"/>
        </w:rPr>
        <w:footnoteReference w:id="8"/>
      </w:r>
      <w:r>
        <w:rPr>
          <w:rFonts w:hint="eastAsia" w:ascii="宋体" w:hAnsi="宋体" w:eastAsia="宋体" w:cs="宋体"/>
          <w:sz w:val="21"/>
          <w:szCs w:val="21"/>
        </w:rPr>
        <w:t>对赌协议与明股实债不过是法院总结裁判经验所概括提炼出的两种典型样态，其内涵和外延天然带有不确定性，二者关系的纠缠不清直接构成定性路径的前置障碍。</w:t>
      </w:r>
    </w:p>
    <w:p w14:paraId="747BB3B9">
      <w:pPr>
        <w:pageBreakBefore w:val="0"/>
        <w:widowControl/>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司法实践对于对赌协议的认定通常援引《九民纪要》表述，认为对赌协议为包含股权回购、金钱补偿等“估值调整机制”的股权性融资协议，强调其解决“目标公司未来发展的不确定性、信息不对称以及代理成本”的功能价值。在此基础上，《公司法解释（征求意见稿）》第</w:t>
      </w:r>
      <w:r>
        <w:rPr>
          <w:rFonts w:hint="eastAsia" w:ascii="Times New Roman" w:hAnsi="Times New Roman" w:eastAsia="宋体" w:cs="宋体"/>
          <w:sz w:val="21"/>
          <w:szCs w:val="21"/>
        </w:rPr>
        <w:t>37</w:t>
      </w:r>
      <w:r>
        <w:rPr>
          <w:rFonts w:hint="eastAsia" w:ascii="宋体" w:hAnsi="宋体" w:eastAsia="宋体" w:cs="宋体"/>
          <w:sz w:val="21"/>
          <w:szCs w:val="21"/>
        </w:rPr>
        <w:t>条第</w:t>
      </w:r>
      <w:r>
        <w:rPr>
          <w:rFonts w:hint="eastAsia" w:ascii="Times New Roman" w:hAnsi="Times New Roman" w:eastAsia="宋体" w:cs="宋体"/>
          <w:sz w:val="21"/>
          <w:szCs w:val="21"/>
        </w:rPr>
        <w:t>1</w:t>
      </w:r>
      <w:r>
        <w:rPr>
          <w:rFonts w:hint="eastAsia" w:ascii="宋体" w:hAnsi="宋体" w:eastAsia="宋体" w:cs="宋体"/>
          <w:sz w:val="21"/>
          <w:szCs w:val="21"/>
        </w:rPr>
        <w:t>款增加股权回购与金钱补偿的触发机制，进一步明确对赌协议的典型交易结构。相较而言，最高司法机关对于明股实债明显关照不足，由于缺乏司法解释的明确界定，明股实债的概念内涵更为模糊不清。《九民纪要》出台前，最高院民二庭法官会议纪要曾专门对明股实债进行讨论，认为其并无统一的交易模式，主要特征为投资人将资金以股权投资的方式投入目标公司，并约定在一定期限届满或者一定条件下收回投资本金和获得固定的利益回报。</w:t>
      </w:r>
      <w:r>
        <w:rPr>
          <w:rStyle w:val="13"/>
          <w:rFonts w:hint="eastAsia" w:ascii="宋体" w:hAnsi="宋体" w:eastAsia="宋体" w:cs="宋体"/>
          <w:sz w:val="21"/>
          <w:szCs w:val="21"/>
        </w:rPr>
        <w:footnoteReference w:id="9"/>
      </w:r>
      <w:r>
        <w:rPr>
          <w:rFonts w:hint="eastAsia" w:ascii="宋体" w:hAnsi="宋体" w:eastAsia="宋体" w:cs="宋体"/>
          <w:sz w:val="21"/>
          <w:szCs w:val="21"/>
        </w:rPr>
        <w:t>此种过于空泛的概念界定显然无法将其区别于对赌协议。不少观点援引监管规定，认为明股实债是指投资回报不与被投资企业的经营业绩挂钩，不是根据企业的投资收益或亏损进行分配，而是向投资方提供保本收益承诺、根据约定定期向投资方支付固定收益，并在满足特定条件后由被投资企业赎回股权或偿还本息的投资方式。</w:t>
      </w:r>
      <w:r>
        <w:rPr>
          <w:rStyle w:val="13"/>
          <w:rFonts w:hint="eastAsia" w:ascii="宋体" w:hAnsi="宋体" w:eastAsia="宋体" w:cs="宋体"/>
          <w:sz w:val="21"/>
          <w:szCs w:val="21"/>
        </w:rPr>
        <w:footnoteReference w:id="10"/>
      </w:r>
      <w:r>
        <w:rPr>
          <w:rFonts w:hint="eastAsia" w:ascii="宋体" w:hAnsi="宋体" w:eastAsia="宋体" w:cs="宋体"/>
          <w:sz w:val="21"/>
          <w:szCs w:val="21"/>
        </w:rPr>
        <w:t>此种定义虽更为具体，但该规定并非私法法源，且将对赌协议归为明股实债的下位概念，难以作为二者的区分基础。由此，对赌协议与明股实债得以区别的本质性特征为何，存在疑问。</w:t>
      </w:r>
    </w:p>
    <w:p w14:paraId="48AAB44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highlight w:val="yellow"/>
        </w:rPr>
      </w:pPr>
      <w:r>
        <w:rPr>
          <w:rFonts w:hint="eastAsia" w:ascii="宋体" w:hAnsi="宋体" w:eastAsia="宋体" w:cs="宋体"/>
          <w:sz w:val="21"/>
          <w:szCs w:val="21"/>
        </w:rPr>
        <w:t>追本溯源，对赌协议与明股实债均源于司法对股债中间状态的类型化回应。类型思维以“或多或少”的程度将复杂多样的现实对应于类型之下，具有模糊性而并非“非此即彼”，</w:t>
      </w:r>
      <w:r>
        <w:rPr>
          <w:rStyle w:val="13"/>
          <w:rFonts w:hint="eastAsia" w:ascii="宋体" w:hAnsi="宋体" w:eastAsia="宋体" w:cs="宋体"/>
          <w:sz w:val="21"/>
          <w:szCs w:val="21"/>
        </w:rPr>
        <w:footnoteReference w:id="11"/>
      </w:r>
      <w:r>
        <w:rPr>
          <w:rFonts w:hint="eastAsia" w:ascii="宋体" w:hAnsi="宋体" w:eastAsia="宋体" w:cs="宋体"/>
          <w:sz w:val="21"/>
          <w:szCs w:val="21"/>
        </w:rPr>
        <w:t>使得二者的内涵与边界处于变动之中。长期以来，司法机关对股债之间的融资安排缺少体系化的规范回应。无论是早期联营关系中“名为联营，实为借贷”的保底约定，抑或是后续资产管理业务中刚性保本付息的“明股实债”，此类合同在交易构造上均处于股债之间，具有相同或类似的投资构成、投资性质或基因。</w:t>
      </w:r>
      <w:r>
        <w:rPr>
          <w:rStyle w:val="13"/>
          <w:rFonts w:hint="eastAsia" w:ascii="宋体" w:hAnsi="宋体" w:eastAsia="宋体" w:cs="宋体"/>
          <w:sz w:val="21"/>
          <w:szCs w:val="21"/>
        </w:rPr>
        <w:footnoteReference w:id="12"/>
      </w:r>
      <w:r>
        <w:rPr>
          <w:rFonts w:hint="eastAsia" w:ascii="宋体" w:hAnsi="宋体" w:eastAsia="宋体" w:cs="宋体"/>
          <w:sz w:val="21"/>
          <w:szCs w:val="21"/>
        </w:rPr>
        <w:t>作为其中更为成熟的最新形式，对赌协议有幸获得最高司法机关肯认，得以成为独立的合同类型。与此同时，对赌协议与明股实债等其他股债融合型融资关系为何，殊值思考。司法机关并未在规范层面予以回应，而是在实践中转向 “穿透式审判思维”，试图为明股实债的认定寻找新的理论基础。</w:t>
      </w:r>
      <w:r>
        <w:rPr>
          <w:rStyle w:val="13"/>
          <w:rFonts w:hint="eastAsia" w:ascii="宋体" w:hAnsi="宋体" w:eastAsia="宋体" w:cs="宋体"/>
          <w:sz w:val="21"/>
          <w:szCs w:val="21"/>
        </w:rPr>
        <w:footnoteReference w:id="13"/>
      </w:r>
      <w:r>
        <w:rPr>
          <w:rFonts w:hint="eastAsia" w:ascii="宋体" w:hAnsi="宋体" w:eastAsia="宋体" w:cs="宋体"/>
          <w:sz w:val="21"/>
          <w:szCs w:val="21"/>
        </w:rPr>
        <w:t>由此，明股实债的认定侧重于“实债”而非“明股”，与作为“股权性融资协议”的对赌协议截然对立。但是，此种思路无非是将对赌协议与明股实债的区分问题遮蔽于“应否穿透”的表象之下，并没有改变二者关系不明的根本局面。定性路径以合同类型之间的差异为基础，难以关照对赌协议与明股实债的内在关联，引发类案裁判尺度不一的适用偏差。</w:t>
      </w:r>
    </w:p>
    <w:p w14:paraId="57D2A2D7">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20" w:name="_Toc19442"/>
      <w:bookmarkStart w:id="21" w:name="_Toc1616"/>
      <w:r>
        <w:rPr>
          <w:rFonts w:hint="eastAsia" w:ascii="华文楷体" w:hAnsi="华文楷体" w:eastAsia="华文楷体" w:cstheme="minorBidi"/>
          <w:b w:val="0"/>
          <w:bCs w:val="0"/>
          <w:kern w:val="2"/>
          <w:sz w:val="24"/>
          <w:szCs w:val="24"/>
          <w:lang w:val="en-GB" w:eastAsia="zh-CN" w:bidi="ar-SA"/>
        </w:rPr>
        <w:t>（二）对赌协议与明股实债的区分困境</w:t>
      </w:r>
      <w:bookmarkEnd w:id="20"/>
      <w:bookmarkEnd w:id="21"/>
    </w:p>
    <w:p w14:paraId="46BE01E6">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对赌协议与明股实债之间关系不明导致二者在司法实践中面临区分困境，具体表现如下：</w:t>
      </w:r>
    </w:p>
    <w:p w14:paraId="025BAEB3">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首先，司法实践中存在混用对赌协议与明股实债概念的情况：有二审法院在支持一审法院对于案涉协议“债权投资型对赌协议”认定的基础上，又进一步认为该协议符合“明股实债”的基本法律结构，将其认定为债权投资。</w:t>
      </w:r>
      <w:r>
        <w:rPr>
          <w:rStyle w:val="13"/>
          <w:rFonts w:hint="eastAsia" w:ascii="宋体" w:hAnsi="宋体" w:eastAsia="宋体" w:cs="宋体"/>
          <w:sz w:val="21"/>
          <w:szCs w:val="21"/>
        </w:rPr>
        <w:footnoteReference w:id="14"/>
      </w:r>
      <w:r>
        <w:rPr>
          <w:rFonts w:hint="eastAsia" w:ascii="宋体" w:hAnsi="宋体" w:eastAsia="宋体" w:cs="宋体"/>
          <w:sz w:val="21"/>
          <w:szCs w:val="21"/>
        </w:rPr>
        <w:t>还有判决既认为投资人通过“对赌协议”持股一人公司，又认为该模式符合“明股实债”法律特征，并未严格区分两种合同类型。</w:t>
      </w:r>
      <w:r>
        <w:rPr>
          <w:rStyle w:val="13"/>
          <w:rFonts w:hint="eastAsia" w:ascii="宋体" w:hAnsi="宋体" w:eastAsia="宋体" w:cs="宋体"/>
          <w:sz w:val="21"/>
          <w:szCs w:val="21"/>
        </w:rPr>
        <w:footnoteReference w:id="15"/>
      </w:r>
    </w:p>
    <w:p w14:paraId="1249A9D9">
      <w:pPr>
        <w:pageBreakBefore w:val="0"/>
        <w:numPr>
          <w:ilvl w:val="255"/>
          <w:numId w:val="0"/>
        </w:numPr>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其次，司法实践中对赌协议与明股实债区分标准的合理性有待商榷。主要标准可归纳为如下四种：其一，经营管理标准，即投资方是否亲自或以派出董事等形式参与公司经营管理。参与公司经营管理的投资方实际行使了股东权利，应认定为对赌协议，反之则应认定为明股实债。</w:t>
      </w:r>
      <w:r>
        <w:rPr>
          <w:rStyle w:val="13"/>
          <w:rFonts w:hint="eastAsia" w:ascii="宋体" w:hAnsi="宋体" w:eastAsia="宋体" w:cs="宋体"/>
          <w:sz w:val="21"/>
          <w:szCs w:val="21"/>
        </w:rPr>
        <w:footnoteReference w:id="16"/>
      </w:r>
      <w:r>
        <w:rPr>
          <w:rFonts w:hint="eastAsia" w:ascii="宋体" w:hAnsi="宋体" w:eastAsia="宋体" w:cs="宋体"/>
          <w:sz w:val="21"/>
          <w:szCs w:val="21"/>
        </w:rPr>
        <w:t>其二，风险收益标准，即投资方是否因投资而实际承担公司经营风险，获取经营收益。收益并非固定而与经营业绩挂钩的投资方承担经营风险，应认定为对赌协议，反之则应认定为明股实债。</w:t>
      </w:r>
      <w:r>
        <w:rPr>
          <w:rStyle w:val="13"/>
          <w:rFonts w:hint="eastAsia" w:ascii="宋体" w:hAnsi="宋体" w:eastAsia="宋体" w:cs="宋体"/>
          <w:sz w:val="21"/>
          <w:szCs w:val="21"/>
        </w:rPr>
        <w:footnoteReference w:id="17"/>
      </w:r>
      <w:r>
        <w:rPr>
          <w:rFonts w:hint="eastAsia" w:ascii="宋体" w:hAnsi="宋体" w:eastAsia="宋体" w:cs="宋体"/>
          <w:sz w:val="21"/>
          <w:szCs w:val="21"/>
        </w:rPr>
        <w:t>其三，合同目的标准。对赌协议目的在于解决交易双方对目标公司未来发展的不确定性、信息不对称以及代理成本，而明股实债的目的并非取得股权，仅为获取固定收益。</w:t>
      </w:r>
      <w:r>
        <w:rPr>
          <w:rStyle w:val="13"/>
          <w:rFonts w:hint="eastAsia" w:ascii="宋体" w:hAnsi="宋体" w:eastAsia="宋体" w:cs="宋体"/>
          <w:sz w:val="21"/>
          <w:szCs w:val="21"/>
        </w:rPr>
        <w:footnoteReference w:id="18"/>
      </w:r>
      <w:r>
        <w:rPr>
          <w:rFonts w:hint="eastAsia" w:ascii="宋体" w:hAnsi="宋体" w:eastAsia="宋体" w:cs="宋体"/>
          <w:sz w:val="21"/>
          <w:szCs w:val="21"/>
        </w:rPr>
        <w:t>其四，附款类型标准，法院将回购条款附款类型划分为条件与期限。附条件回购不具有必然性，应认定为对赌协议；附期限回购具有必然性，应认定为明股实债。</w:t>
      </w:r>
      <w:r>
        <w:rPr>
          <w:rStyle w:val="13"/>
          <w:rFonts w:hint="eastAsia" w:ascii="宋体" w:hAnsi="宋体" w:eastAsia="宋体" w:cs="宋体"/>
          <w:sz w:val="21"/>
          <w:szCs w:val="21"/>
        </w:rPr>
        <w:footnoteReference w:id="19"/>
      </w:r>
      <w:r>
        <w:rPr>
          <w:rFonts w:hint="eastAsia" w:ascii="宋体" w:hAnsi="宋体" w:eastAsia="宋体" w:cs="宋体"/>
          <w:sz w:val="21"/>
          <w:szCs w:val="21"/>
        </w:rPr>
        <w:t>这些标准应用于实践中常常模棱两可、有失精确，其合理性尚待理论检验。</w:t>
      </w:r>
    </w:p>
    <w:p w14:paraId="2F05B2BE">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最后，前述区分标准缺乏明确的选择依据。司法实践中法官倾向于综合考量几种标准后作出判断，这一过程中的自由裁量空间进一步加大裁判尺度的分歧，最终导致对赌协议与明股实债实践中的区分困境。</w:t>
      </w:r>
    </w:p>
    <w:p w14:paraId="08A6E364">
      <w:pPr>
        <w:rPr>
          <w:rFonts w:hint="eastAsia" w:ascii="黑体" w:hAnsi="黑体" w:eastAsia="黑体"/>
          <w:sz w:val="28"/>
          <w:szCs w:val="28"/>
        </w:rPr>
      </w:pPr>
      <w:bookmarkStart w:id="22" w:name="_Toc13923"/>
      <w:bookmarkStart w:id="23" w:name="_Toc4308"/>
      <w:bookmarkStart w:id="24" w:name="_Toc21298"/>
      <w:bookmarkStart w:id="25" w:name="_Toc32098"/>
      <w:r>
        <w:rPr>
          <w:rFonts w:hint="eastAsia" w:ascii="黑体" w:hAnsi="黑体" w:eastAsia="黑体"/>
          <w:sz w:val="28"/>
          <w:szCs w:val="28"/>
        </w:rPr>
        <w:t>二、股债融合型融资合同定性路径的理论反思</w:t>
      </w:r>
      <w:bookmarkEnd w:id="22"/>
      <w:bookmarkEnd w:id="23"/>
      <w:bookmarkEnd w:id="24"/>
      <w:bookmarkEnd w:id="25"/>
      <w:bookmarkStart w:id="26" w:name="_Toc17470"/>
      <w:bookmarkStart w:id="27" w:name="_Toc18902"/>
    </w:p>
    <w:p w14:paraId="056E27EF">
      <w:pPr>
        <w:pageBreakBefore w:val="0"/>
        <w:numPr>
          <w:ilvl w:val="255"/>
          <w:numId w:val="0"/>
        </w:numPr>
        <w:kinsoku/>
        <w:wordWrap/>
        <w:overflowPunct/>
        <w:topLinePunct w:val="0"/>
        <w:autoSpaceDE/>
        <w:autoSpaceDN/>
        <w:bidi w:val="0"/>
        <w:adjustRightInd/>
        <w:spacing w:line="240"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在对赌协议与明股实债关系尚未明确的情况下，由于对定性路径的依赖，司法仍为二者确立一定的区分标准。二者纠缠不清的现状印证了上述区分标准的局限，也促使本文在股债融合视域下进一步探讨对赌协议与明股实债究竟“能否区分”以及“应否区分”，以廓清定性路径的问题实质。</w:t>
      </w:r>
    </w:p>
    <w:p w14:paraId="6DFE9C91">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28" w:name="_Toc22619"/>
      <w:bookmarkStart w:id="29" w:name="_Toc1980"/>
      <w:r>
        <w:rPr>
          <w:rFonts w:hint="eastAsia" w:ascii="华文楷体" w:hAnsi="华文楷体" w:eastAsia="华文楷体" w:cstheme="minorBidi"/>
          <w:b w:val="0"/>
          <w:bCs w:val="0"/>
          <w:kern w:val="2"/>
          <w:sz w:val="24"/>
          <w:szCs w:val="24"/>
          <w:lang w:val="en-GB" w:eastAsia="zh-CN" w:bidi="ar-SA"/>
        </w:rPr>
        <w:t>（一）</w:t>
      </w:r>
      <w:bookmarkEnd w:id="26"/>
      <w:r>
        <w:rPr>
          <w:rFonts w:hint="eastAsia" w:ascii="华文楷体" w:hAnsi="华文楷体" w:eastAsia="华文楷体" w:cstheme="minorBidi"/>
          <w:b w:val="0"/>
          <w:bCs w:val="0"/>
          <w:kern w:val="2"/>
          <w:sz w:val="24"/>
          <w:szCs w:val="24"/>
          <w:lang w:val="en-GB" w:eastAsia="zh-CN" w:bidi="ar-SA"/>
        </w:rPr>
        <w:t>对赌协议与明股实债的</w:t>
      </w:r>
      <w:bookmarkEnd w:id="27"/>
      <w:r>
        <w:rPr>
          <w:rFonts w:hint="eastAsia" w:ascii="华文楷体" w:hAnsi="华文楷体" w:eastAsia="华文楷体" w:cstheme="minorBidi"/>
          <w:b w:val="0"/>
          <w:bCs w:val="0"/>
          <w:kern w:val="2"/>
          <w:sz w:val="24"/>
          <w:szCs w:val="24"/>
          <w:lang w:val="en-GB" w:eastAsia="zh-CN" w:bidi="ar-SA"/>
        </w:rPr>
        <w:t>区分标准缺乏理论根据</w:t>
      </w:r>
      <w:bookmarkEnd w:id="28"/>
      <w:bookmarkEnd w:id="29"/>
    </w:p>
    <w:p w14:paraId="5BC94EF9">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b/>
          <w:bCs/>
          <w:sz w:val="21"/>
          <w:szCs w:val="21"/>
        </w:rPr>
      </w:pPr>
      <w:r>
        <w:rPr>
          <w:rFonts w:hint="eastAsia" w:ascii="宋体" w:hAnsi="宋体" w:eastAsia="宋体" w:cs="宋体"/>
          <w:sz w:val="21"/>
          <w:szCs w:val="21"/>
        </w:rPr>
        <w:t>前述对赌协议与明股实债的区分标准大多借鉴股权投资与债权投资的区分标准。以描述性差异区分股债的做法未尽合理，在股债融合型融资合同定性过程中套用这一方法更难称妥当。</w:t>
      </w:r>
    </w:p>
    <w:p w14:paraId="54E7A0AA">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从经营管理标准来看，其一，对赌协议投资方未必参与公司经营管理。作为一种定价机制，对赌协议本身就是一种解决投后管理问题的无奈之举，</w:t>
      </w:r>
      <w:r>
        <w:rPr>
          <w:rStyle w:val="13"/>
          <w:rFonts w:hint="eastAsia" w:ascii="宋体" w:hAnsi="宋体" w:eastAsia="宋体" w:cs="宋体"/>
          <w:sz w:val="21"/>
          <w:szCs w:val="21"/>
        </w:rPr>
        <w:footnoteReference w:id="20"/>
      </w:r>
      <w:r>
        <w:rPr>
          <w:rFonts w:hint="eastAsia" w:ascii="宋体" w:hAnsi="宋体" w:eastAsia="宋体" w:cs="宋体"/>
          <w:sz w:val="21"/>
          <w:szCs w:val="21"/>
        </w:rPr>
        <w:t>对赌场景下投资方不参与融资公司具体经营管理的情况非常普遍。</w:t>
      </w:r>
      <w:r>
        <w:rPr>
          <w:rStyle w:val="13"/>
          <w:rFonts w:hint="eastAsia" w:ascii="宋体" w:hAnsi="宋体" w:eastAsia="宋体" w:cs="宋体"/>
          <w:sz w:val="21"/>
          <w:szCs w:val="21"/>
        </w:rPr>
        <w:footnoteReference w:id="21"/>
      </w:r>
      <w:r>
        <w:rPr>
          <w:rFonts w:hint="eastAsia" w:ascii="宋体" w:hAnsi="宋体" w:eastAsia="宋体" w:cs="宋体"/>
          <w:sz w:val="21"/>
          <w:szCs w:val="21"/>
        </w:rPr>
        <w:t>其二，明股实债投资方未必不参与公司经营管理。即使在单纯的债权投资中，债权人亦会通过各类合同条款设计对公司经营活动施加影响。</w:t>
      </w:r>
      <w:r>
        <w:rPr>
          <w:rStyle w:val="13"/>
          <w:rFonts w:hint="eastAsia" w:ascii="宋体" w:hAnsi="宋体" w:eastAsia="宋体" w:cs="宋体"/>
          <w:sz w:val="21"/>
          <w:szCs w:val="21"/>
        </w:rPr>
        <w:footnoteReference w:id="22"/>
      </w:r>
      <w:r>
        <w:rPr>
          <w:rFonts w:hint="eastAsia" w:ascii="宋体" w:hAnsi="宋体" w:eastAsia="宋体" w:cs="宋体"/>
          <w:sz w:val="21"/>
          <w:szCs w:val="21"/>
        </w:rPr>
        <w:t>况且，不直接参与公司日常经营，但通过审查、审批、通知等方式在一定程度上参与管理是</w:t>
      </w:r>
      <w:r>
        <w:rPr>
          <w:rFonts w:hint="eastAsia" w:ascii="宋体" w:hAnsi="宋体" w:eastAsia="宋体" w:cs="宋体"/>
          <w:sz w:val="21"/>
          <w:szCs w:val="21"/>
          <w:lang w:val="en-US" w:eastAsia="zh-CN"/>
        </w:rPr>
        <w:t>我国投融资实践中投资方的通常操作</w:t>
      </w:r>
      <w:r>
        <w:rPr>
          <w:rFonts w:hint="eastAsia" w:ascii="宋体" w:hAnsi="宋体" w:eastAsia="宋体" w:cs="宋体"/>
          <w:sz w:val="21"/>
          <w:szCs w:val="21"/>
          <w:lang w:eastAsia="zh-CN"/>
        </w:rPr>
        <w:t>，</w:t>
      </w:r>
      <w:r>
        <w:rPr>
          <w:rStyle w:val="13"/>
          <w:rFonts w:hint="eastAsia" w:ascii="宋体" w:hAnsi="宋体" w:eastAsia="宋体" w:cs="宋体"/>
          <w:sz w:val="21"/>
          <w:szCs w:val="21"/>
        </w:rPr>
        <w:footnoteReference w:id="23"/>
      </w:r>
      <w:r>
        <w:rPr>
          <w:rFonts w:hint="eastAsia" w:ascii="宋体" w:hAnsi="宋体" w:eastAsia="宋体" w:cs="宋体"/>
          <w:sz w:val="21"/>
          <w:szCs w:val="21"/>
          <w:lang w:val="en-US" w:eastAsia="zh-CN"/>
        </w:rPr>
        <w:t>无法以其作为确定投资性质的依据。</w:t>
      </w:r>
      <w:r>
        <w:rPr>
          <w:rFonts w:hint="eastAsia" w:ascii="宋体" w:hAnsi="宋体" w:eastAsia="宋体" w:cs="宋体"/>
          <w:sz w:val="21"/>
          <w:szCs w:val="21"/>
        </w:rPr>
        <w:t>因此，仅以经营管理标准难以区分二者。</w:t>
      </w:r>
    </w:p>
    <w:p w14:paraId="550B7D69">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从风险收益标准来看，其一，对赌协议投资方并非如单纯的股权投资一般承担经营风险，获取股权收益。对赌协议系通过合同手段打破标准的公司利益与风险分配格局，</w:t>
      </w:r>
      <w:r>
        <w:rPr>
          <w:rStyle w:val="13"/>
          <w:rFonts w:hint="eastAsia" w:ascii="宋体" w:hAnsi="宋体" w:eastAsia="宋体" w:cs="宋体"/>
          <w:sz w:val="21"/>
          <w:szCs w:val="21"/>
        </w:rPr>
        <w:footnoteReference w:id="24"/>
      </w:r>
      <w:r>
        <w:rPr>
          <w:rFonts w:hint="eastAsia" w:ascii="宋体" w:hAnsi="宋体" w:eastAsia="宋体" w:cs="宋体"/>
          <w:sz w:val="21"/>
          <w:szCs w:val="21"/>
        </w:rPr>
        <w:t>呈现出“上不封顶，下有保底”的基本特征。当无法通过股权收益实现投资目的时，股东可以通过回购条款最终实现退出，从而有别于作为剩余索取权人的公司股东。其二，明股实债投资方亦非不承担经营风险，仅获得固定收益。即使将其认定为公司债权人，有限责任导致的逆向激励亦构成债权的代理成本，</w:t>
      </w:r>
      <w:r>
        <w:rPr>
          <w:rStyle w:val="13"/>
          <w:rFonts w:hint="eastAsia" w:ascii="宋体" w:hAnsi="宋体" w:eastAsia="宋体" w:cs="宋体"/>
          <w:sz w:val="21"/>
          <w:szCs w:val="21"/>
        </w:rPr>
        <w:footnoteReference w:id="25"/>
      </w:r>
      <w:r>
        <w:rPr>
          <w:rFonts w:hint="eastAsia" w:ascii="宋体" w:hAnsi="宋体" w:eastAsia="宋体" w:cs="宋体"/>
          <w:sz w:val="21"/>
          <w:szCs w:val="21"/>
        </w:rPr>
        <w:t>其仍应面对公司经营失败的剩余商业风险。</w:t>
      </w:r>
      <w:r>
        <w:rPr>
          <w:rStyle w:val="13"/>
          <w:rFonts w:hint="eastAsia" w:ascii="宋体" w:hAnsi="宋体" w:eastAsia="宋体" w:cs="宋体"/>
          <w:sz w:val="21"/>
          <w:szCs w:val="21"/>
        </w:rPr>
        <w:footnoteReference w:id="26"/>
      </w:r>
      <w:r>
        <w:rPr>
          <w:rFonts w:hint="eastAsia" w:ascii="宋体" w:hAnsi="宋体" w:eastAsia="宋体" w:cs="宋体"/>
          <w:sz w:val="21"/>
          <w:szCs w:val="21"/>
        </w:rPr>
        <w:t>而且，在涉及公司破产等特殊情形时，法院通常会运用商事外观主义法理将投资方认定为公司股东，使其实际承担公司经营风险。</w:t>
      </w:r>
      <w:r>
        <w:rPr>
          <w:rStyle w:val="13"/>
          <w:rFonts w:hint="eastAsia" w:ascii="宋体" w:hAnsi="宋体" w:eastAsia="宋体" w:cs="宋体"/>
          <w:sz w:val="21"/>
          <w:szCs w:val="21"/>
        </w:rPr>
        <w:footnoteReference w:id="27"/>
      </w:r>
      <w:r>
        <w:rPr>
          <w:rFonts w:hint="eastAsia" w:ascii="宋体" w:hAnsi="宋体" w:eastAsia="宋体" w:cs="宋体"/>
          <w:sz w:val="21"/>
          <w:szCs w:val="21"/>
        </w:rPr>
        <w:t>在股权价值増加的场景下，明股实债投资方基于自身利益考量亦会要求以股权投资对待案涉交易。可见，投资者是否承担经营风险、享有经营收益往往依赖于合同定性，应用该标准难免陷入循环论证的误区。</w:t>
      </w:r>
    </w:p>
    <w:p w14:paraId="34D71550">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从合同目的标准来看，目的的规范意义多被解读为等同当事人真意，能够决定合同性质。</w:t>
      </w:r>
      <w:r>
        <w:rPr>
          <w:rStyle w:val="13"/>
          <w:rFonts w:hint="eastAsia" w:ascii="宋体" w:hAnsi="宋体" w:eastAsia="宋体" w:cs="宋体"/>
          <w:sz w:val="21"/>
          <w:szCs w:val="21"/>
        </w:rPr>
        <w:footnoteReference w:id="28"/>
      </w:r>
      <w:r>
        <w:rPr>
          <w:rFonts w:hint="eastAsia" w:ascii="宋体" w:hAnsi="宋体" w:eastAsia="宋体" w:cs="宋体"/>
          <w:sz w:val="21"/>
          <w:szCs w:val="21"/>
        </w:rPr>
        <w:t>但是，目的只是当事人的主观追求，而合同才是当事人实现意思自治的手段</w:t>
      </w:r>
      <w:r>
        <w:rPr>
          <w:rFonts w:hint="eastAsia" w:ascii="宋体" w:hAnsi="宋体" w:eastAsia="宋体" w:cs="宋体"/>
          <w:sz w:val="21"/>
          <w:szCs w:val="21"/>
          <w:lang w:eastAsia="zh-CN"/>
        </w:rPr>
        <w:t>。</w:t>
      </w:r>
      <w:r>
        <w:rPr>
          <w:rStyle w:val="13"/>
          <w:rFonts w:hint="eastAsia" w:ascii="宋体" w:hAnsi="宋体" w:eastAsia="宋体" w:cs="宋体"/>
          <w:sz w:val="21"/>
          <w:szCs w:val="21"/>
        </w:rPr>
        <w:footnoteReference w:id="29"/>
      </w:r>
      <w:r>
        <w:rPr>
          <w:rFonts w:hint="eastAsia"/>
        </w:rPr>
        <w:t>当事人目的通常仅为意思表示解释的参考要素，</w:t>
      </w:r>
      <w:r>
        <w:rPr>
          <w:rFonts w:hint="eastAsia"/>
          <w:lang w:val="en-US" w:eastAsia="zh-CN"/>
        </w:rPr>
        <w:t>原则上不应</w:t>
      </w:r>
      <w:r>
        <w:rPr>
          <w:rFonts w:hint="eastAsia"/>
        </w:rPr>
        <w:t>对法律行为定性起决定性作用</w:t>
      </w:r>
      <w:r>
        <w:rPr>
          <w:rFonts w:hint="eastAsia"/>
          <w:lang w:eastAsia="zh-CN"/>
        </w:rPr>
        <w:t>。</w:t>
      </w:r>
      <w:r>
        <w:rPr>
          <w:rStyle w:val="13"/>
          <w:rFonts w:hint="eastAsia"/>
        </w:rPr>
        <w:footnoteReference w:id="30"/>
      </w:r>
      <w:r>
        <w:rPr>
          <w:rFonts w:hint="eastAsia" w:ascii="宋体" w:hAnsi="宋体" w:eastAsia="宋体" w:cs="宋体"/>
          <w:sz w:val="21"/>
          <w:szCs w:val="21"/>
        </w:rPr>
        <w:t>即使认定合同目的可以成为定性依据，在对赌协议与明股实债典型交易目的并非清晰的情况下，司法实践很难凭借合同目的区分二者。例如，有法院在分析案涉合同“对赌保护性退出机制”的法律性质时既采用《九民纪要》关于对赌协议交易目的的论述，又转而认为投资者在本案交易中的最终目的并非取得目标公司股权，仅是为了获取固定收益，</w:t>
      </w:r>
      <w:r>
        <w:rPr>
          <w:rStyle w:val="13"/>
          <w:rFonts w:hint="eastAsia" w:ascii="宋体" w:hAnsi="宋体" w:eastAsia="宋体" w:cs="宋体"/>
          <w:sz w:val="21"/>
          <w:szCs w:val="21"/>
        </w:rPr>
        <w:footnoteReference w:id="31"/>
      </w:r>
      <w:r>
        <w:rPr>
          <w:rFonts w:hint="eastAsia" w:ascii="宋体" w:hAnsi="宋体" w:eastAsia="宋体" w:cs="宋体"/>
          <w:sz w:val="21"/>
          <w:szCs w:val="21"/>
        </w:rPr>
        <w:t>此种说理过于粗糙</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使得</w:t>
      </w:r>
      <w:r>
        <w:rPr>
          <w:rFonts w:hint="eastAsia" w:ascii="宋体" w:hAnsi="宋体" w:eastAsia="宋体" w:cs="宋体"/>
          <w:szCs w:val="21"/>
        </w:rPr>
        <w:t>裁判者无约束的价值衡量常被“合同目的”等概念所遮掩</w:t>
      </w:r>
      <w:r>
        <w:rPr>
          <w:rFonts w:hint="eastAsia" w:ascii="宋体" w:hAnsi="宋体" w:eastAsia="宋体" w:cs="宋体"/>
          <w:szCs w:val="21"/>
          <w:lang w:eastAsia="zh-CN"/>
        </w:rPr>
        <w:t>，</w:t>
      </w:r>
      <w:r>
        <w:rPr>
          <w:rFonts w:hint="eastAsia" w:ascii="宋体" w:hAnsi="宋体" w:eastAsia="宋体" w:cs="宋体"/>
          <w:szCs w:val="21"/>
        </w:rPr>
        <w:t>极易导致对当事人的自治形成不当压制</w:t>
      </w:r>
      <w:r>
        <w:rPr>
          <w:rFonts w:hint="eastAsia" w:ascii="宋体" w:hAnsi="宋体" w:eastAsia="宋体" w:cs="宋体"/>
          <w:sz w:val="21"/>
          <w:szCs w:val="21"/>
        </w:rPr>
        <w:t>。</w:t>
      </w:r>
      <w:r>
        <w:rPr>
          <w:rStyle w:val="13"/>
          <w:rFonts w:hint="eastAsia" w:ascii="宋体" w:hAnsi="宋体" w:eastAsia="宋体" w:cs="宋体"/>
          <w:sz w:val="21"/>
          <w:szCs w:val="21"/>
        </w:rPr>
        <w:footnoteReference w:id="32"/>
      </w:r>
      <w:r>
        <w:rPr>
          <w:rFonts w:hint="eastAsia" w:ascii="宋体" w:hAnsi="宋体" w:eastAsia="宋体" w:cs="宋体"/>
          <w:sz w:val="21"/>
          <w:szCs w:val="21"/>
        </w:rPr>
        <w:t>究其根源，投融资领域当事人交易目的具有复合性，</w:t>
      </w:r>
      <w:r>
        <w:rPr>
          <w:rFonts w:hint="eastAsia" w:ascii="宋体" w:hAnsi="宋体" w:eastAsia="宋体" w:cs="宋体"/>
          <w:sz w:val="21"/>
          <w:szCs w:val="21"/>
          <w:lang w:val="en-US" w:eastAsia="zh-CN"/>
        </w:rPr>
        <w:t>单一</w:t>
      </w:r>
      <w:r>
        <w:rPr>
          <w:rFonts w:hint="eastAsia" w:ascii="宋体" w:hAnsi="宋体" w:eastAsia="宋体" w:cs="宋体"/>
          <w:sz w:val="21"/>
          <w:szCs w:val="21"/>
        </w:rPr>
        <w:t>化的合同目的</w:t>
      </w:r>
      <w:r>
        <w:rPr>
          <w:rFonts w:hint="eastAsia" w:ascii="宋体" w:hAnsi="宋体" w:eastAsia="宋体" w:cs="宋体"/>
          <w:sz w:val="21"/>
          <w:szCs w:val="21"/>
          <w:lang w:val="en-US" w:eastAsia="zh-CN"/>
        </w:rPr>
        <w:t>仅关注交易结构的不同侧面，但</w:t>
      </w:r>
      <w:r>
        <w:rPr>
          <w:rFonts w:hint="eastAsia" w:ascii="宋体" w:hAnsi="宋体" w:eastAsia="宋体" w:cs="宋体"/>
          <w:sz w:val="21"/>
          <w:szCs w:val="21"/>
        </w:rPr>
        <w:t>难以把握交易结构全貌</w:t>
      </w:r>
      <w:r>
        <w:rPr>
          <w:rFonts w:hint="eastAsia" w:ascii="宋体" w:hAnsi="宋体" w:eastAsia="宋体" w:cs="宋体"/>
          <w:sz w:val="21"/>
          <w:szCs w:val="21"/>
          <w:lang w:eastAsia="zh-CN"/>
        </w:rPr>
        <w:t>。</w:t>
      </w:r>
    </w:p>
    <w:p w14:paraId="3A5974AE">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与上述标准不同，附款类型标准以附条件回购认定对赌协议，而以附期限回购认定明股实债，</w:t>
      </w:r>
      <w:r>
        <w:rPr>
          <w:rStyle w:val="13"/>
          <w:rFonts w:hint="eastAsia" w:ascii="宋体" w:hAnsi="宋体" w:eastAsia="宋体" w:cs="宋体"/>
          <w:szCs w:val="21"/>
        </w:rPr>
        <w:footnoteReference w:id="33"/>
      </w:r>
      <w:r>
        <w:rPr>
          <w:rFonts w:hint="eastAsia" w:ascii="宋体" w:hAnsi="宋体" w:eastAsia="宋体" w:cs="宋体"/>
          <w:sz w:val="21"/>
          <w:szCs w:val="21"/>
        </w:rPr>
        <w:t>在理论上似乎更有说服力，但仍存在以下几点值得商榷：其一，条件成就与否属不确定事项，而期限终将届至或届满，二者似乎泾渭分明，但仍存在边界地带模糊不清，需根据具体情况进一步探究当事人的真实意思，</w:t>
      </w:r>
      <w:r>
        <w:rPr>
          <w:rStyle w:val="13"/>
          <w:rFonts w:hint="eastAsia" w:ascii="宋体" w:hAnsi="宋体" w:eastAsia="宋体" w:cs="宋体"/>
          <w:sz w:val="21"/>
          <w:szCs w:val="21"/>
        </w:rPr>
        <w:footnoteReference w:id="34"/>
      </w:r>
      <w:r>
        <w:rPr>
          <w:rFonts w:hint="eastAsia" w:ascii="宋体" w:hAnsi="宋体" w:eastAsia="宋体" w:cs="宋体"/>
          <w:sz w:val="21"/>
          <w:szCs w:val="21"/>
        </w:rPr>
        <w:t>这无疑增加了司法裁判中的解释成本。其二，同一法律行为完全可能既附条件，又附期限，回购条款如此约定时案涉交易应如何定性，存在疑问。其三，附期限回购与明股实债的解释逻辑相悖：若以债权投资解释明股实债，借款期限届至后公司作为借款人有义务以回购股权的方式返还借款，投资方应确定地行使回购权以结束债权投资关系。而按照附期限回购的解释逻辑，期限届至后回购条款发生法律效力，明股实债投资者有权请求公司回购其股权，但并不负有行使回购权的义务。一旦投资方放弃行使回购权，则必然会出现借款人无法履行还款义务的逻辑悖论，此时双方投资关系存续与否、性质为何难以解释。</w:t>
      </w:r>
    </w:p>
    <w:p w14:paraId="14DE1027">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30" w:name="_Toc24206"/>
      <w:bookmarkStart w:id="31" w:name="_Toc28670"/>
      <w:bookmarkStart w:id="32" w:name="_Toc21681"/>
      <w:bookmarkStart w:id="33" w:name="_Toc19262"/>
      <w:bookmarkStart w:id="34" w:name="_Toc3906"/>
      <w:bookmarkStart w:id="35" w:name="_Toc6596"/>
      <w:r>
        <w:rPr>
          <w:rFonts w:hint="eastAsia" w:ascii="华文楷体" w:hAnsi="华文楷体" w:eastAsia="华文楷体" w:cstheme="minorBidi"/>
          <w:b w:val="0"/>
          <w:bCs w:val="0"/>
          <w:kern w:val="2"/>
          <w:sz w:val="24"/>
          <w:szCs w:val="24"/>
          <w:lang w:val="en-GB" w:eastAsia="zh-CN" w:bidi="ar-SA"/>
        </w:rPr>
        <w:t>（二）对赌协议与明股实债</w:t>
      </w:r>
      <w:bookmarkEnd w:id="30"/>
      <w:bookmarkEnd w:id="31"/>
      <w:bookmarkEnd w:id="32"/>
      <w:bookmarkEnd w:id="33"/>
      <w:r>
        <w:rPr>
          <w:rFonts w:hint="eastAsia" w:ascii="华文楷体" w:hAnsi="华文楷体" w:eastAsia="华文楷体" w:cstheme="minorBidi"/>
          <w:b w:val="0"/>
          <w:bCs w:val="0"/>
          <w:kern w:val="2"/>
          <w:sz w:val="24"/>
          <w:szCs w:val="24"/>
          <w:lang w:val="en-GB" w:eastAsia="zh-CN" w:bidi="ar-SA"/>
        </w:rPr>
        <w:t>具有股债融合的共同属性</w:t>
      </w:r>
      <w:bookmarkEnd w:id="34"/>
    </w:p>
    <w:p w14:paraId="261E72F3">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上述区分标准在理论上难以成立的根本原因在于对赌协议与明股实债具有股债融合的共同属性。谈及公司融资，将最为简单的股权与债权工具相比较固然便捷，但这不会掩盖实践中公司发行的融资工具灵活多变这一事实。</w:t>
      </w:r>
      <w:r>
        <w:rPr>
          <w:rStyle w:val="13"/>
          <w:rFonts w:hint="eastAsia" w:ascii="宋体" w:hAnsi="宋体" w:eastAsia="宋体" w:cs="宋体"/>
          <w:sz w:val="21"/>
          <w:szCs w:val="21"/>
        </w:rPr>
        <w:footnoteReference w:id="35"/>
      </w:r>
      <w:r>
        <w:rPr>
          <w:rFonts w:hint="eastAsia" w:ascii="宋体" w:hAnsi="宋体" w:eastAsia="宋体" w:cs="宋体"/>
          <w:sz w:val="21"/>
          <w:szCs w:val="21"/>
        </w:rPr>
        <w:t>简单地将对赌协议归于“股”、将明股实债归于“债”，终究只能关注到交易的不同侧面，无法完整揭示其股债融合的本质属性。</w:t>
      </w:r>
    </w:p>
    <w:p w14:paraId="792C9264">
      <w:pPr>
        <w:pageBreakBefore w:val="0"/>
        <w:kinsoku/>
        <w:wordWrap/>
        <w:overflowPunct/>
        <w:topLinePunct w:val="0"/>
        <w:autoSpaceDE/>
        <w:autoSpaceDN/>
        <w:bidi w:val="0"/>
        <w:adjustRightInd/>
        <w:spacing w:line="240" w:lineRule="auto"/>
        <w:ind w:firstLine="420" w:firstLineChars="200"/>
        <w:textAlignment w:val="auto"/>
        <w:rPr>
          <w:rStyle w:val="13"/>
          <w:rFonts w:hint="eastAsia" w:ascii="宋体" w:hAnsi="宋体" w:eastAsia="宋体" w:cs="宋体"/>
          <w:sz w:val="21"/>
          <w:szCs w:val="21"/>
        </w:rPr>
      </w:pPr>
      <w:r>
        <w:rPr>
          <w:rFonts w:hint="eastAsia" w:ascii="宋体" w:hAnsi="宋体" w:eastAsia="宋体" w:cs="宋体"/>
          <w:sz w:val="21"/>
          <w:szCs w:val="21"/>
        </w:rPr>
        <w:t>股和债不仅是两种不同的融资工具，而且是两种不同的治理结构。资产专用性越高，企业越偏好股权融资；反之则更倾向于债务融资。</w:t>
      </w:r>
      <w:r>
        <w:rPr>
          <w:rStyle w:val="13"/>
          <w:rFonts w:hint="eastAsia" w:ascii="宋体" w:hAnsi="宋体" w:eastAsia="宋体" w:cs="宋体"/>
          <w:sz w:val="21"/>
          <w:szCs w:val="21"/>
        </w:rPr>
        <w:footnoteReference w:id="36"/>
      </w:r>
      <w:bookmarkStart w:id="36" w:name="_Toc6674"/>
      <w:bookmarkStart w:id="37" w:name="_Toc10204"/>
      <w:r>
        <w:rPr>
          <w:rFonts w:hint="eastAsia" w:ascii="宋体" w:hAnsi="宋体" w:eastAsia="宋体" w:cs="宋体"/>
          <w:sz w:val="21"/>
          <w:szCs w:val="21"/>
        </w:rPr>
        <w:t>在股债的融资光谱之间存在无数种融资模式，既无法简单通过概念予以界定，也很难为之设定单一标准。</w:t>
      </w:r>
      <w:r>
        <w:rPr>
          <w:rStyle w:val="13"/>
          <w:rFonts w:hint="eastAsia" w:ascii="宋体" w:hAnsi="宋体" w:eastAsia="宋体" w:cs="宋体"/>
          <w:sz w:val="21"/>
          <w:szCs w:val="21"/>
        </w:rPr>
        <w:footnoteReference w:id="37"/>
      </w:r>
      <w:r>
        <w:rPr>
          <w:rFonts w:hint="eastAsia" w:ascii="宋体" w:hAnsi="宋体" w:eastAsia="宋体" w:cs="宋体"/>
          <w:sz w:val="21"/>
          <w:szCs w:val="21"/>
        </w:rPr>
        <w:t>遗憾的是，我国公司立法长期对于融资创新持保守态度，有限公司鲜有股债之外的融资选择，既有的资本维持模式又呈现出过度规制、宽严失度等系统性缺憾。</w:t>
      </w:r>
      <w:r>
        <w:rPr>
          <w:rStyle w:val="13"/>
          <w:rFonts w:hint="eastAsia" w:ascii="宋体" w:hAnsi="宋体" w:eastAsia="宋体" w:cs="宋体"/>
          <w:sz w:val="21"/>
          <w:szCs w:val="21"/>
        </w:rPr>
        <w:footnoteReference w:id="38"/>
      </w:r>
      <w:r>
        <w:rPr>
          <w:rFonts w:hint="eastAsia" w:ascii="宋体" w:hAnsi="宋体" w:eastAsia="宋体" w:cs="宋体"/>
          <w:sz w:val="21"/>
          <w:szCs w:val="21"/>
        </w:rPr>
        <w:t>规范供给不足加之投融资领域的专业缺失与经验匮乏，导致当事人难以对融资合同作出细致安排，只能尝试通过事后补偿或回购的合同形式作为风险控制，</w:t>
      </w:r>
      <w:r>
        <w:rPr>
          <w:rStyle w:val="13"/>
          <w:rFonts w:hint="eastAsia" w:ascii="宋体" w:hAnsi="宋体" w:eastAsia="宋体" w:cs="宋体"/>
          <w:sz w:val="21"/>
          <w:szCs w:val="21"/>
        </w:rPr>
        <w:footnoteReference w:id="39"/>
      </w:r>
      <w:r>
        <w:rPr>
          <w:rFonts w:hint="eastAsia" w:ascii="宋体" w:hAnsi="宋体" w:eastAsia="宋体" w:cs="宋体"/>
          <w:sz w:val="21"/>
          <w:szCs w:val="21"/>
        </w:rPr>
        <w:t>由此形成对赌协议和明股实债等具有中国特色的股债融合安排。此种安排的经济逻辑在于：由于合同存在不完全性，投资方事前的专用性投资在事后的重新谈判过程中可能面临被敲竹杠的风险，进而造成投资的无效率。</w:t>
      </w:r>
      <w:r>
        <w:rPr>
          <w:rStyle w:val="13"/>
          <w:rFonts w:hint="eastAsia" w:ascii="宋体" w:hAnsi="宋体" w:eastAsia="宋体" w:cs="宋体"/>
          <w:sz w:val="21"/>
          <w:szCs w:val="21"/>
        </w:rPr>
        <w:footnoteReference w:id="40"/>
      </w:r>
      <w:r>
        <w:rPr>
          <w:rFonts w:hint="eastAsia" w:ascii="宋体" w:hAnsi="宋体" w:eastAsia="宋体" w:cs="宋体"/>
          <w:sz w:val="21"/>
          <w:szCs w:val="21"/>
        </w:rPr>
        <w:t>股债融合型融资通过增加一层协调交易成本的激励、约束的治理机制以回应这一问题，能够显著降低投融资领域高昂的交易成本。</w:t>
      </w:r>
      <w:r>
        <w:rPr>
          <w:rStyle w:val="13"/>
          <w:rFonts w:hint="eastAsia" w:ascii="宋体" w:hAnsi="宋体" w:eastAsia="宋体" w:cs="宋体"/>
          <w:sz w:val="21"/>
          <w:szCs w:val="21"/>
        </w:rPr>
        <w:footnoteReference w:id="41"/>
      </w:r>
    </w:p>
    <w:p w14:paraId="3DF8F66C">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具体而言，相较于单纯的股权投资，对赌协议具有解决交易双方对目标公司未来发展的不确定性、信息不对称以及代理成本等问题的特殊功能，这依托于其股权属性以外的债权属性，体现为投资方在特定情形下享有的股权回购权。此项权利不仅重新分配投融资双方风险负担，减少投资方股权投资的套牢风险；亦降低投资方代理成本，赋予其“用脚投票”的特殊权利，成为其经济合理性得到肯定的根本原因。相较于此，所谓明股实债的认定模式却刻意忽略了股债融合型融资中的股权属性，本质上是以有名合同规则强行“解释”当事人意思，超越当事人原有的交易架构。</w:t>
      </w:r>
      <w:r>
        <w:rPr>
          <w:rStyle w:val="13"/>
          <w:rFonts w:hint="eastAsia" w:ascii="宋体" w:hAnsi="宋体" w:eastAsia="宋体" w:cs="宋体"/>
          <w:sz w:val="21"/>
          <w:szCs w:val="21"/>
        </w:rPr>
        <w:footnoteReference w:id="42"/>
      </w:r>
      <w:r>
        <w:rPr>
          <w:rFonts w:hint="eastAsia" w:ascii="宋体" w:hAnsi="宋体" w:eastAsia="宋体" w:cs="宋体"/>
          <w:sz w:val="21"/>
          <w:szCs w:val="21"/>
        </w:rPr>
        <w:t>以股权投资的方式向目标公司投入资金，在特定期限届满后享有请求目标公司以特定价格回购股权的权利，本质上属于以目标公司为对手方的卖出期权。此种权利设置具有鲜明的股债融合属性，与对赌协议的经济逻辑保持一致，而与到期还本付息的债权投资判然有别。</w:t>
      </w:r>
    </w:p>
    <w:bookmarkEnd w:id="35"/>
    <w:bookmarkEnd w:id="36"/>
    <w:bookmarkEnd w:id="37"/>
    <w:p w14:paraId="13125CE3">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38" w:name="_Toc4613"/>
      <w:r>
        <w:rPr>
          <w:rFonts w:hint="eastAsia" w:ascii="华文楷体" w:hAnsi="华文楷体" w:eastAsia="华文楷体" w:cstheme="minorBidi"/>
          <w:b w:val="0"/>
          <w:bCs w:val="0"/>
          <w:kern w:val="2"/>
          <w:sz w:val="24"/>
          <w:szCs w:val="24"/>
          <w:lang w:val="en-GB" w:eastAsia="zh-CN" w:bidi="ar-SA"/>
        </w:rPr>
        <w:t>（三）股债融合的规范逻辑应融贯合同法与组织法</w:t>
      </w:r>
      <w:bookmarkEnd w:id="38"/>
    </w:p>
    <w:p w14:paraId="4282272A">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股债融合法律适用的理想状态为合同法与组织法的协调融贯。就对赌协议与明股实债的法律适用而言，由于对二者股债融合性质的认识存在差异，两类裁判中形成的规范逻辑亦有所不同。</w:t>
      </w:r>
    </w:p>
    <w:p w14:paraId="162540AA">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具体而言，对赌协议裁判规则将组织法的介入时点从合同效力认定阶段后移至合同履行阶段，虽非完美，却能搁置争议，满足法律适用的安定性需求。</w:t>
      </w:r>
      <w:r>
        <w:rPr>
          <w:rStyle w:val="13"/>
          <w:rFonts w:hint="eastAsia" w:ascii="宋体" w:hAnsi="宋体" w:eastAsia="宋体" w:cs="宋体"/>
          <w:sz w:val="21"/>
          <w:szCs w:val="21"/>
        </w:rPr>
        <w:footnoteReference w:id="43"/>
      </w:r>
      <w:r>
        <w:rPr>
          <w:rFonts w:hint="eastAsia" w:ascii="宋体" w:hAnsi="宋体" w:eastAsia="宋体" w:cs="宋体"/>
          <w:sz w:val="21"/>
          <w:szCs w:val="21"/>
        </w:rPr>
        <w:t>同为股债融合型融资合同，一旦案涉合同被定性为明股实债，相关纠纷的法律适用却仅局限于合同法逻辑而忽略组织法面向，由此形成了为规避债权人保护规则而产生的定性之争。此种穿透式审判的适用逻辑值得商榷：首先，运用穿透式审判思维的一个重要目的在于通过金融司法与监管的有效协同实现金融风险治理，</w:t>
      </w:r>
      <w:r>
        <w:rPr>
          <w:rStyle w:val="13"/>
          <w:rFonts w:hint="eastAsia" w:ascii="宋体" w:hAnsi="宋体" w:eastAsia="宋体" w:cs="宋体"/>
          <w:sz w:val="21"/>
          <w:szCs w:val="21"/>
        </w:rPr>
        <w:footnoteReference w:id="44"/>
      </w:r>
      <w:r>
        <w:rPr>
          <w:rFonts w:hint="eastAsia" w:ascii="宋体" w:hAnsi="宋体" w:eastAsia="宋体" w:cs="宋体"/>
          <w:sz w:val="21"/>
          <w:szCs w:val="21"/>
        </w:rPr>
        <w:t>然而，从裁判规则演进的历史来看，类似穿透式审判的裁判方法在明股实债纠纷中的出现甚至早于穿透式监管，这表明明股实债的认定最初无涉金融风险与金融监管，更与穿透式审判思维运用无关。</w:t>
      </w:r>
      <w:r>
        <w:rPr>
          <w:rStyle w:val="13"/>
          <w:rFonts w:hint="eastAsia" w:ascii="宋体" w:hAnsi="宋体" w:eastAsia="宋体" w:cs="宋体"/>
          <w:sz w:val="21"/>
          <w:szCs w:val="21"/>
        </w:rPr>
        <w:footnoteReference w:id="45"/>
      </w:r>
      <w:r>
        <w:rPr>
          <w:rFonts w:hint="eastAsia" w:ascii="宋体" w:hAnsi="宋体" w:eastAsia="宋体" w:cs="宋体"/>
          <w:sz w:val="21"/>
          <w:szCs w:val="21"/>
        </w:rPr>
        <w:t>其次，注重形式逻辑恐怕是商法最有魅力的表现，</w:t>
      </w:r>
      <w:r>
        <w:rPr>
          <w:rStyle w:val="13"/>
          <w:rFonts w:hint="eastAsia" w:ascii="宋体" w:hAnsi="宋体" w:eastAsia="宋体" w:cs="宋体"/>
          <w:sz w:val="21"/>
          <w:szCs w:val="21"/>
        </w:rPr>
        <w:footnoteReference w:id="46"/>
      </w:r>
      <w:r>
        <w:rPr>
          <w:rFonts w:hint="eastAsia" w:ascii="宋体" w:hAnsi="宋体" w:eastAsia="宋体" w:cs="宋体"/>
          <w:sz w:val="21"/>
          <w:szCs w:val="21"/>
        </w:rPr>
        <w:t>而穿透式审判思维无疑成为商事外观主义和形式逻辑的例外和挑战。</w:t>
      </w:r>
      <w:r>
        <w:rPr>
          <w:rStyle w:val="13"/>
          <w:rFonts w:hint="eastAsia" w:ascii="宋体" w:hAnsi="宋体" w:eastAsia="宋体" w:cs="宋体"/>
          <w:sz w:val="21"/>
          <w:szCs w:val="21"/>
        </w:rPr>
        <w:footnoteReference w:id="47"/>
      </w:r>
      <w:r>
        <w:rPr>
          <w:rFonts w:hint="eastAsia" w:ascii="宋体" w:hAnsi="宋体" w:eastAsia="宋体" w:cs="宋体"/>
          <w:sz w:val="21"/>
          <w:szCs w:val="21"/>
        </w:rPr>
        <w:t>将明股实债认定为规避行为，再以通谋虚伪规则作为法律依据，否定其表面交易效力，实乃该规则适用之泛化。</w:t>
      </w:r>
      <w:r>
        <w:rPr>
          <w:rStyle w:val="13"/>
          <w:rFonts w:hint="eastAsia" w:ascii="宋体" w:hAnsi="宋体" w:eastAsia="宋体" w:cs="宋体"/>
          <w:sz w:val="21"/>
          <w:szCs w:val="21"/>
        </w:rPr>
        <w:footnoteReference w:id="48"/>
      </w:r>
      <w:r>
        <w:rPr>
          <w:rFonts w:hint="eastAsia" w:ascii="宋体" w:hAnsi="宋体" w:eastAsia="宋体" w:cs="宋体"/>
          <w:sz w:val="21"/>
          <w:szCs w:val="21"/>
        </w:rPr>
        <w:t>最后，明股实债交易中当事人确实追求发生股权变动的法律后果，不应以当事人效果意思具有复合性而顾此失彼，否定其股权效力。若于明股实债交易中进行穿透，则基于相似的理由对赌协议亦无法作为独立的合同类型存在。</w:t>
      </w:r>
    </w:p>
    <w:p w14:paraId="2E2E7B6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进言之，是否穿透所涉自治与管制的平衡归根到底属于合同解释及合同评价问题，局限于合同法框架内而始终没有嵌入组织法逻辑。组织法的基本功能是提供无法通过合同约定</w:t>
      </w:r>
      <w:r>
        <w:rPr>
          <w:rFonts w:hint="eastAsia" w:ascii="宋体" w:hAnsi="宋体" w:eastAsia="宋体" w:cs="宋体"/>
          <w:sz w:val="21"/>
          <w:szCs w:val="21"/>
          <w:lang w:val="en-US" w:eastAsia="zh-CN"/>
        </w:rPr>
        <w:t>的</w:t>
      </w:r>
      <w:r>
        <w:rPr>
          <w:rFonts w:hint="eastAsia" w:ascii="宋体" w:hAnsi="宋体" w:eastAsia="宋体" w:cs="宋体"/>
          <w:sz w:val="21"/>
          <w:szCs w:val="21"/>
        </w:rPr>
        <w:t>资产分割</w:t>
      </w:r>
      <w:r>
        <w:rPr>
          <w:rFonts w:hint="eastAsia" w:ascii="宋体" w:hAnsi="宋体" w:eastAsia="宋体" w:cs="宋体"/>
          <w:sz w:val="21"/>
          <w:szCs w:val="21"/>
          <w:lang w:val="en-US" w:eastAsia="zh-CN"/>
        </w:rPr>
        <w:t>模式</w:t>
      </w:r>
      <w:r>
        <w:rPr>
          <w:rFonts w:hint="eastAsia" w:ascii="宋体" w:hAnsi="宋体" w:eastAsia="宋体" w:cs="宋体"/>
          <w:sz w:val="21"/>
          <w:szCs w:val="21"/>
        </w:rPr>
        <w:t>（</w:t>
      </w:r>
      <w:r>
        <w:rPr>
          <w:rFonts w:ascii="Times New Roman" w:hAnsi="Times New Roman" w:eastAsia="宋体" w:cs="Times New Roman"/>
          <w:sz w:val="21"/>
          <w:szCs w:val="21"/>
        </w:rPr>
        <w:t>asset partitioning</w:t>
      </w:r>
      <w:r>
        <w:rPr>
          <w:rFonts w:hint="eastAsia" w:ascii="宋体" w:hAnsi="宋体" w:eastAsia="宋体" w:cs="宋体"/>
          <w:sz w:val="21"/>
          <w:szCs w:val="21"/>
        </w:rPr>
        <w:t>）。资产分割的核心并非有限责任，而是实体防御（</w:t>
      </w:r>
      <w:r>
        <w:rPr>
          <w:rFonts w:hint="eastAsia" w:ascii="Times New Roman" w:hAnsi="Times New Roman" w:eastAsia="宋体" w:cs="Times New Roman"/>
          <w:sz w:val="21"/>
          <w:szCs w:val="21"/>
        </w:rPr>
        <w:t>entity shielding）</w:t>
      </w:r>
      <w:r>
        <w:rPr>
          <w:rFonts w:hint="eastAsia" w:ascii="宋体" w:hAnsi="宋体" w:eastAsia="宋体" w:cs="宋体"/>
          <w:sz w:val="21"/>
          <w:szCs w:val="21"/>
        </w:rPr>
        <w:t>，即保护组织的资产免受其所有者债权人的追索。</w:t>
      </w:r>
      <w:r>
        <w:rPr>
          <w:rStyle w:val="13"/>
          <w:rFonts w:hint="eastAsia" w:ascii="宋体" w:hAnsi="宋体" w:eastAsia="宋体" w:cs="宋体"/>
          <w:sz w:val="21"/>
          <w:szCs w:val="21"/>
        </w:rPr>
        <w:footnoteReference w:id="49"/>
      </w:r>
      <w:r>
        <w:rPr>
          <w:rFonts w:hint="eastAsia" w:ascii="宋体" w:hAnsi="宋体" w:eastAsia="宋体" w:cs="宋体"/>
          <w:sz w:val="21"/>
          <w:szCs w:val="21"/>
        </w:rPr>
        <w:t>个别股东不得任意撤回投资，公司由此具有资本锁定效应，以股东出资为中心的公司资本制度具备不可或缺的债权人保护功能。</w:t>
      </w:r>
      <w:r>
        <w:rPr>
          <w:rStyle w:val="13"/>
          <w:rFonts w:hint="eastAsia" w:ascii="宋体" w:hAnsi="宋体" w:eastAsia="宋体" w:cs="宋体"/>
          <w:sz w:val="21"/>
          <w:szCs w:val="21"/>
        </w:rPr>
        <w:footnoteReference w:id="50"/>
      </w:r>
      <w:r>
        <w:rPr>
          <w:rFonts w:hint="eastAsia" w:ascii="宋体" w:hAnsi="宋体" w:eastAsia="宋体" w:cs="宋体"/>
          <w:sz w:val="21"/>
          <w:szCs w:val="21"/>
        </w:rPr>
        <w:t>股东必须与债权人进行个别谈判实现不同于公司法法定的风险承担。因此，无论司法如何尊重合同约定，一旦该约定触及组织制度红线，则必然难以对债权人发生普遍效力。从权利类型的角度看，财产权的本质属性是对世权，“权利法定类型化”是财产权法定主义得以实现的立法技术。</w:t>
      </w:r>
      <w:r>
        <w:rPr>
          <w:rStyle w:val="13"/>
          <w:rFonts w:hint="eastAsia" w:ascii="宋体" w:hAnsi="宋体" w:eastAsia="宋体" w:cs="宋体"/>
          <w:sz w:val="21"/>
          <w:szCs w:val="21"/>
        </w:rPr>
        <w:footnoteReference w:id="51"/>
      </w:r>
      <w:r>
        <w:rPr>
          <w:rFonts w:hint="eastAsia" w:ascii="宋体" w:hAnsi="宋体" w:eastAsia="宋体" w:cs="宋体"/>
          <w:sz w:val="21"/>
          <w:szCs w:val="21"/>
        </w:rPr>
        <w:t>债权人对于投资方权利的判断，需要客观的法律标准，而得以对抗债权人的投资方权利需经法律规定类型化，方可被债权人识别。股债融合型融资合同通过合同约定创设的复合型权利并未经法律规定，无法产生出得以对抗债权人的财产权效力。</w:t>
      </w:r>
    </w:p>
    <w:p w14:paraId="4840B007">
      <w:pPr>
        <w:rPr>
          <w:rFonts w:hint="eastAsia" w:ascii="黑体" w:hAnsi="黑体" w:eastAsia="黑体"/>
          <w:sz w:val="28"/>
          <w:szCs w:val="28"/>
        </w:rPr>
      </w:pPr>
      <w:bookmarkStart w:id="39" w:name="_Toc12015"/>
      <w:bookmarkStart w:id="40" w:name="_Toc11697"/>
      <w:bookmarkStart w:id="41" w:name="_Toc659"/>
      <w:bookmarkStart w:id="42" w:name="_Toc19080"/>
      <w:bookmarkStart w:id="43" w:name="_Toc11347"/>
      <w:bookmarkStart w:id="44" w:name="_Toc22150"/>
      <w:commentRangeStart w:id="1"/>
      <w:r>
        <w:rPr>
          <w:rFonts w:hint="eastAsia" w:ascii="黑体" w:hAnsi="黑体" w:eastAsia="黑体"/>
          <w:sz w:val="28"/>
          <w:szCs w:val="28"/>
        </w:rPr>
        <w:t>三、股债融合型融资合同定性路径的</w:t>
      </w:r>
      <w:bookmarkEnd w:id="39"/>
      <w:bookmarkEnd w:id="40"/>
      <w:bookmarkEnd w:id="41"/>
      <w:bookmarkEnd w:id="42"/>
      <w:r>
        <w:rPr>
          <w:rFonts w:hint="eastAsia" w:ascii="黑体" w:hAnsi="黑体" w:eastAsia="黑体"/>
          <w:sz w:val="28"/>
          <w:szCs w:val="28"/>
        </w:rPr>
        <w:t>完善方向</w:t>
      </w:r>
      <w:commentRangeEnd w:id="1"/>
      <w:bookmarkEnd w:id="43"/>
      <w:bookmarkEnd w:id="44"/>
      <w:r>
        <w:commentReference w:id="1"/>
      </w:r>
    </w:p>
    <w:p w14:paraId="74ADCA51">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对定性路径进行检讨与问题的根本解决之间仍存在距离。从短期看，受路径依赖影响，司法实践中定性先行的裁判模式难以陡然改变，如何从现实的角度对其加以优化完善，是当前亟待思考的问题。从长远看，若固守传统的定性路径，势必无法有效回应股债融合这一复杂事实，届时司法裁判应转向何种全新的模式以应对挑战，亦值得探索与展望。</w:t>
      </w:r>
    </w:p>
    <w:p w14:paraId="4A377418">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45" w:name="_Toc6421"/>
      <w:bookmarkStart w:id="46" w:name="_Toc31683"/>
      <w:bookmarkStart w:id="47" w:name="_Toc19114"/>
      <w:bookmarkStart w:id="48" w:name="_Toc26734"/>
      <w:r>
        <w:rPr>
          <w:rFonts w:hint="eastAsia" w:ascii="华文楷体" w:hAnsi="华文楷体" w:eastAsia="华文楷体" w:cstheme="minorBidi"/>
          <w:b w:val="0"/>
          <w:bCs w:val="0"/>
          <w:kern w:val="2"/>
          <w:sz w:val="24"/>
          <w:szCs w:val="24"/>
          <w:lang w:val="en-GB" w:eastAsia="zh-CN" w:bidi="ar-SA"/>
        </w:rPr>
        <w:t>（一）</w:t>
      </w:r>
      <w:bookmarkEnd w:id="45"/>
      <w:bookmarkEnd w:id="46"/>
      <w:bookmarkEnd w:id="47"/>
      <w:bookmarkEnd w:id="48"/>
      <w:r>
        <w:rPr>
          <w:rFonts w:hint="eastAsia" w:ascii="华文楷体" w:hAnsi="华文楷体" w:eastAsia="华文楷体" w:cstheme="minorBidi"/>
          <w:b w:val="0"/>
          <w:bCs w:val="0"/>
          <w:sz w:val="24"/>
          <w:szCs w:val="24"/>
          <w:lang w:val="en-US" w:eastAsia="zh-CN"/>
        </w:rPr>
        <w:t>当前</w:t>
      </w:r>
      <w:r>
        <w:rPr>
          <w:rFonts w:hint="eastAsia" w:ascii="华文楷体" w:hAnsi="华文楷体" w:eastAsia="华文楷体" w:cstheme="minorBidi"/>
          <w:b w:val="0"/>
          <w:bCs w:val="0"/>
          <w:sz w:val="24"/>
          <w:szCs w:val="24"/>
          <w:lang w:val="en-GB"/>
        </w:rPr>
        <w:t>应对：</w:t>
      </w:r>
      <w:r>
        <w:rPr>
          <w:rFonts w:hint="eastAsia" w:ascii="华文楷体" w:hAnsi="华文楷体" w:eastAsia="华文楷体" w:cstheme="minorBidi"/>
          <w:b w:val="0"/>
          <w:bCs w:val="0"/>
          <w:kern w:val="2"/>
          <w:sz w:val="24"/>
          <w:szCs w:val="24"/>
          <w:lang w:val="en-GB" w:eastAsia="zh-CN" w:bidi="ar-SA"/>
        </w:rPr>
        <w:t>沿用定性路径现实下的完善可能</w:t>
      </w:r>
    </w:p>
    <w:p w14:paraId="086F14E5">
      <w:pPr>
        <w:pageBreakBefore w:val="0"/>
        <w:kinsoku/>
        <w:wordWrap/>
        <w:overflowPunct/>
        <w:topLinePunct w:val="0"/>
        <w:autoSpaceDE/>
        <w:autoSpaceDN/>
        <w:bidi w:val="0"/>
        <w:adjustRightInd/>
        <w:spacing w:line="240" w:lineRule="auto"/>
        <w:ind w:firstLine="420" w:firstLineChars="200"/>
        <w:textAlignment w:val="auto"/>
        <w:rPr>
          <w:rFonts w:ascii="宋体" w:hAnsi="宋体" w:eastAsia="宋体" w:cs="宋体"/>
          <w:sz w:val="21"/>
          <w:szCs w:val="21"/>
        </w:rPr>
      </w:pPr>
      <w:r>
        <w:rPr>
          <w:rFonts w:hint="eastAsia" w:ascii="宋体" w:hAnsi="宋体" w:eastAsia="宋体" w:cs="宋体"/>
          <w:sz w:val="21"/>
          <w:szCs w:val="21"/>
        </w:rPr>
        <w:t>1. 对赌协议应作为股债融合型融资的典型合同</w:t>
      </w:r>
    </w:p>
    <w:p w14:paraId="43E0BA30">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对赌协议和明股实债两种类型本质相同，不应区别对待，应避免二分定性以实现法律适用的统一。就私法视域下的定性结果而言，可行的结果是以对赌协议涵盖明股实债，即以其作为典型合同统摄股债融合型融资合同，理由如下：首先，我国公司法理论对于对赌协议已经具备深厚的研究基础。于宏观层次，对赌协议与中国公司资本制度体系化再造密切相关。</w:t>
      </w:r>
      <w:r>
        <w:rPr>
          <w:rStyle w:val="13"/>
          <w:rFonts w:hint="eastAsia" w:ascii="宋体" w:hAnsi="宋体" w:eastAsia="宋体" w:cs="宋体"/>
          <w:sz w:val="21"/>
          <w:szCs w:val="21"/>
        </w:rPr>
        <w:footnoteReference w:id="52"/>
      </w:r>
      <w:r>
        <w:rPr>
          <w:rFonts w:hint="eastAsia" w:ascii="宋体" w:hAnsi="宋体" w:eastAsia="宋体" w:cs="宋体"/>
          <w:sz w:val="21"/>
          <w:szCs w:val="21"/>
        </w:rPr>
        <w:t>于微观层次，立法论上存在对于对赌协议本身进行特殊规定的讨论。</w:t>
      </w:r>
      <w:r>
        <w:rPr>
          <w:rStyle w:val="13"/>
          <w:rFonts w:hint="eastAsia" w:ascii="宋体" w:hAnsi="宋体" w:eastAsia="宋体" w:cs="宋体"/>
          <w:sz w:val="21"/>
          <w:szCs w:val="21"/>
        </w:rPr>
        <w:footnoteReference w:id="53"/>
      </w:r>
      <w:r>
        <w:rPr>
          <w:rFonts w:hint="eastAsia" w:ascii="宋体" w:hAnsi="宋体" w:eastAsia="宋体" w:cs="宋体"/>
          <w:sz w:val="21"/>
          <w:szCs w:val="21"/>
        </w:rPr>
        <w:t>对于如何改革公司资本制度以回应对赌协议这一股债之间的第三种投资，学界观点可谓汗牛充栋。其次，司法实践中对赌协议事实上已经被视为典型合同。《九民纪要》已对其初步作出规定，《公司法解释（征求意见稿）》在此基础上进一步完善，为司法实践中对赌协议的认定与裁判提供依据，否定其作为定性结果反而会在立法和司法上造成高昂的制度成本。最后，在对赌协议成为典型合同的条件下，认定明股实债的方法论基础已经不复存在。究其根本，此种认定方式仅证成二者之间的相似性而并未论证二者之间是否属于最相类似，相似性可以并存而后者属于择优机制，必须经过比较与论证之后才能得出结论。</w:t>
      </w:r>
      <w:r>
        <w:rPr>
          <w:rStyle w:val="13"/>
          <w:rFonts w:hint="eastAsia" w:ascii="宋体" w:hAnsi="宋体" w:eastAsia="宋体" w:cs="宋体"/>
          <w:sz w:val="21"/>
          <w:szCs w:val="21"/>
        </w:rPr>
        <w:footnoteReference w:id="54"/>
      </w:r>
      <w:r>
        <w:rPr>
          <w:rFonts w:hint="eastAsia" w:ascii="宋体" w:hAnsi="宋体" w:eastAsia="宋体" w:cs="宋体"/>
          <w:sz w:val="21"/>
          <w:szCs w:val="21"/>
        </w:rPr>
        <w:t>无论是形式上的交易结构还是实质上的利益冲突，与明股实债最具相似性的典型合同非对赌协议莫属。</w:t>
      </w:r>
    </w:p>
    <w:p w14:paraId="1F53A200">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lang w:val="en-US" w:eastAsia="zh-CN"/>
        </w:rPr>
        <w:t>司法实践</w:t>
      </w:r>
      <w:r>
        <w:rPr>
          <w:rFonts w:hint="eastAsia"/>
        </w:rPr>
        <w:t>应</w:t>
      </w:r>
      <w:r>
        <w:rPr>
          <w:rFonts w:hint="eastAsia"/>
          <w:lang w:val="en-US" w:eastAsia="zh-CN"/>
        </w:rPr>
        <w:t>当</w:t>
      </w:r>
      <w:r>
        <w:rPr>
          <w:rFonts w:hint="eastAsia"/>
        </w:rPr>
        <w:t>通过恰当的</w:t>
      </w:r>
      <w:r>
        <w:rPr>
          <w:rFonts w:hint="eastAsia"/>
          <w:lang w:val="en-US" w:eastAsia="zh-CN"/>
        </w:rPr>
        <w:t>规范适用</w:t>
      </w:r>
      <w:r>
        <w:rPr>
          <w:rFonts w:hint="eastAsia"/>
        </w:rPr>
        <w:t>遏制</w:t>
      </w:r>
      <w:r>
        <w:rPr>
          <w:rFonts w:hint="eastAsia"/>
          <w:lang w:val="en-US" w:eastAsia="zh-CN"/>
        </w:rPr>
        <w:t>当事人</w:t>
      </w:r>
      <w:r>
        <w:rPr>
          <w:rFonts w:hint="eastAsia"/>
        </w:rPr>
        <w:t>的机会主义行为。</w:t>
      </w:r>
      <w:r>
        <w:rPr>
          <w:rFonts w:hint="eastAsia" w:ascii="宋体" w:hAnsi="宋体" w:eastAsia="宋体" w:cs="宋体"/>
          <w:sz w:val="21"/>
          <w:szCs w:val="21"/>
        </w:rPr>
        <w:t>当公司法规则对不同类型的投资设定不同义务时，必须考虑到投资方通过改变其投资类型来规避义务的套利能力，对不同投资工具采取平行化的统一对待，是解决套利问题的一种方案。</w:t>
      </w:r>
      <w:r>
        <w:rPr>
          <w:rStyle w:val="13"/>
          <w:rFonts w:hint="eastAsia" w:ascii="宋体" w:hAnsi="宋体" w:eastAsia="宋体" w:cs="宋体"/>
          <w:sz w:val="21"/>
          <w:szCs w:val="21"/>
        </w:rPr>
        <w:footnoteReference w:id="55"/>
      </w:r>
      <w:r>
        <w:rPr>
          <w:rFonts w:hint="eastAsia" w:ascii="宋体" w:hAnsi="宋体" w:eastAsia="宋体" w:cs="宋体"/>
          <w:sz w:val="21"/>
          <w:szCs w:val="21"/>
        </w:rPr>
        <w:t>以对赌协议统摄股债融合型融资合同虽然在法律适用层面存在缺憾，但能够贯彻“等者等之，不等者不等之”的正义观念，维护法之安定性与可预期性。</w:t>
      </w:r>
    </w:p>
    <w:p w14:paraId="7E07A694">
      <w:pPr>
        <w:pageBreakBefore w:val="0"/>
        <w:kinsoku/>
        <w:wordWrap/>
        <w:overflowPunct/>
        <w:topLinePunct w:val="0"/>
        <w:autoSpaceDE/>
        <w:autoSpaceDN/>
        <w:bidi w:val="0"/>
        <w:adjustRightInd/>
        <w:spacing w:line="240" w:lineRule="auto"/>
        <w:ind w:firstLine="420" w:firstLineChars="200"/>
        <w:textAlignment w:val="auto"/>
        <w:outlineLvl w:val="2"/>
        <w:rPr>
          <w:rFonts w:ascii="宋体" w:hAnsi="宋体" w:eastAsia="宋体" w:cs="宋体"/>
          <w:sz w:val="21"/>
          <w:szCs w:val="21"/>
        </w:rPr>
      </w:pPr>
      <w:bookmarkStart w:id="49" w:name="_Toc29656"/>
      <w:r>
        <w:rPr>
          <w:rFonts w:hint="eastAsia" w:ascii="宋体" w:hAnsi="宋体" w:eastAsia="宋体" w:cs="宋体"/>
          <w:sz w:val="21"/>
          <w:szCs w:val="21"/>
        </w:rPr>
        <w:t>2、对赌协议规则适用应兼顾管制与自治</w:t>
      </w:r>
      <w:bookmarkEnd w:id="49"/>
    </w:p>
    <w:p w14:paraId="07E583BC">
      <w:pPr>
        <w:pageBreakBefore w:val="0"/>
        <w:kinsoku/>
        <w:wordWrap/>
        <w:overflowPunct/>
        <w:topLinePunct w:val="0"/>
        <w:autoSpaceDE/>
        <w:autoSpaceDN/>
        <w:bidi w:val="0"/>
        <w:adjustRightInd/>
        <w:spacing w:line="240" w:lineRule="auto"/>
        <w:ind w:firstLine="420" w:firstLineChars="200"/>
        <w:textAlignment w:val="auto"/>
        <w:outlineLvl w:val="2"/>
        <w:rPr>
          <w:rFonts w:hint="eastAsia" w:ascii="宋体" w:hAnsi="宋体" w:eastAsia="宋体" w:cs="宋体"/>
          <w:sz w:val="21"/>
          <w:szCs w:val="21"/>
        </w:rPr>
      </w:pPr>
      <w:r>
        <w:rPr>
          <w:rFonts w:hint="eastAsia" w:ascii="宋体" w:hAnsi="宋体" w:eastAsia="宋体" w:cs="宋体"/>
          <w:sz w:val="21"/>
          <w:szCs w:val="21"/>
        </w:rPr>
        <w:t>在法律适用层面，对赌协议裁判规则以严格的减资程序限制投资方的股权回购，过于倾向债权人保护的价值取向成为沿用定性路径无法回避的现实问题。</w:t>
      </w:r>
    </w:p>
    <w:p w14:paraId="0AFB82C4">
      <w:pPr>
        <w:pageBreakBefore w:val="0"/>
        <w:widowControl/>
        <w:kinsoku/>
        <w:wordWrap/>
        <w:overflowPunct/>
        <w:topLinePunct w:val="0"/>
        <w:autoSpaceDE/>
        <w:autoSpaceDN/>
        <w:bidi w:val="0"/>
        <w:adjustRightInd/>
        <w:spacing w:line="240" w:lineRule="auto"/>
        <w:ind w:firstLine="420" w:firstLineChars="200"/>
        <w:textAlignment w:val="auto"/>
        <w:rPr>
          <w:rFonts w:hint="eastAsia"/>
        </w:rPr>
      </w:pPr>
      <w:r>
        <w:rPr>
          <w:rFonts w:hint="eastAsia" w:ascii="宋体" w:hAnsi="宋体" w:eastAsia="宋体" w:cs="宋体"/>
          <w:sz w:val="21"/>
          <w:szCs w:val="21"/>
        </w:rPr>
        <w:t>司法积极主义是合同自由的必要补充，</w:t>
      </w:r>
      <w:r>
        <w:rPr>
          <w:rStyle w:val="13"/>
          <w:rFonts w:hint="eastAsia" w:ascii="宋体" w:hAnsi="宋体" w:eastAsia="宋体" w:cs="宋体"/>
          <w:sz w:val="21"/>
          <w:szCs w:val="21"/>
        </w:rPr>
        <w:footnoteReference w:id="56"/>
      </w:r>
      <w:r>
        <w:rPr>
          <w:rFonts w:hint="eastAsia" w:ascii="宋体" w:hAnsi="宋体" w:eastAsia="宋体" w:cs="宋体"/>
          <w:sz w:val="21"/>
          <w:szCs w:val="21"/>
        </w:rPr>
        <w:t>法院对于强制性规则的柔性理解能够矫正法律适用中可能的利益失衡。法院是否认可某项合同创新的关键在于判断规范应赋予宽泛还是狭义的政策内涵，其核心任务应是明确可容忍的偏离范围。</w:t>
      </w:r>
      <w:r>
        <w:rPr>
          <w:rStyle w:val="13"/>
          <w:rFonts w:hint="eastAsia" w:ascii="宋体" w:hAnsi="宋体" w:eastAsia="宋体" w:cs="宋体"/>
          <w:sz w:val="21"/>
          <w:szCs w:val="21"/>
        </w:rPr>
        <w:footnoteReference w:id="57"/>
      </w:r>
      <w:r>
        <w:rPr>
          <w:rFonts w:hint="eastAsia" w:ascii="宋体" w:hAnsi="宋体" w:eastAsia="宋体" w:cs="宋体"/>
          <w:sz w:val="21"/>
          <w:szCs w:val="21"/>
        </w:rPr>
        <w:t>通过对于强制性规则的限缩解释能够避免法律适用的僵化，实现商事自治与债权人保护的妥善平衡。此种裁判路径在司法实践中已有所体现：《九民纪要》出台后，为避免对赌协议出现履行僵局，实务中当事人会通过合同约定的方式明确公司迟延履行付款义务或启动减资程序的违约金。</w:t>
      </w:r>
      <w:r>
        <w:rPr>
          <w:rStyle w:val="13"/>
          <w:rFonts w:hint="eastAsia" w:ascii="宋体" w:hAnsi="宋体" w:eastAsia="宋体" w:cs="宋体"/>
          <w:sz w:val="21"/>
          <w:szCs w:val="21"/>
        </w:rPr>
        <w:footnoteReference w:id="58"/>
      </w:r>
      <w:r>
        <w:rPr>
          <w:rFonts w:hint="eastAsia" w:ascii="宋体" w:hAnsi="宋体" w:eastAsia="宋体" w:cs="宋体"/>
          <w:sz w:val="21"/>
          <w:szCs w:val="21"/>
        </w:rPr>
        <w:t>此类约定并未被《九民纪要》明令禁止，但是，若判令目标公司承担违约责任会导致与履行对赌义务相同的经济效果，由此存在司法裁量权的适用空间。“目的是一切法律的创造者。”若承担违约责任实际上并未削弱公司偿债能力、并不导致债权人利益受损，法院认可当事人约定不失为实现个案实质正义的可行道路。</w:t>
      </w:r>
      <w:r>
        <w:rPr>
          <w:rStyle w:val="13"/>
          <w:rFonts w:hint="eastAsia" w:ascii="宋体" w:hAnsi="宋体" w:eastAsia="宋体" w:cs="宋体"/>
          <w:sz w:val="21"/>
          <w:szCs w:val="21"/>
        </w:rPr>
        <w:footnoteReference w:id="59"/>
      </w:r>
      <w:r>
        <w:rPr>
          <w:rFonts w:hint="eastAsia" w:ascii="宋体" w:hAnsi="宋体" w:eastAsia="宋体" w:cs="宋体"/>
          <w:sz w:val="21"/>
          <w:szCs w:val="21"/>
        </w:rPr>
        <w:t>这一过程中，当事人的合同约定仅为司法介入的形式依据，对于规范目的考量才是法院判决支持的实质理由。在不违反《九民纪要》第5条规范目的的前提下，法院通过支持当事人合同约定的方式避免了该规则的刚性规制，兼顾商事自治与金融创新。</w:t>
      </w:r>
      <w:r>
        <w:rPr>
          <w:rFonts w:hint="eastAsia"/>
        </w:rPr>
        <w:t>由此观之，《公司法解释（征求意</w:t>
      </w:r>
      <w:r>
        <w:rPr>
          <w:rFonts w:hint="eastAsia" w:ascii="宋体" w:hAnsi="宋体" w:eastAsia="宋体" w:cs="宋体"/>
        </w:rPr>
        <w:t>见稿）》第37条第2款对于既有实践探索</w:t>
      </w:r>
      <w:r>
        <w:rPr>
          <w:rFonts w:hint="eastAsia"/>
        </w:rPr>
        <w:t>的否定固然实现了对具有相同经济效果行为的一致评价，但也</w:t>
      </w:r>
      <w:r>
        <w:rPr>
          <w:rFonts w:hint="eastAsia"/>
          <w:lang w:val="en-US" w:eastAsia="zh-CN"/>
        </w:rPr>
        <w:t>忽视了商事实践中可能出现的复杂情形，</w:t>
      </w:r>
      <w:r>
        <w:rPr>
          <w:rFonts w:hint="eastAsia"/>
        </w:rPr>
        <w:t>进一步压缩了法院在对赌协议纠纷中行使司法裁量权化解履行僵局的空间。</w:t>
      </w:r>
      <w:r>
        <w:rPr>
          <w:rStyle w:val="13"/>
          <w:rFonts w:hint="eastAsia"/>
        </w:rPr>
        <w:footnoteReference w:id="60"/>
      </w:r>
    </w:p>
    <w:p w14:paraId="6DD446E8">
      <w:pPr>
        <w:pageBreakBefore w:val="0"/>
        <w:widowControl/>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不容否认的是，我国公司法规则的变迁在很大程度上是在市场主体自发选择的脱法行为基础上改造而成。</w:t>
      </w:r>
      <w:r>
        <w:rPr>
          <w:rStyle w:val="13"/>
          <w:rFonts w:hint="eastAsia" w:ascii="宋体" w:hAnsi="宋体" w:eastAsia="宋体" w:cs="宋体"/>
          <w:sz w:val="21"/>
          <w:szCs w:val="21"/>
        </w:rPr>
        <w:footnoteReference w:id="61"/>
      </w:r>
      <w:r>
        <w:rPr>
          <w:rFonts w:hint="eastAsia" w:ascii="宋体" w:hAnsi="宋体" w:eastAsia="宋体" w:cs="宋体"/>
          <w:sz w:val="21"/>
          <w:szCs w:val="21"/>
        </w:rPr>
        <w:t>在股债融合型融资合同并无妥善规定的情况下，一概否定投资方关于退出机制的创新安排不仅无法实现个案正义，更打破了商事自治与管制之间的互动平衡，不利于裁判规则的发展完善。</w:t>
      </w:r>
    </w:p>
    <w:p w14:paraId="03B12AD8">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50" w:name="_Toc26360"/>
      <w:bookmarkStart w:id="51" w:name="_Toc20914"/>
      <w:bookmarkStart w:id="52" w:name="_Toc11476"/>
      <w:bookmarkStart w:id="53" w:name="_Toc16481"/>
      <w:r>
        <w:rPr>
          <w:rFonts w:hint="eastAsia" w:ascii="华文楷体" w:hAnsi="华文楷体" w:eastAsia="华文楷体" w:cstheme="minorBidi"/>
          <w:b w:val="0"/>
          <w:bCs w:val="0"/>
          <w:kern w:val="2"/>
          <w:sz w:val="24"/>
          <w:szCs w:val="24"/>
          <w:lang w:val="en-GB" w:eastAsia="zh-CN" w:bidi="ar-SA"/>
        </w:rPr>
        <w:t>（二）</w:t>
      </w:r>
      <w:r>
        <w:rPr>
          <w:rFonts w:hint="eastAsia" w:ascii="华文楷体" w:hAnsi="华文楷体" w:eastAsia="华文楷体" w:cstheme="minorBidi"/>
          <w:b w:val="0"/>
          <w:bCs w:val="0"/>
          <w:kern w:val="2"/>
          <w:sz w:val="24"/>
          <w:szCs w:val="24"/>
          <w:lang w:val="en-US" w:eastAsia="zh-CN" w:bidi="ar-SA"/>
        </w:rPr>
        <w:t>未来图景</w:t>
      </w:r>
      <w:r>
        <w:rPr>
          <w:rFonts w:hint="eastAsia" w:ascii="华文楷体" w:hAnsi="华文楷体" w:eastAsia="华文楷体" w:cstheme="minorBidi"/>
          <w:b w:val="0"/>
          <w:bCs w:val="0"/>
          <w:kern w:val="2"/>
          <w:sz w:val="24"/>
          <w:szCs w:val="24"/>
          <w:lang w:val="en-GB" w:eastAsia="zh-CN" w:bidi="ar-SA"/>
        </w:rPr>
        <w:t>：超越定性路径的衡平裁判展望</w:t>
      </w:r>
      <w:bookmarkEnd w:id="50"/>
      <w:bookmarkEnd w:id="51"/>
      <w:bookmarkEnd w:id="52"/>
      <w:bookmarkEnd w:id="53"/>
    </w:p>
    <w:p w14:paraId="3EC55DFC">
      <w:pPr>
        <w:pageBreakBefore w:val="0"/>
        <w:kinsoku/>
        <w:wordWrap/>
        <w:overflowPunct/>
        <w:topLinePunct w:val="0"/>
        <w:autoSpaceDE/>
        <w:autoSpaceDN/>
        <w:bidi w:val="0"/>
        <w:adjustRightInd/>
        <w:spacing w:line="240" w:lineRule="auto"/>
        <w:ind w:firstLine="420" w:firstLineChars="200"/>
        <w:textAlignment w:val="auto"/>
        <w:outlineLvl w:val="2"/>
        <w:rPr>
          <w:rFonts w:hint="eastAsia" w:ascii="宋体" w:hAnsi="宋体" w:eastAsia="宋体" w:cs="宋体"/>
          <w:sz w:val="21"/>
          <w:szCs w:val="21"/>
        </w:rPr>
      </w:pPr>
      <w:bookmarkStart w:id="54" w:name="_Toc2106"/>
      <w:r>
        <w:rPr>
          <w:rFonts w:hint="eastAsia" w:ascii="宋体" w:hAnsi="宋体" w:eastAsia="宋体" w:cs="宋体"/>
          <w:sz w:val="21"/>
          <w:szCs w:val="21"/>
        </w:rPr>
        <w:t>1、以典型合同调整股债融合型融资存在局限</w:t>
      </w:r>
      <w:bookmarkEnd w:id="54"/>
    </w:p>
    <w:p w14:paraId="34B36B42">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合同定性依赖典型合同提供素材，典型合同藉由合同定性发挥功能，二者互为表里，难以分割。典型合同具有设定依据框架的功能、合同内容形成功能及合同内容合理性的评价标准功能等诸多功能。</w:t>
      </w:r>
      <w:r>
        <w:rPr>
          <w:rStyle w:val="13"/>
          <w:rFonts w:hint="eastAsia" w:ascii="宋体" w:hAnsi="宋体" w:eastAsia="宋体" w:cs="宋体"/>
          <w:sz w:val="21"/>
          <w:szCs w:val="21"/>
        </w:rPr>
        <w:footnoteReference w:id="62"/>
      </w:r>
      <w:r>
        <w:rPr>
          <w:rFonts w:hint="eastAsia" w:ascii="宋体" w:hAnsi="宋体" w:eastAsia="宋体" w:cs="宋体"/>
          <w:sz w:val="21"/>
          <w:szCs w:val="21"/>
        </w:rPr>
        <w:t>这些功能的实现有赖于典型合同规范的完整性与科学性，但是，关于对赌协议的相关规范未尽合理，难以发挥股债融合型融资场景下典型合同的重任。</w:t>
      </w:r>
    </w:p>
    <w:p w14:paraId="62268D3B">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前端来看，尽管相关规范都试图对对赌协议的范畴予以明确，但其毕竟是以描述性概念的形态呈现，内涵外延不明成为定性过程中不可忽视的前置性障碍。从后端来看，对赌协议规则将股份回购与公司减资关联，借助减资程序下的规制措施实现债权人保护目的，不仅混淆了两者的逻辑关系，而且制造了合同约定与公司程式的矛盾，并非妥当选择。</w:t>
      </w:r>
      <w:r>
        <w:rPr>
          <w:rStyle w:val="13"/>
          <w:rFonts w:hint="eastAsia" w:ascii="宋体" w:hAnsi="宋体" w:eastAsia="宋体" w:cs="宋体"/>
          <w:sz w:val="21"/>
          <w:szCs w:val="21"/>
        </w:rPr>
        <w:footnoteReference w:id="63"/>
      </w:r>
      <w:r>
        <w:rPr>
          <w:rFonts w:hint="eastAsia" w:ascii="宋体" w:hAnsi="宋体" w:eastAsia="宋体" w:cs="宋体"/>
          <w:sz w:val="21"/>
          <w:szCs w:val="21"/>
        </w:rPr>
        <w:t>此外，对赌协议虽为实践中广泛运用、司法机关专门规定的合同类型，但就交易结构而言，对赌协议却呈现“合而不融”的特征，严格来说并非典型的股债融合型融资。具言之，在股债融合的典型交易结构中，股权与债权的特性应呈现此消彼长的关系，其清偿顺位也应介于股与债之间。然而，对赌协议的交易结构却意图兼采二者之长，规避二者之短，有违“利之所在，损之所归”的基本法理。因此，“股债融合论”不应成为资方在投融资关系中兼得债之保障和股之利益的合理说辞。</w:t>
      </w:r>
      <w:r>
        <w:rPr>
          <w:rStyle w:val="13"/>
          <w:rFonts w:hint="eastAsia" w:ascii="宋体" w:hAnsi="宋体" w:eastAsia="宋体" w:cs="宋体"/>
          <w:sz w:val="21"/>
          <w:szCs w:val="21"/>
        </w:rPr>
        <w:footnoteReference w:id="64"/>
      </w:r>
      <w:r>
        <w:rPr>
          <w:rFonts w:hint="eastAsia" w:ascii="宋体" w:hAnsi="宋体" w:eastAsia="宋体" w:cs="宋体"/>
          <w:sz w:val="21"/>
          <w:szCs w:val="21"/>
        </w:rPr>
        <w:t>由于司法对于对赌协议形成的相关规则很大程度上亦为权宜之计，注定无法以其妥善解决真正的股债融合型融资纠纷。</w:t>
      </w:r>
    </w:p>
    <w:p w14:paraId="7C04EA7E">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进言之，在判断某种交易形态是否属于某种合同类型时，实质是判断能否适用该合同中所内含的特定利益及风险分配规则。</w:t>
      </w:r>
      <w:r>
        <w:rPr>
          <w:rStyle w:val="13"/>
          <w:rFonts w:hint="eastAsia" w:ascii="宋体" w:hAnsi="宋体" w:eastAsia="宋体" w:cs="宋体"/>
          <w:sz w:val="21"/>
          <w:szCs w:val="21"/>
        </w:rPr>
        <w:footnoteReference w:id="65"/>
      </w:r>
      <w:r>
        <w:rPr>
          <w:rFonts w:hint="eastAsia" w:ascii="宋体" w:hAnsi="宋体" w:eastAsia="宋体" w:cs="宋体"/>
          <w:sz w:val="21"/>
          <w:szCs w:val="21"/>
        </w:rPr>
        <w:t>但是，在金融创新的浪潮之下，实践中大量的股债融合型融资将以无名合同的状态出现，其所呈现的个性化约定天然与典型合同所应具备的标准化规则相悖。而将所有现实合同类型都作为典型合同予以规定，不仅不现实，且容易滋生合同性质决定的混乱。</w:t>
      </w:r>
      <w:r>
        <w:rPr>
          <w:rStyle w:val="13"/>
          <w:rFonts w:hint="eastAsia" w:ascii="宋体" w:hAnsi="宋体" w:eastAsia="宋体" w:cs="宋体"/>
          <w:sz w:val="21"/>
          <w:szCs w:val="21"/>
        </w:rPr>
        <w:footnoteReference w:id="66"/>
      </w:r>
      <w:r>
        <w:rPr>
          <w:rFonts w:hint="eastAsia" w:ascii="宋体" w:hAnsi="宋体" w:eastAsia="宋体" w:cs="宋体"/>
          <w:sz w:val="21"/>
          <w:szCs w:val="21"/>
        </w:rPr>
        <w:t>不仅如此，由于法院定性与实际合同样貌未尽相同，法院囿于法条往往无法作出最妥适之裁量判断，</w:t>
      </w:r>
      <w:r>
        <w:rPr>
          <w:rStyle w:val="13"/>
          <w:rFonts w:hint="eastAsia" w:ascii="宋体" w:hAnsi="宋体" w:eastAsia="宋体" w:cs="宋体"/>
          <w:sz w:val="21"/>
          <w:szCs w:val="21"/>
        </w:rPr>
        <w:footnoteReference w:id="67"/>
      </w:r>
      <w:r>
        <w:rPr>
          <w:rFonts w:hint="eastAsia" w:ascii="宋体" w:hAnsi="宋体" w:eastAsia="宋体" w:cs="宋体"/>
          <w:sz w:val="21"/>
          <w:szCs w:val="21"/>
        </w:rPr>
        <w:t>明股实债与对赌协议定性之争的乱象可谓前鉴。</w:t>
      </w:r>
      <w:r>
        <w:rPr>
          <w:rFonts w:hint="eastAsia" w:ascii="宋体" w:hAnsi="宋体" w:eastAsia="宋体" w:cs="宋体"/>
          <w:sz w:val="21"/>
          <w:szCs w:val="21"/>
          <w:lang w:val="en-US" w:eastAsia="zh-CN"/>
        </w:rPr>
        <w:t>可见</w:t>
      </w:r>
      <w:r>
        <w:rPr>
          <w:rFonts w:hint="eastAsia" w:ascii="宋体" w:hAnsi="宋体" w:eastAsia="宋体" w:cs="宋体"/>
          <w:sz w:val="21"/>
          <w:szCs w:val="21"/>
        </w:rPr>
        <w:t>，合同类型有限而金融创新无穷，司法</w:t>
      </w:r>
      <w:r>
        <w:rPr>
          <w:rFonts w:hint="eastAsia" w:ascii="宋体" w:hAnsi="宋体" w:eastAsia="宋体" w:cs="宋体"/>
          <w:sz w:val="21"/>
          <w:szCs w:val="21"/>
          <w:lang w:val="en-US" w:eastAsia="zh-CN"/>
        </w:rPr>
        <w:t>裁判</w:t>
      </w:r>
      <w:r>
        <w:rPr>
          <w:rFonts w:hint="eastAsia" w:ascii="宋体" w:hAnsi="宋体" w:eastAsia="宋体" w:cs="宋体"/>
          <w:sz w:val="21"/>
          <w:szCs w:val="21"/>
        </w:rPr>
        <w:t>以亦步亦趋的态度对其一一定性的尝试注定徒劳无功。</w:t>
      </w:r>
    </w:p>
    <w:p w14:paraId="63A4F0B6">
      <w:pPr>
        <w:pageBreakBefore w:val="0"/>
        <w:kinsoku/>
        <w:wordWrap/>
        <w:overflowPunct/>
        <w:topLinePunct w:val="0"/>
        <w:autoSpaceDE/>
        <w:autoSpaceDN/>
        <w:bidi w:val="0"/>
        <w:adjustRightInd/>
        <w:spacing w:line="240" w:lineRule="auto"/>
        <w:ind w:firstLine="420" w:firstLineChars="200"/>
        <w:textAlignment w:val="auto"/>
        <w:outlineLvl w:val="2"/>
        <w:rPr>
          <w:rFonts w:hint="eastAsia" w:ascii="宋体" w:hAnsi="宋体" w:eastAsia="宋体" w:cs="宋体"/>
          <w:sz w:val="21"/>
          <w:szCs w:val="21"/>
        </w:rPr>
      </w:pPr>
      <w:bookmarkStart w:id="55" w:name="_Toc5115"/>
      <w:bookmarkStart w:id="56" w:name="_Toc22644"/>
      <w:bookmarkStart w:id="57" w:name="_Toc26718"/>
      <w:bookmarkStart w:id="58" w:name="_Toc2114"/>
      <w:r>
        <w:rPr>
          <w:rFonts w:hint="eastAsia" w:ascii="宋体" w:hAnsi="宋体" w:eastAsia="宋体" w:cs="宋体"/>
          <w:sz w:val="21"/>
          <w:szCs w:val="21"/>
        </w:rPr>
        <w:t>2. 股债融合型融资裁判中利益衡量的可能展望</w:t>
      </w:r>
      <w:bookmarkEnd w:id="55"/>
      <w:bookmarkEnd w:id="56"/>
      <w:bookmarkEnd w:id="57"/>
      <w:bookmarkEnd w:id="58"/>
    </w:p>
    <w:p w14:paraId="49B3699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商业活动具有“连续性交易”特征，在面对纠纷时要面对更加多元化的主体之间的利益平衡。</w:t>
      </w:r>
      <w:r>
        <w:rPr>
          <w:rStyle w:val="13"/>
          <w:rFonts w:hint="eastAsia" w:ascii="宋体" w:hAnsi="宋体" w:eastAsia="宋体" w:cs="宋体"/>
          <w:sz w:val="21"/>
          <w:szCs w:val="21"/>
        </w:rPr>
        <w:footnoteReference w:id="68"/>
      </w:r>
      <w:r>
        <w:rPr>
          <w:rFonts w:hint="eastAsia" w:ascii="宋体" w:hAnsi="宋体" w:eastAsia="宋体" w:cs="宋体"/>
          <w:sz w:val="21"/>
          <w:szCs w:val="21"/>
        </w:rPr>
        <w:t>面对股债融合型融资合同的复杂案情，定性路径的粗糙处理显然无法回应其中的利益冲突现实，超越定性路径成为司法裁判的必然选择。</w:t>
      </w:r>
    </w:p>
    <w:p w14:paraId="02E64F73">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公司法中债权人保护的价值目标在“与公司对赌”的场景下不再单一和纯粹，而是与股东之间的利益冲突交织在一起。</w:t>
      </w:r>
      <w:r>
        <w:rPr>
          <w:rStyle w:val="13"/>
          <w:rFonts w:hint="eastAsia" w:ascii="宋体" w:hAnsi="宋体" w:eastAsia="宋体" w:cs="宋体"/>
          <w:sz w:val="21"/>
          <w:szCs w:val="21"/>
        </w:rPr>
        <w:footnoteReference w:id="69"/>
      </w:r>
      <w:r>
        <w:rPr>
          <w:rFonts w:hint="eastAsia" w:ascii="宋体" w:hAnsi="宋体" w:eastAsia="宋体" w:cs="宋体"/>
          <w:sz w:val="21"/>
          <w:szCs w:val="21"/>
        </w:rPr>
        <w:t>法院在审理相关案件时并非没有意识到这一点，但由于对定性的路径依赖，本应在法律适用阶段开展的利益衡量被前移至定性阶段进行。由此，定性过程中法院未必会严格地进行意思表示解释与涵摄作业，反而会掺杂诸多与之无关的利益衡量因素。例如，在股债性质认定过程中，有法院基于投资方依据政策注资以纾解企业临时经营困境、助力企业发展的行为，将其认定为债权投资。</w:t>
      </w:r>
      <w:r>
        <w:rPr>
          <w:rStyle w:val="13"/>
          <w:rFonts w:hint="eastAsia" w:ascii="宋体" w:hAnsi="宋体" w:eastAsia="宋体" w:cs="宋体"/>
          <w:sz w:val="21"/>
          <w:szCs w:val="21"/>
        </w:rPr>
        <w:footnoteReference w:id="70"/>
      </w:r>
      <w:r>
        <w:rPr>
          <w:rFonts w:hint="eastAsia" w:ascii="宋体" w:hAnsi="宋体" w:eastAsia="宋体" w:cs="宋体"/>
          <w:sz w:val="21"/>
          <w:szCs w:val="21"/>
        </w:rPr>
        <w:t>亦有法院考量案涉投资的背景，认定投资款项系“直投资金”，使用不以盈利为目的，投资者仅为名义上的股东。</w:t>
      </w:r>
      <w:r>
        <w:rPr>
          <w:rStyle w:val="13"/>
          <w:rFonts w:hint="eastAsia" w:ascii="宋体" w:hAnsi="宋体" w:eastAsia="宋体" w:cs="宋体"/>
          <w:sz w:val="21"/>
          <w:szCs w:val="21"/>
        </w:rPr>
        <w:footnoteReference w:id="71"/>
      </w:r>
      <w:r>
        <w:rPr>
          <w:rFonts w:hint="eastAsia" w:ascii="宋体" w:hAnsi="宋体" w:eastAsia="宋体" w:cs="宋体"/>
          <w:sz w:val="21"/>
          <w:szCs w:val="21"/>
        </w:rPr>
        <w:t>究其根源，此类判决暗含法院对投资方政策性投资的特殊考量。基于维护公共利益的价值取向作出有利于投资方的裁判本无可厚非，但法院需要借助利益衡量方法对公共利益的内涵进行充分阐述。</w:t>
      </w:r>
      <w:r>
        <w:rPr>
          <w:rStyle w:val="13"/>
          <w:rFonts w:hint="eastAsia" w:ascii="宋体" w:hAnsi="宋体" w:eastAsia="宋体" w:cs="宋体"/>
          <w:sz w:val="21"/>
          <w:szCs w:val="21"/>
        </w:rPr>
        <w:footnoteReference w:id="72"/>
      </w:r>
      <w:r>
        <w:rPr>
          <w:rFonts w:hint="eastAsia" w:ascii="宋体" w:hAnsi="宋体" w:eastAsia="宋体" w:cs="宋体"/>
          <w:sz w:val="21"/>
          <w:szCs w:val="21"/>
        </w:rPr>
        <w:t>这一过程不应被遮蔽于合同定性之后，否则有逃避论证义务之嫌，亦有悖于合同定性的功能本质。进言之，尽管利益衡量前置化的做法会参酌个案具体情势，但由于定性后的法律适用仍局限于或股或债的框架内，法院只能以近乎“全有全无”的方式作出裁判，既限制了利益衡量工具的功能发挥，亦难以实现纠纷的衡平解决。</w:t>
      </w:r>
    </w:p>
    <w:p w14:paraId="5882ABD8">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vertAlign w:val="superscript"/>
        </w:rPr>
      </w:pPr>
      <w:r>
        <w:rPr>
          <w:rFonts w:hint="eastAsia" w:ascii="宋体" w:hAnsi="宋体" w:eastAsia="宋体" w:cs="宋体"/>
          <w:sz w:val="21"/>
          <w:szCs w:val="21"/>
        </w:rPr>
        <w:t>对于对赌协议等股债融合纠纷的处理而言，相较于规范上借道减资刚性规制的漏洞填补方式，在个案中司法更应该围绕公司偿债能力这一核心问题理性全面评估回购所产生的效果。《九民纪要》出台前即有学者指出，司法实践中的债权人保护考量存在以抽象替代具体的误区，表现为法院通常甚少考察是否真实存在受损害的债权人，只是以抽象的“债权人利益”乃至“公司利益”作为否定诸如股权回购等义务的主要理由。</w:t>
      </w:r>
      <w:r>
        <w:rPr>
          <w:rStyle w:val="13"/>
          <w:rFonts w:hint="eastAsia" w:ascii="宋体" w:hAnsi="宋体" w:eastAsia="宋体" w:cs="宋体"/>
          <w:sz w:val="21"/>
          <w:szCs w:val="21"/>
        </w:rPr>
        <w:footnoteReference w:id="73"/>
      </w:r>
      <w:r>
        <w:rPr>
          <w:rFonts w:hint="eastAsia" w:ascii="宋体" w:hAnsi="宋体" w:eastAsia="宋体" w:cs="宋体"/>
          <w:sz w:val="21"/>
          <w:szCs w:val="21"/>
        </w:rPr>
        <w:t>《九民纪要》及《公司法解释（征求意见稿）》相关规则无疑是这一形式主义裁判倾向的进一步强化，严格的债权人保护程序使得投资方顺利退出几成奢望。为缓和规范之严苛，法官在裁判过程中应当具体化分析交易对公司资本产生的变动效果是否造成公司必要留存资金不足、债权人利益受损，以及是否足以暂时阻却合同履行。</w:t>
      </w:r>
      <w:r>
        <w:rPr>
          <w:rStyle w:val="13"/>
          <w:rFonts w:hint="eastAsia" w:ascii="宋体" w:hAnsi="宋体" w:eastAsia="宋体" w:cs="宋体"/>
          <w:sz w:val="21"/>
          <w:szCs w:val="21"/>
        </w:rPr>
        <w:footnoteReference w:id="74"/>
      </w:r>
      <w:r>
        <w:rPr>
          <w:rFonts w:hint="eastAsia" w:ascii="宋体" w:hAnsi="宋体" w:eastAsia="宋体" w:cs="宋体"/>
          <w:sz w:val="21"/>
          <w:szCs w:val="21"/>
        </w:rPr>
        <w:t>此种实质妥当性的追求只能藉个案的利益衡量实现个案正义，</w:t>
      </w:r>
      <w:r>
        <w:rPr>
          <w:rStyle w:val="13"/>
          <w:rFonts w:hint="eastAsia" w:ascii="宋体" w:hAnsi="宋体" w:eastAsia="宋体" w:cs="宋体"/>
          <w:sz w:val="21"/>
          <w:szCs w:val="21"/>
        </w:rPr>
        <w:footnoteReference w:id="75"/>
      </w:r>
      <w:r>
        <w:rPr>
          <w:rFonts w:hint="eastAsia" w:ascii="宋体" w:hAnsi="宋体" w:eastAsia="宋体" w:cs="宋体"/>
          <w:sz w:val="21"/>
          <w:szCs w:val="21"/>
        </w:rPr>
        <w:t>法官必须在形式正义与实质正义之间反复流转，做出取舍，定性路径为此提供的空间显然极为有限。作为纠纷的最后裁判者，法官</w:t>
      </w:r>
      <w:r>
        <w:rPr>
          <w:rStyle w:val="13"/>
          <w:rFonts w:hint="eastAsia" w:ascii="宋体" w:hAnsi="宋体" w:eastAsia="宋体" w:cs="宋体"/>
          <w:sz w:val="21"/>
          <w:szCs w:val="21"/>
          <w:vertAlign w:val="baseline"/>
        </w:rPr>
        <w:t>应避免对法律关系属性过于执着的探求，转而更多关注和发现隐藏在合同中的真实利益</w:t>
      </w:r>
      <w:r>
        <w:rPr>
          <w:rFonts w:hint="eastAsia" w:ascii="宋体" w:hAnsi="宋体" w:eastAsia="宋体" w:cs="宋体"/>
          <w:sz w:val="21"/>
          <w:szCs w:val="21"/>
        </w:rPr>
        <w:t>。</w:t>
      </w:r>
      <w:r>
        <w:rPr>
          <w:rStyle w:val="13"/>
          <w:rFonts w:hint="eastAsia" w:ascii="宋体" w:hAnsi="宋体" w:eastAsia="宋体" w:cs="宋体"/>
          <w:sz w:val="21"/>
          <w:szCs w:val="21"/>
        </w:rPr>
        <w:footnoteReference w:id="76"/>
      </w:r>
      <w:r>
        <w:rPr>
          <w:rFonts w:hint="eastAsia" w:ascii="宋体" w:hAnsi="宋体" w:eastAsia="宋体" w:cs="宋体"/>
          <w:sz w:val="21"/>
          <w:szCs w:val="21"/>
        </w:rPr>
        <w:t>如何在商业逻辑的驱动之下构建利益衡量的方法论仍有赖于学界的智识与实务界的创见，其中，对于定性路径的超越显然是破题的第一步。</w:t>
      </w:r>
    </w:p>
    <w:p w14:paraId="280758BC">
      <w:pPr>
        <w:rPr>
          <w:rFonts w:hint="eastAsia" w:ascii="黑体" w:hAnsi="黑体" w:eastAsia="黑体"/>
          <w:sz w:val="28"/>
          <w:szCs w:val="28"/>
        </w:rPr>
      </w:pPr>
      <w:bookmarkStart w:id="59" w:name="_Toc16443"/>
      <w:bookmarkStart w:id="60" w:name="_Toc16042"/>
      <w:bookmarkStart w:id="61" w:name="_Toc9281"/>
      <w:bookmarkStart w:id="62" w:name="_Toc15553"/>
      <w:bookmarkStart w:id="63" w:name="_Toc18772"/>
      <w:bookmarkStart w:id="64" w:name="_Toc8626"/>
      <w:r>
        <w:rPr>
          <w:rFonts w:hint="eastAsia" w:ascii="黑体" w:hAnsi="黑体" w:eastAsia="黑体"/>
          <w:sz w:val="28"/>
          <w:szCs w:val="28"/>
        </w:rPr>
        <w:t>结</w:t>
      </w:r>
      <w:bookmarkEnd w:id="59"/>
      <w:bookmarkEnd w:id="60"/>
      <w:bookmarkEnd w:id="61"/>
      <w:bookmarkEnd w:id="62"/>
      <w:r>
        <w:rPr>
          <w:rFonts w:hint="eastAsia" w:ascii="黑体" w:hAnsi="黑体" w:eastAsia="黑体"/>
          <w:sz w:val="28"/>
          <w:szCs w:val="28"/>
        </w:rPr>
        <w:t>语</w:t>
      </w:r>
      <w:bookmarkEnd w:id="63"/>
      <w:bookmarkEnd w:id="64"/>
    </w:p>
    <w:p w14:paraId="3CE3F7EB">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股债融合纠纷频发折射出合同与组织的双重失序。</w:t>
      </w:r>
      <w:r>
        <w:rPr>
          <w:rStyle w:val="13"/>
          <w:rFonts w:hint="eastAsia" w:ascii="宋体" w:hAnsi="宋体" w:eastAsia="宋体" w:cs="宋体"/>
          <w:sz w:val="21"/>
          <w:szCs w:val="21"/>
        </w:rPr>
        <w:footnoteReference w:id="77"/>
      </w:r>
      <w:r>
        <w:rPr>
          <w:rFonts w:hint="eastAsia" w:ascii="宋体" w:hAnsi="宋体" w:eastAsia="宋体" w:cs="宋体"/>
          <w:sz w:val="21"/>
          <w:szCs w:val="21"/>
        </w:rPr>
        <w:t>投资者以合同方式实现风险收益和治理机制的再分配，不断冲击着组织框架下的公司资本和公司治理制度。本文从对赌协议与明股实债难以区分的实践困境出发，由表及里地对定性路径作出检讨，主张以对赌协议统摄股债融合型融资合同，以矫正定性路径导致的问题失焦。这一方案尝试在目前的规范体系内弥合法之安定性与正义性，但问题的根本解决仍需立法作出价值判断和政策选择，回应股债融合对于公司资本、公司治理乃至公司本质的挑战。长远来看，依赖于定性路径的商事审判不仅遮蔽了纠纷各方实质的利益冲突，更无法稳定投融资活动的商业预期，不能适应金融创新的现实情况，应当予以摒弃。在司法解释拟进一步规范对赌协议裁判的背景下，如何以衡平的方式妥善处理纠纷以实现个案正义，进而保持裁判规则与商业实践良性互动，仍极大地考验法官的智慧，亦有待学界的进一步思考，对于定性路径的检讨与完善有望为此提供更为广阔的视野。</w:t>
      </w:r>
    </w:p>
    <w:p w14:paraId="10AAC120">
      <w:pPr>
        <w:pageBreakBefore w:val="0"/>
        <w:kinsoku/>
        <w:wordWrap/>
        <w:overflowPunct/>
        <w:topLinePunct w:val="0"/>
        <w:autoSpaceDE/>
        <w:autoSpaceDN/>
        <w:bidi w:val="0"/>
        <w:adjustRightInd/>
        <w:spacing w:line="240" w:lineRule="auto"/>
        <w:textAlignment w:val="auto"/>
        <w:rPr>
          <w:rFonts w:hint="eastAsia" w:ascii="宋体" w:hAnsi="宋体" w:eastAsia="宋体" w:cs="宋体"/>
          <w:sz w:val="21"/>
          <w:szCs w:val="21"/>
        </w:rPr>
      </w:pP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 w:date="2026-04-23T12:25:59Z" w:initials="ad">
    <w:p w14:paraId="5BC1A3D0">
      <w:pPr>
        <w:pStyle w:val="3"/>
        <w:rPr>
          <w:rFonts w:hint="eastAsia"/>
          <w:lang w:val="en-US" w:eastAsia="zh-CN"/>
        </w:rPr>
      </w:pPr>
      <w:r>
        <w:rPr>
          <w:rFonts w:hint="eastAsia"/>
          <w:lang w:val="en-US" w:eastAsia="zh-CN"/>
        </w:rPr>
        <w:t>选题切入点好，在复杂的股债融合问题中观察到了一个真问题，实践材料与文献都比较丰富。篇幅也比较合理，语言表达规范流畅。</w:t>
      </w:r>
    </w:p>
    <w:p w14:paraId="63A5524F">
      <w:pPr>
        <w:pStyle w:val="3"/>
        <w:rPr>
          <w:rFonts w:hint="default"/>
          <w:lang w:val="en-US" w:eastAsia="zh-CN"/>
        </w:rPr>
      </w:pPr>
      <w:r>
        <w:rPr>
          <w:rFonts w:hint="eastAsia"/>
          <w:lang w:val="en-US" w:eastAsia="zh-CN"/>
        </w:rPr>
        <w:t>问题集中在最后一个章节，作者前两章花了很多篇幅论证目前区分对赌与明股实债思路的不合理，此为破论，但论述不合理以后需找到解决方案，也即立论。目前只用最后一章立论，该章的论述有些似是而非，没有明显的观点，有些“留待未来展望”的意思。考虑到目前正文篇幅只有一万一，是否可以扩展立论部分，让文章更为完整。</w:t>
      </w:r>
    </w:p>
    <w:p w14:paraId="6D0C0995">
      <w:pPr>
        <w:pStyle w:val="3"/>
        <w:rPr>
          <w:rFonts w:hint="default"/>
          <w:lang w:val="en-US" w:eastAsia="zh-CN"/>
        </w:rPr>
      </w:pPr>
    </w:p>
  </w:comment>
  <w:comment w:id="1" w:author="ad" w:date="2026-04-23T13:17:57Z" w:initials="ad">
    <w:p w14:paraId="6E2A0296">
      <w:pPr>
        <w:pStyle w:val="3"/>
        <w:rPr>
          <w:rFonts w:hint="default" w:eastAsiaTheme="minorEastAsia"/>
          <w:lang w:val="en-US" w:eastAsia="zh-CN"/>
        </w:rPr>
      </w:pPr>
      <w:r>
        <w:rPr>
          <w:rFonts w:hint="eastAsia"/>
          <w:lang w:val="en-US" w:eastAsia="zh-CN"/>
        </w:rPr>
        <w:t>目前的论述有些似是而非。第一，作者的意思就是不要区分二者，统一适用对赌的规则。第二，作者又认为目前对赌的规则（如与减资程序等结合）不合理，有待完善。那么，真正的解决方案是什么？司法实践之所以需要创设出这两种二分的方法，本质就是路径依赖，因为对赌有规范可依、认定为债权也有合同的成文规范可依。否定了上述路径，那该如何解决实践中要求回购、要求补偿等请求，在这一章节中并没有看到明确的解决方案。</w:t>
      </w:r>
      <w:bookmarkStart w:id="65" w:name="_GoBack"/>
      <w:bookmarkEnd w:id="65"/>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0C0995" w15:done="0"/>
  <w15:commentEx w15:paraId="6E2A029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56">
    <w:p>
      <w:r>
        <w:separator/>
      </w:r>
    </w:p>
  </w:footnote>
  <w:footnote w:type="continuationSeparator" w:id="157">
    <w:p>
      <w:r>
        <w:continuationSeparator/>
      </w:r>
    </w:p>
  </w:footnote>
  <w:footnote w:id="0">
    <w:p w14:paraId="46B552BB">
      <w:pPr>
        <w:pStyle w:val="8"/>
        <w:rPr>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baseline"/>
        </w:rPr>
        <w:t>参见李安安：《股债融合论: 公司法贯通式改革的一个解释框架》，载《环球法律评论》2019年第4期；缪若冰：《公司融资对公司基本法律制度建构的证成》，载《经贸法律评论》2020年第5期。</w:t>
      </w:r>
    </w:p>
  </w:footnote>
  <w:footnote w:id="1">
    <w:p w14:paraId="3533B6D0">
      <w:pPr>
        <w:pStyle w:val="8"/>
        <w:rPr>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baseline"/>
        </w:rPr>
        <w:t xml:space="preserve"> 参见许德风：《公司融资语境下股与债的界分》，载《法学研究》2019年第2期。</w:t>
      </w:r>
    </w:p>
  </w:footnote>
  <w:footnote w:id="2">
    <w:p w14:paraId="1BF90C1A">
      <w:pPr>
        <w:pStyle w:val="8"/>
        <w:rPr>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baseline"/>
        </w:rPr>
        <w:t xml:space="preserve"> 参见冉克平、张仪昭：《股债融合视域下对赌协议的本质属性与法律规制》，载《重庆大学学报（社会科学版）》2025年第1期。最高人民法院近期裁判在定性过程中亦认为对赌协议区分于明股实债，参见最高人民法院(2022)最高法民申418号民事裁定书；最高人民法院(2020)最高法民申2759号民事裁定书。</w:t>
      </w:r>
    </w:p>
  </w:footnote>
  <w:footnote w:id="3">
    <w:p w14:paraId="267731E7">
      <w:pPr>
        <w:pStyle w:val="8"/>
        <w:snapToGrid w:val="0"/>
      </w:pPr>
      <w:r>
        <w:rPr>
          <w:rStyle w:val="13"/>
        </w:rPr>
        <w:footnoteRef/>
      </w:r>
      <w:r>
        <w:t xml:space="preserve"> </w:t>
      </w:r>
      <w:r>
        <w:rPr>
          <w:rFonts w:hint="eastAsia" w:ascii="仿宋" w:hAnsi="仿宋" w:eastAsia="仿宋" w:cs="仿宋"/>
          <w:szCs w:val="18"/>
          <w:lang w:val="en-US" w:eastAsia="zh-CN"/>
        </w:rPr>
        <w:t>参见最高人民法院</w:t>
      </w:r>
      <w:r>
        <w:rPr>
          <w:rFonts w:hint="eastAsia" w:ascii="仿宋" w:hAnsi="仿宋" w:eastAsia="仿宋" w:cs="仿宋"/>
          <w:szCs w:val="18"/>
        </w:rPr>
        <w:t>(2018)最高法民终785号</w:t>
      </w:r>
      <w:r>
        <w:rPr>
          <w:rFonts w:hint="eastAsia" w:ascii="仿宋" w:hAnsi="仿宋" w:eastAsia="仿宋" w:cs="仿宋"/>
          <w:szCs w:val="18"/>
          <w:lang w:val="en-US" w:eastAsia="zh-CN"/>
        </w:rPr>
        <w:t>民事判决书，</w:t>
      </w:r>
      <w:r>
        <w:rPr>
          <w:rFonts w:hint="eastAsia" w:ascii="仿宋" w:hAnsi="仿宋" w:eastAsia="仿宋" w:cs="仿宋"/>
          <w:szCs w:val="18"/>
        </w:rPr>
        <w:t>北京市高级人民法院(2021)京民终499号</w:t>
      </w:r>
      <w:r>
        <w:rPr>
          <w:rFonts w:hint="eastAsia" w:ascii="仿宋" w:hAnsi="仿宋" w:eastAsia="仿宋" w:cs="仿宋"/>
          <w:szCs w:val="18"/>
          <w:lang w:val="en-US" w:eastAsia="zh-CN"/>
        </w:rPr>
        <w:t>民事判决书。</w:t>
      </w:r>
      <w:r>
        <w:rPr>
          <w:rFonts w:hint="eastAsia" w:ascii="仿宋" w:hAnsi="仿宋" w:eastAsia="仿宋" w:cs="仿宋"/>
          <w:szCs w:val="18"/>
        </w:rPr>
        <w:t>浙江省高级人民法院(2019)浙民初13号</w:t>
      </w:r>
      <w:r>
        <w:rPr>
          <w:rFonts w:hint="eastAsia" w:ascii="仿宋" w:hAnsi="仿宋" w:eastAsia="仿宋" w:cs="仿宋"/>
          <w:szCs w:val="18"/>
          <w:lang w:val="en-US" w:eastAsia="zh-CN"/>
        </w:rPr>
        <w:t>民事判决书。</w:t>
      </w:r>
    </w:p>
  </w:footnote>
  <w:footnote w:id="4">
    <w:p w14:paraId="65046468">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九民纪要》第89条第2款：“当事人在相关合同中同时约定采用信托公司受让目标公司股权、向目标公司增资方式并以相应股权担保债权实现的，应当认定在当事人之间成立让与担保法律关系。”实践中以此种思路解释当事人交易结构的裁判案例十分常见。参见北京市第一中级人民法院(2021)京01民初730号民事判决书；江西省德兴市人民法院（2024）赣1181民初719号民事判决书；上海金融法院（2021）沪74民初750号民事判决书。</w:t>
      </w:r>
    </w:p>
  </w:footnote>
  <w:footnote w:id="5">
    <w:p w14:paraId="30E2BFC0">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参见王萌：《组织法视域下的股权让与担保及其效力体系》，载《法学家》2024年第2期。</w:t>
      </w:r>
    </w:p>
  </w:footnote>
  <w:footnote w:id="6">
    <w:p w14:paraId="05E2F58E">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参见周林彬：《商事流质的制度困境与“入典”选择》，载《法学》2019年第4期。</w:t>
      </w:r>
    </w:p>
  </w:footnote>
  <w:footnote w:id="7">
    <w:p w14:paraId="6EF30307">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法答网精选答问（第九批）——公司类精选答问专题》，载《人民法院报》2024年8月29日第7版。参见籍瑞华：《对赌协议中回购权的性质与期限之辨——以法律漏洞的填补为视角》，载《中国法律评论》2025年第2期。</w:t>
      </w:r>
    </w:p>
  </w:footnote>
  <w:footnote w:id="8">
    <w:p w14:paraId="09C4AAB8">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李安安：《股债融合论: 公司法贯通式改革的一个解释框架》，载《环球法律评论》2019年第4期。</w:t>
      </w:r>
    </w:p>
  </w:footnote>
  <w:footnote w:id="9">
    <w:p w14:paraId="58D60ED6">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参见贺小荣主编：《最高人民法院民事审判第二庭法官会议纪要：追寻裁判背后的法理》，人民法院出版社2018年版，第63一64页。</w:t>
      </w:r>
    </w:p>
  </w:footnote>
  <w:footnote w:id="10">
    <w:p w14:paraId="27041836">
      <w:pPr>
        <w:pStyle w:val="8"/>
        <w:rPr>
          <w:rStyle w:val="13"/>
          <w:rFonts w:hint="eastAsia" w:ascii="仿宋" w:hAnsi="仿宋" w:eastAsia="仿宋" w:cs="仿宋"/>
          <w:sz w:val="18"/>
          <w:szCs w:val="18"/>
        </w:rPr>
      </w:pPr>
      <w:r>
        <w:rPr>
          <w:rStyle w:val="13"/>
          <w:rFonts w:hint="eastAsia"/>
        </w:rPr>
        <w:footnoteRef/>
      </w:r>
      <w:r>
        <w:rPr>
          <w:rFonts w:hint="eastAsia" w:ascii="仿宋" w:hAnsi="仿宋" w:eastAsia="仿宋" w:cs="仿宋"/>
          <w:sz w:val="18"/>
          <w:szCs w:val="18"/>
        </w:rPr>
        <w:t xml:space="preserve"> 参见王蓓蓓：《对赌协议回购权纠纷实务疑难问题研究》，载《法律适用》2025年第8期；谷昔伟：《穿透式审判思维在民商事案件中的运用与界限》，载《山东法官培训学院学报（山东审判）》2022年第4期；陈明：《股权融资抑或名股实债：公司融资合同的性质认定——以农发公司诉通联公司股权转让纠纷案为例》，载《法律适用·司法案例》2020年第16期。三篇文章所援引的明股实债定义源于中国证券投资基金业协会：《证券期货经营机构私募资产管理计划备案管理规范第4号——私募资产管理计划投资房地产开发企业、项目》。</w:t>
      </w:r>
    </w:p>
  </w:footnote>
  <w:footnote w:id="11">
    <w:p w14:paraId="63219BBE">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参见[德]亚图·考夫曼：《类推与“事物本质”——兼论类型理论》，吴从周译，台湾学林文化事业有限公司1999年版，第113页。</w:t>
      </w:r>
    </w:p>
  </w:footnote>
  <w:footnote w:id="12">
    <w:p w14:paraId="2E14E301">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参见赵旭东：《第三种投资：对赌协议的立法回应与制度创新》，载《东方法学》2022年第4期。</w:t>
      </w:r>
    </w:p>
  </w:footnote>
  <w:footnote w:id="13">
    <w:p w14:paraId="685348BE">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陈广辉：《资管纠纷“穿透式审判”的适用路径与方法》，载《中国法律评论》2022年第6期；李欢：《论穿透式审判在金融风险司法化解中的适用规范与方法》，载《金融法苑》2024年总第112辑；黄海龙、潘玮璘：《论“穿透式审判”的基本内涵与实践方法》，载《法律适用》2023年第7期。</w:t>
      </w:r>
    </w:p>
  </w:footnote>
  <w:footnote w:id="14">
    <w:p w14:paraId="7D63EE7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参见天津市（2024）津02民终11396号第二中级人民法院民事判决书。</w:t>
      </w:r>
    </w:p>
  </w:footnote>
  <w:footnote w:id="15">
    <w:p w14:paraId="7DBF4867">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参见广东省高级人民法院（2023）粤民终4107号民事判决书。</w:t>
      </w:r>
    </w:p>
  </w:footnote>
  <w:footnote w:id="16">
    <w:p w14:paraId="2E49923A">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参见广东省广州市中级人民法院（2024）粤01民终1014号民事判决书；广东省深圳市前海合作区人民法院（2021）粤0391民初692号民事判决书。</w:t>
      </w:r>
    </w:p>
  </w:footnote>
  <w:footnote w:id="17">
    <w:p w14:paraId="577B89D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参见辽宁省大连市中级人民法院民事判决书（2024）辽02民终8072号；河南省高级人民法院（2023）豫民申9803号民事裁定书；广东省广州市中级人民法院（2022）粤01民终17493号民事判决书。</w:t>
      </w:r>
    </w:p>
  </w:footnote>
  <w:footnote w:id="18">
    <w:p w14:paraId="39631375">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湖南省高级人民法院（2021）湘民终307号民事判决书；广东省广州市中级人民法院（2024）粤01民终1014号民事判决书；新疆维吾尔自治区乌鲁木齐市中级人民法院（2024）新01民终638号民事判决书；广东省汕头市中级人民法院（2023）粤05民终775号民事判决书。</w:t>
      </w:r>
    </w:p>
  </w:footnote>
  <w:footnote w:id="19">
    <w:p w14:paraId="28EE450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参见湖南省高级人民法院（2021）湘民终960号民事判决书；陕西省高级人民法院（2020）陕民终810号民事判决书；上海金融法院（2021）沪74民初750号民事判决书。</w:t>
      </w:r>
    </w:p>
  </w:footnote>
  <w:footnote w:id="20">
    <w:p w14:paraId="57D9CE24">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参见赵旭东：《第三种投资：对赌协议的立法回应与制度创新》，载《东方法学》2022年第4期。</w:t>
      </w:r>
    </w:p>
  </w:footnote>
  <w:footnote w:id="21">
    <w:p w14:paraId="59C61D4F">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参见最高人民法院(2020)最高法民申2759号民事裁定书。</w:t>
      </w:r>
    </w:p>
  </w:footnote>
  <w:footnote w:id="22">
    <w:p w14:paraId="205F3E90">
      <w:pPr>
        <w:pStyle w:val="8"/>
        <w:rPr>
          <w:rStyle w:val="13"/>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 xml:space="preserve">See </w:t>
      </w:r>
      <w:r>
        <w:rPr>
          <w:rStyle w:val="13"/>
          <w:rFonts w:hint="eastAsia" w:ascii="仿宋" w:hAnsi="仿宋" w:eastAsia="仿宋" w:cs="仿宋"/>
          <w:sz w:val="18"/>
          <w:szCs w:val="18"/>
          <w:vertAlign w:val="baseline"/>
        </w:rPr>
        <w:t>Willi</w:t>
      </w:r>
      <w:r>
        <w:rPr>
          <w:rFonts w:hint="eastAsia" w:ascii="仿宋" w:hAnsi="仿宋" w:eastAsia="仿宋" w:cs="仿宋"/>
          <w:sz w:val="18"/>
          <w:szCs w:val="18"/>
        </w:rPr>
        <w:t>am</w:t>
      </w:r>
      <w:r>
        <w:rPr>
          <w:rStyle w:val="13"/>
          <w:rFonts w:hint="eastAsia" w:ascii="仿宋" w:hAnsi="仿宋" w:eastAsia="仿宋" w:cs="仿宋"/>
          <w:sz w:val="18"/>
          <w:szCs w:val="18"/>
          <w:vertAlign w:val="baseline"/>
        </w:rPr>
        <w:t xml:space="preserve"> W. Bratton：</w:t>
      </w:r>
      <w:r>
        <w:rPr>
          <w:rStyle w:val="13"/>
          <w:rFonts w:hint="eastAsia" w:ascii="仿宋" w:hAnsi="仿宋" w:eastAsia="仿宋" w:cs="仿宋"/>
          <w:i/>
          <w:iCs/>
          <w:sz w:val="18"/>
          <w:szCs w:val="18"/>
          <w:vertAlign w:val="baseline"/>
        </w:rPr>
        <w:t>Bond and loan covenants, theory and practice</w:t>
      </w:r>
      <w:r>
        <w:rPr>
          <w:rFonts w:hint="eastAsia" w:ascii="仿宋" w:hAnsi="仿宋" w:eastAsia="仿宋" w:cs="仿宋"/>
          <w:sz w:val="18"/>
          <w:szCs w:val="18"/>
        </w:rPr>
        <w:t>，</w:t>
      </w:r>
      <w:r>
        <w:rPr>
          <w:rStyle w:val="13"/>
          <w:rFonts w:hint="eastAsia" w:ascii="仿宋" w:hAnsi="仿宋" w:eastAsia="仿宋" w:cs="仿宋"/>
          <w:sz w:val="18"/>
          <w:szCs w:val="18"/>
          <w:vertAlign w:val="baseline"/>
        </w:rPr>
        <w:t>1</w:t>
      </w:r>
      <w:r>
        <w:rPr>
          <w:rFonts w:hint="eastAsia" w:ascii="仿宋" w:hAnsi="仿宋" w:eastAsia="仿宋" w:cs="仿宋"/>
          <w:sz w:val="18"/>
          <w:szCs w:val="18"/>
        </w:rPr>
        <w:t xml:space="preserve">1 </w:t>
      </w:r>
      <w:r>
        <w:rPr>
          <w:rStyle w:val="13"/>
          <w:rFonts w:hint="eastAsia" w:ascii="仿宋" w:hAnsi="仿宋" w:eastAsia="仿宋" w:cs="仿宋"/>
          <w:sz w:val="18"/>
          <w:szCs w:val="18"/>
          <w:vertAlign w:val="baseline"/>
        </w:rPr>
        <w:t>Capital Markets Law Journal</w:t>
      </w:r>
      <w:r>
        <w:rPr>
          <w:rFonts w:hint="eastAsia" w:ascii="仿宋" w:hAnsi="仿宋" w:eastAsia="仿宋" w:cs="仿宋"/>
          <w:sz w:val="18"/>
          <w:szCs w:val="18"/>
        </w:rPr>
        <w:t xml:space="preserve"> </w:t>
      </w:r>
      <w:r>
        <w:rPr>
          <w:rStyle w:val="13"/>
          <w:rFonts w:hint="eastAsia" w:ascii="仿宋" w:hAnsi="仿宋" w:eastAsia="仿宋" w:cs="仿宋"/>
          <w:sz w:val="18"/>
          <w:szCs w:val="18"/>
          <w:vertAlign w:val="baseline"/>
        </w:rPr>
        <w:t>461</w:t>
      </w:r>
      <w:r>
        <w:rPr>
          <w:rFonts w:hint="eastAsia" w:ascii="仿宋" w:hAnsi="仿宋" w:eastAsia="仿宋" w:cs="仿宋"/>
          <w:sz w:val="18"/>
          <w:szCs w:val="18"/>
        </w:rPr>
        <w:t>（2016），</w:t>
      </w:r>
      <w:r>
        <w:rPr>
          <w:rStyle w:val="13"/>
          <w:rFonts w:hint="eastAsia" w:ascii="仿宋" w:hAnsi="仿宋" w:eastAsia="仿宋" w:cs="仿宋"/>
          <w:sz w:val="18"/>
          <w:szCs w:val="18"/>
          <w:vertAlign w:val="baseline"/>
        </w:rPr>
        <w:t>p462.</w:t>
      </w:r>
    </w:p>
  </w:footnote>
  <w:footnote w:id="23">
    <w:p w14:paraId="00EFCC25">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w:t>
      </w:r>
      <w:r>
        <w:rPr>
          <w:rStyle w:val="13"/>
          <w:rFonts w:hint="eastAsia" w:ascii="仿宋" w:hAnsi="仿宋" w:eastAsia="仿宋" w:cs="仿宋"/>
          <w:sz w:val="18"/>
          <w:szCs w:val="18"/>
          <w:vertAlign w:val="baseline"/>
        </w:rPr>
        <w:t>最高人民法院</w:t>
      </w:r>
      <w:r>
        <w:rPr>
          <w:rFonts w:hint="eastAsia" w:ascii="仿宋" w:hAnsi="仿宋" w:eastAsia="仿宋" w:cs="仿宋"/>
          <w:sz w:val="18"/>
          <w:szCs w:val="18"/>
        </w:rPr>
        <w:t>(2019)最高法民终355号</w:t>
      </w:r>
      <w:r>
        <w:rPr>
          <w:rStyle w:val="13"/>
          <w:rFonts w:hint="eastAsia" w:ascii="仿宋" w:hAnsi="仿宋" w:eastAsia="仿宋" w:cs="仿宋"/>
          <w:sz w:val="18"/>
          <w:szCs w:val="18"/>
          <w:vertAlign w:val="baseline"/>
        </w:rPr>
        <w:t>民事</w:t>
      </w:r>
      <w:r>
        <w:rPr>
          <w:rFonts w:hint="eastAsia" w:ascii="仿宋" w:hAnsi="仿宋" w:eastAsia="仿宋" w:cs="仿宋"/>
          <w:sz w:val="18"/>
          <w:szCs w:val="18"/>
        </w:rPr>
        <w:t>判决</w:t>
      </w:r>
      <w:r>
        <w:rPr>
          <w:rStyle w:val="13"/>
          <w:rFonts w:hint="eastAsia" w:ascii="仿宋" w:hAnsi="仿宋" w:eastAsia="仿宋" w:cs="仿宋"/>
          <w:sz w:val="18"/>
          <w:szCs w:val="18"/>
          <w:vertAlign w:val="baseline"/>
        </w:rPr>
        <w:t>书</w:t>
      </w:r>
      <w:r>
        <w:rPr>
          <w:rFonts w:hint="eastAsia" w:ascii="仿宋" w:hAnsi="仿宋" w:eastAsia="仿宋" w:cs="仿宋"/>
          <w:sz w:val="18"/>
          <w:szCs w:val="18"/>
        </w:rPr>
        <w:t>。</w:t>
      </w:r>
    </w:p>
  </w:footnote>
  <w:footnote w:id="24">
    <w:p w14:paraId="0A7752E7">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参见潘林：《重新认识“合同”与“公司”：基于“对赌协议”类案的中美比较研究》，载《中外法学》2017年第1期。</w:t>
      </w:r>
    </w:p>
  </w:footnote>
  <w:footnote w:id="25">
    <w:p w14:paraId="1EB428E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参见[美]罗伯塔·罗曼诺：《公司法基础》（第二版），罗培新译，北京大学出版社2013年版，第193页。。</w:t>
      </w:r>
    </w:p>
  </w:footnote>
  <w:footnote w:id="26">
    <w:p w14:paraId="00913797">
      <w:pPr>
        <w:pStyle w:val="8"/>
        <w:rPr>
          <w:rStyle w:val="13"/>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参见岳万兵：《债权人保护的公司法逻辑——以行为法的功能缺失与组织法的功能填补为视角》，载《政治与法律》2024年第2期。</w:t>
      </w:r>
    </w:p>
  </w:footnote>
  <w:footnote w:id="27">
    <w:p w14:paraId="5E0E50A4">
      <w:pPr>
        <w:pStyle w:val="8"/>
        <w:rPr>
          <w:rStyle w:val="13"/>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vertAlign w:val="superscript"/>
        </w:rPr>
        <w:t xml:space="preserve"> </w:t>
      </w:r>
      <w:r>
        <w:rPr>
          <w:rStyle w:val="13"/>
          <w:rFonts w:hint="eastAsia" w:ascii="仿宋" w:hAnsi="仿宋" w:eastAsia="仿宋" w:cs="仿宋"/>
          <w:sz w:val="18"/>
          <w:szCs w:val="18"/>
          <w:vertAlign w:val="baseline"/>
        </w:rPr>
        <w:t>参见浙江省湖州市吴兴区（2016）浙0502民初1671号人民法院民事判决书。</w:t>
      </w:r>
    </w:p>
  </w:footnote>
  <w:footnote w:id="28">
    <w:p w14:paraId="66388F49">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阙梓冰：《论合同定性中的“目的”——以名实不符合同为视角》，载《法学家》2023年第6期。</w:t>
      </w:r>
    </w:p>
  </w:footnote>
  <w:footnote w:id="29">
    <w:p w14:paraId="22DDE034">
      <w:pPr>
        <w:pStyle w:val="8"/>
        <w:rPr>
          <w:rFonts w:hint="eastAsia" w:ascii="仿宋" w:hAnsi="仿宋" w:eastAsia="仿宋" w:cs="仿宋"/>
          <w:sz w:val="18"/>
          <w:szCs w:val="18"/>
        </w:rPr>
      </w:pPr>
      <w:r>
        <w:rPr>
          <w:rStyle w:val="11"/>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参见赵文杰：《〈合同法〉第94条（法定解除）评注》，载《法学家》2019年第4期。</w:t>
      </w:r>
    </w:p>
  </w:footnote>
  <w:footnote w:id="30">
    <w:p w14:paraId="00535C60">
      <w:pPr>
        <w:pStyle w:val="8"/>
        <w:snapToGrid w:val="0"/>
        <w:rPr>
          <w:rFonts w:hint="eastAsia" w:ascii="仿宋" w:hAnsi="仿宋" w:eastAsia="仿宋" w:cs="仿宋"/>
          <w:szCs w:val="18"/>
        </w:rPr>
      </w:pPr>
      <w:r>
        <w:rPr>
          <w:rStyle w:val="11"/>
          <w:rFonts w:hint="eastAsia" w:ascii="仿宋" w:hAnsi="仿宋" w:eastAsia="仿宋" w:cs="仿宋"/>
          <w:szCs w:val="18"/>
          <w:vertAlign w:val="superscript"/>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于程</w:t>
      </w:r>
      <w:r>
        <w:rPr>
          <w:rFonts w:hint="eastAsia" w:ascii="仿宋" w:hAnsi="仿宋" w:eastAsia="仿宋" w:cs="仿宋"/>
          <w:szCs w:val="18"/>
          <w:lang w:val="en-US" w:eastAsia="zh-CN"/>
        </w:rPr>
        <w:t>远：《</w:t>
      </w:r>
      <w:r>
        <w:rPr>
          <w:rFonts w:hint="eastAsia" w:ascii="仿宋" w:hAnsi="仿宋" w:eastAsia="仿宋" w:cs="仿宋"/>
          <w:szCs w:val="18"/>
        </w:rPr>
        <w:t>论法律行为定性中的“名”与“实</w:t>
      </w:r>
      <w:r>
        <w:rPr>
          <w:rFonts w:hint="eastAsia" w:ascii="仿宋" w:hAnsi="仿宋" w:eastAsia="仿宋" w:cs="仿宋"/>
          <w:szCs w:val="18"/>
          <w:lang w:eastAsia="zh-CN"/>
        </w:rPr>
        <w:t>”》，</w:t>
      </w:r>
      <w:r>
        <w:rPr>
          <w:rFonts w:hint="eastAsia" w:ascii="仿宋" w:hAnsi="仿宋" w:eastAsia="仿宋" w:cs="仿宋"/>
          <w:szCs w:val="18"/>
          <w:lang w:val="en-US" w:eastAsia="zh-CN"/>
        </w:rPr>
        <w:t>载《法学》2021年第7期。</w:t>
      </w:r>
      <w:r>
        <w:rPr>
          <w:rFonts w:hint="eastAsia" w:ascii="仿宋" w:hAnsi="仿宋" w:eastAsia="仿宋" w:cs="仿宋"/>
          <w:szCs w:val="18"/>
        </w:rPr>
        <w:t xml:space="preserve"> </w:t>
      </w:r>
    </w:p>
  </w:footnote>
  <w:footnote w:id="31">
    <w:p w14:paraId="34EEE7F5">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参见甘肃省兰州市中级人民法院(2022)甘01民初468号民事判决书。</w:t>
      </w:r>
    </w:p>
  </w:footnote>
  <w:footnote w:id="32">
    <w:p w14:paraId="797E2DD6">
      <w:pPr>
        <w:pStyle w:val="8"/>
        <w:snapToGrid w:val="0"/>
        <w:rPr>
          <w:rFonts w:hint="eastAsia" w:ascii="仿宋" w:hAnsi="仿宋" w:eastAsia="仿宋" w:cs="仿宋"/>
          <w:szCs w:val="18"/>
          <w:lang w:val="en-US" w:eastAsia="zh-CN"/>
        </w:rPr>
      </w:pPr>
      <w:r>
        <w:rPr>
          <w:rStyle w:val="11"/>
          <w:rFonts w:hint="eastAsia" w:ascii="仿宋" w:hAnsi="仿宋" w:eastAsia="仿宋" w:cs="仿宋"/>
          <w:szCs w:val="18"/>
          <w:vertAlign w:val="superscript"/>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阙梓冰：《论合同定性中的“目的”——以名实不符合同为视角》，载《法学家》2023年第6期。</w:t>
      </w:r>
    </w:p>
  </w:footnote>
  <w:footnote w:id="33">
    <w:p w14:paraId="0A1256E2">
      <w:pPr>
        <w:pStyle w:val="8"/>
        <w:snapToGrid w:val="0"/>
        <w:rPr>
          <w:rFonts w:hint="eastAsia" w:ascii="仿宋" w:hAnsi="仿宋" w:eastAsia="仿宋" w:cs="仿宋"/>
          <w:szCs w:val="18"/>
          <w:lang w:val="en-US" w:eastAsia="zh-CN"/>
        </w:rPr>
      </w:pPr>
      <w:r>
        <w:rPr>
          <w:rStyle w:val="11"/>
          <w:rFonts w:hint="eastAsia" w:ascii="仿宋" w:hAnsi="仿宋" w:eastAsia="仿宋" w:cs="仿宋"/>
          <w:szCs w:val="18"/>
          <w:vertAlign w:val="superscript"/>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参见蒋大兴主编：《</w:t>
      </w:r>
      <w:r>
        <w:rPr>
          <w:rFonts w:hint="eastAsia" w:ascii="仿宋" w:hAnsi="仿宋" w:eastAsia="仿宋" w:cs="仿宋"/>
          <w:szCs w:val="18"/>
        </w:rPr>
        <w:t>法院中的公司法</w:t>
      </w:r>
      <w:r>
        <w:rPr>
          <w:rFonts w:hint="eastAsia" w:ascii="仿宋" w:hAnsi="仿宋" w:eastAsia="仿宋" w:cs="仿宋"/>
          <w:szCs w:val="18"/>
          <w:lang w:val="en-US" w:eastAsia="zh-CN"/>
        </w:rPr>
        <w:t>.1上》，法律出版社2024年版，第193页。</w:t>
      </w:r>
    </w:p>
  </w:footnote>
  <w:footnote w:id="34">
    <w:p w14:paraId="4C457D44">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参见翟远见：《〈民法典〉第160条（附期限法律行为）评注》，载《法学家》2020年第5期。</w:t>
      </w:r>
    </w:p>
  </w:footnote>
  <w:footnote w:id="35">
    <w:p w14:paraId="52331D64">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[英]艾利斯·费伦、[马来西亚]何禄赞著：《公司金融法律原理（第二版）》，罗培新、沈志韬译，北京大学出版社2021年版，第49页。</w:t>
      </w:r>
    </w:p>
  </w:footnote>
  <w:footnote w:id="36">
    <w:p w14:paraId="0DFB5AAD">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 xml:space="preserve">See </w:t>
      </w:r>
      <w:r>
        <w:rPr>
          <w:rFonts w:hint="eastAsia" w:ascii="仿宋" w:hAnsi="仿宋" w:eastAsia="仿宋" w:cs="仿宋"/>
          <w:sz w:val="18"/>
          <w:szCs w:val="18"/>
        </w:rPr>
        <w:t xml:space="preserve">Oliver E. Williamson,  </w:t>
      </w:r>
      <w:r>
        <w:rPr>
          <w:rFonts w:hint="eastAsia" w:ascii="仿宋" w:hAnsi="仿宋" w:eastAsia="仿宋" w:cs="仿宋"/>
          <w:i/>
          <w:iCs/>
          <w:sz w:val="18"/>
          <w:szCs w:val="18"/>
        </w:rPr>
        <w:t>Corporate Finance and Corporate Governance</w:t>
      </w:r>
      <w:r>
        <w:rPr>
          <w:rFonts w:hint="eastAsia" w:ascii="仿宋" w:hAnsi="仿宋" w:eastAsia="仿宋" w:cs="仿宋"/>
          <w:sz w:val="18"/>
          <w:szCs w:val="18"/>
        </w:rPr>
        <w:t>, 43 The Journal of Finance 567(1988),p567.</w:t>
      </w:r>
    </w:p>
  </w:footnote>
  <w:footnote w:id="37">
    <w:p w14:paraId="7ED24E0D">
      <w:pPr>
        <w:pStyle w:val="8"/>
        <w:rPr>
          <w:rStyle w:val="13"/>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rPr>
        <w:t xml:space="preserve"> </w:t>
      </w:r>
      <w:r>
        <w:rPr>
          <w:rFonts w:hint="eastAsia" w:ascii="仿宋" w:hAnsi="仿宋" w:eastAsia="仿宋" w:cs="仿宋"/>
          <w:sz w:val="18"/>
          <w:szCs w:val="18"/>
        </w:rPr>
        <w:t xml:space="preserve"> </w:t>
      </w:r>
      <w:r>
        <w:rPr>
          <w:rStyle w:val="13"/>
          <w:rFonts w:hint="eastAsia" w:ascii="仿宋" w:hAnsi="仿宋" w:eastAsia="仿宋" w:cs="仿宋"/>
          <w:sz w:val="18"/>
          <w:szCs w:val="18"/>
          <w:vertAlign w:val="baseline"/>
        </w:rPr>
        <w:t>参见陈明：《股权融资抑或名股实债：公司融资合同的性质认定</w:t>
      </w:r>
      <w:r>
        <w:rPr>
          <w:rFonts w:hint="eastAsia" w:ascii="仿宋" w:hAnsi="仿宋" w:eastAsia="仿宋" w:cs="仿宋"/>
          <w:sz w:val="18"/>
          <w:szCs w:val="18"/>
        </w:rPr>
        <w:t>——</w:t>
      </w:r>
      <w:r>
        <w:rPr>
          <w:rStyle w:val="13"/>
          <w:rFonts w:hint="eastAsia" w:ascii="仿宋" w:hAnsi="仿宋" w:eastAsia="仿宋" w:cs="仿宋"/>
          <w:sz w:val="18"/>
          <w:szCs w:val="18"/>
          <w:vertAlign w:val="baseline"/>
        </w:rPr>
        <w:t>以农发公司诉通联公司股权转让纠纷案为例</w:t>
      </w:r>
      <w:r>
        <w:rPr>
          <w:rFonts w:hint="eastAsia" w:ascii="仿宋" w:hAnsi="仿宋" w:eastAsia="仿宋" w:cs="仿宋"/>
          <w:sz w:val="18"/>
          <w:szCs w:val="18"/>
        </w:rPr>
        <w:t>》</w:t>
      </w:r>
      <w:r>
        <w:rPr>
          <w:rStyle w:val="13"/>
          <w:rFonts w:hint="eastAsia" w:ascii="仿宋" w:hAnsi="仿宋" w:eastAsia="仿宋" w:cs="仿宋"/>
          <w:sz w:val="18"/>
          <w:szCs w:val="18"/>
          <w:vertAlign w:val="baseline"/>
        </w:rPr>
        <w:t>，</w:t>
      </w:r>
      <w:r>
        <w:rPr>
          <w:rFonts w:hint="eastAsia" w:ascii="仿宋" w:hAnsi="仿宋" w:eastAsia="仿宋" w:cs="仿宋"/>
          <w:sz w:val="18"/>
          <w:szCs w:val="18"/>
        </w:rPr>
        <w:t>载《</w:t>
      </w:r>
      <w:r>
        <w:rPr>
          <w:rStyle w:val="13"/>
          <w:rFonts w:hint="eastAsia" w:ascii="仿宋" w:hAnsi="仿宋" w:eastAsia="仿宋" w:cs="仿宋"/>
          <w:sz w:val="18"/>
          <w:szCs w:val="18"/>
          <w:vertAlign w:val="baseline"/>
        </w:rPr>
        <w:t>法律适用</w:t>
      </w:r>
      <w:r>
        <w:rPr>
          <w:rFonts w:hint="eastAsia" w:ascii="仿宋" w:hAnsi="仿宋" w:eastAsia="仿宋" w:cs="仿宋"/>
          <w:sz w:val="18"/>
          <w:szCs w:val="18"/>
        </w:rPr>
        <w:t>》</w:t>
      </w:r>
      <w:r>
        <w:rPr>
          <w:rStyle w:val="13"/>
          <w:rFonts w:hint="eastAsia" w:ascii="仿宋" w:hAnsi="仿宋" w:eastAsia="仿宋" w:cs="仿宋"/>
          <w:sz w:val="18"/>
          <w:szCs w:val="18"/>
          <w:vertAlign w:val="baseline"/>
        </w:rPr>
        <w:t>2020年第16期</w:t>
      </w:r>
      <w:r>
        <w:rPr>
          <w:rFonts w:hint="eastAsia" w:ascii="仿宋" w:hAnsi="仿宋" w:eastAsia="仿宋" w:cs="仿宋"/>
          <w:sz w:val="18"/>
          <w:szCs w:val="18"/>
        </w:rPr>
        <w:t>。</w:t>
      </w:r>
    </w:p>
  </w:footnote>
  <w:footnote w:id="38">
    <w:p w14:paraId="6509333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参见刘斌：《认真对待公司清偿能力模式》，载《法律科学》2021年第4期。</w:t>
      </w:r>
    </w:p>
  </w:footnote>
  <w:footnote w:id="39">
    <w:p w14:paraId="2CFDE35A">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参见潘林：《重新认识“合同”与“公司”：基于“对赌协议”类案的中美比较研究》，载《中外法学》2017年第1期。</w:t>
      </w:r>
    </w:p>
  </w:footnote>
  <w:footnote w:id="40">
    <w:p w14:paraId="2307B389">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Oliver Hart, John Moore,</w:t>
      </w:r>
      <w:r>
        <w:rPr>
          <w:rFonts w:hint="eastAsia" w:ascii="仿宋" w:hAnsi="仿宋" w:eastAsia="仿宋" w:cs="仿宋"/>
          <w:i/>
          <w:iCs/>
          <w:sz w:val="18"/>
          <w:szCs w:val="18"/>
        </w:rPr>
        <w:t xml:space="preserve"> Property Rights and the Nature of the Firm</w:t>
      </w:r>
      <w:r>
        <w:rPr>
          <w:rFonts w:hint="eastAsia" w:ascii="仿宋" w:hAnsi="仿宋" w:eastAsia="仿宋" w:cs="仿宋"/>
          <w:sz w:val="18"/>
          <w:szCs w:val="18"/>
        </w:rPr>
        <w:t>, 98 The Journal of Political Economy 1119 (1990)，p1120.</w:t>
      </w:r>
    </w:p>
  </w:footnote>
  <w:footnote w:id="41">
    <w:p w14:paraId="797F5F5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参见陈克：《论不完全合同视角下的公司融资》，载《交大法学》2020年第1期。</w:t>
      </w:r>
    </w:p>
  </w:footnote>
  <w:footnote w:id="42">
    <w:p w14:paraId="26788A62">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参见许德风：《公司融资语境下股与债的界分》，载《法学研究》2019年第2期。</w:t>
      </w:r>
    </w:p>
  </w:footnote>
  <w:footnote w:id="43">
    <w:p w14:paraId="7961911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参见吴飞飞：《论股权转让合同解除规则的体系不一致缺陷与治愈——指导案例67号组织法裁判规则反思》，载《政治与法律》2021年第7期。</w:t>
      </w:r>
    </w:p>
  </w:footnote>
  <w:footnote w:id="44">
    <w:p w14:paraId="2F070D3F">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参见郭金良：《金融司法与监管的协同：穿透式审判中的挑战与回应》，载《当代法学》2024年第5期。</w:t>
      </w:r>
    </w:p>
  </w:footnote>
  <w:footnote w:id="45">
    <w:p w14:paraId="3C93FC3C">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参见重庆市高级人民法院（2014）渝高法民初字第00010号民事判决书。</w:t>
      </w:r>
    </w:p>
  </w:footnote>
  <w:footnote w:id="46">
    <w:p w14:paraId="1440552D">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施天涛：《商事法律行为初论》，载《法律科学》2021年第1期。</w:t>
      </w:r>
    </w:p>
  </w:footnote>
  <w:footnote w:id="47">
    <w:p w14:paraId="03106EDA">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参见王雷：《何为商事合同？》，载《浙江大学学报（人文社会科学版）》2025年第2期。</w:t>
      </w:r>
    </w:p>
  </w:footnote>
  <w:footnote w:id="48">
    <w:p w14:paraId="287949F5">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参见李欣倩：《通谋虚伪规则适用的泛化与回归》，载《法商研究》2025年第4期。</w:t>
      </w:r>
    </w:p>
  </w:footnote>
  <w:footnote w:id="49">
    <w:p w14:paraId="50170EA7">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Henry Hansmann &amp; Reinier Kraakman, </w:t>
      </w:r>
      <w:r>
        <w:rPr>
          <w:rFonts w:hint="eastAsia" w:ascii="仿宋" w:hAnsi="仿宋" w:eastAsia="仿宋" w:cs="仿宋"/>
          <w:i/>
          <w:iCs/>
          <w:sz w:val="18"/>
          <w:szCs w:val="18"/>
        </w:rPr>
        <w:t>The Essential Role of Organizational Law</w:t>
      </w:r>
      <w:r>
        <w:rPr>
          <w:rFonts w:hint="eastAsia" w:ascii="仿宋" w:hAnsi="仿宋" w:eastAsia="仿宋" w:cs="仿宋"/>
          <w:sz w:val="18"/>
          <w:szCs w:val="18"/>
        </w:rPr>
        <w:t>, 110 The Yale Law Journal 387(2000),p390</w:t>
      </w:r>
    </w:p>
  </w:footnote>
  <w:footnote w:id="50">
    <w:p w14:paraId="1F99F490">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参见岳万兵：《债权人保护的公司法逻辑：——以行为法的功能缺失与组织法的功能填补为视角》，载《政治与法律》2024年第2期。</w:t>
      </w:r>
    </w:p>
  </w:footnote>
  <w:footnote w:id="51">
    <w:p w14:paraId="7047EE4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参见王涌：《财产权谱系、财产权法定主义与民法典〈财产法总则〉》，载《政法论坛》2016年第1期。</w:t>
      </w:r>
    </w:p>
  </w:footnote>
  <w:footnote w:id="52">
    <w:p w14:paraId="2C2A76F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参见朱慈蕴：《中国公司资本制度体系化再造之思考》，载《法律科学》2021年第3期。</w:t>
      </w:r>
    </w:p>
  </w:footnote>
  <w:footnote w:id="53">
    <w:p w14:paraId="7421DD1B">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参见赵旭东：《第三种投资：对赌协议的立法回应与制度创新》，载《东方法学》2022年第4期。</w:t>
      </w:r>
    </w:p>
  </w:footnote>
  <w:footnote w:id="54">
    <w:p w14:paraId="522C41AE">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参见陈醇：《非典型合同纠纷案中相似性的结构识别法》，载《经贸法律评论》2023年第3期。</w:t>
      </w:r>
    </w:p>
  </w:footnote>
  <w:footnote w:id="55">
    <w:p w14:paraId="06E08735">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Stephen J. Choi, </w:t>
      </w:r>
      <w:r>
        <w:rPr>
          <w:rFonts w:hint="eastAsia" w:ascii="仿宋" w:hAnsi="仿宋" w:eastAsia="仿宋" w:cs="仿宋"/>
          <w:i/>
          <w:iCs/>
          <w:sz w:val="18"/>
          <w:szCs w:val="18"/>
        </w:rPr>
        <w:t>Investor Liability: Financial Innovations in the Regulatory State and the Coming Revolution in Corporate Law</w:t>
      </w:r>
      <w:r>
        <w:rPr>
          <w:rFonts w:hint="eastAsia" w:ascii="仿宋" w:hAnsi="仿宋" w:eastAsia="仿宋" w:cs="仿宋"/>
          <w:sz w:val="18"/>
          <w:szCs w:val="18"/>
        </w:rPr>
        <w:t xml:space="preserve"> , 107 Harvard Law Review 1941 (1994)，p1941-1942.</w:t>
      </w:r>
    </w:p>
  </w:footnote>
  <w:footnote w:id="56">
    <w:p w14:paraId="644BD23C">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John C. Coffee Jr., </w:t>
      </w:r>
      <w:r>
        <w:rPr>
          <w:rFonts w:hint="eastAsia" w:ascii="仿宋" w:hAnsi="仿宋" w:eastAsia="仿宋" w:cs="仿宋"/>
          <w:i/>
          <w:iCs/>
          <w:sz w:val="18"/>
          <w:szCs w:val="18"/>
        </w:rPr>
        <w:t>Mandatory/Enabling Balance in Corporate Law: An Essay on the Judicial Role</w:t>
      </w:r>
      <w:r>
        <w:rPr>
          <w:rFonts w:hint="eastAsia" w:ascii="仿宋" w:hAnsi="仿宋" w:eastAsia="仿宋" w:cs="仿宋"/>
          <w:sz w:val="18"/>
          <w:szCs w:val="18"/>
        </w:rPr>
        <w:t>,89 Columbia Law Review 1618(1989)，p1621.</w:t>
      </w:r>
    </w:p>
  </w:footnote>
  <w:footnote w:id="57">
    <w:p w14:paraId="4BCD2E39">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John C. Coffee Jr., </w:t>
      </w:r>
      <w:r>
        <w:rPr>
          <w:rFonts w:hint="eastAsia" w:ascii="仿宋" w:hAnsi="仿宋" w:eastAsia="仿宋" w:cs="仿宋"/>
          <w:i/>
          <w:iCs/>
          <w:sz w:val="18"/>
          <w:szCs w:val="18"/>
        </w:rPr>
        <w:t>Mandatory/Enabling Balance in Corporate Law: An Essay on the Judicial Role</w:t>
      </w:r>
      <w:r>
        <w:rPr>
          <w:rFonts w:hint="eastAsia" w:ascii="仿宋" w:hAnsi="仿宋" w:eastAsia="仿宋" w:cs="仿宋"/>
          <w:sz w:val="18"/>
          <w:szCs w:val="18"/>
        </w:rPr>
        <w:t>, 89 Columbia Law Review 1618(1989)，p1689.</w:t>
      </w:r>
    </w:p>
  </w:footnote>
  <w:footnote w:id="58">
    <w:p w14:paraId="1973262A">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刘燕、唐晨雪：《对赌协议履行僵局的司法介入》，载《经贸法律评论》2024年第5期。</w:t>
      </w:r>
    </w:p>
  </w:footnote>
  <w:footnote w:id="59">
    <w:p w14:paraId="718BCA7C">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北京市高级人民法院（2021）京民终495号民事判决书。本案中法院认为“《公司法》之所以规定“股东不得抽逃出资”，其主要目的是贯彻资本维持原则，保护公司债权人的利益。目标公司在不回购股权的情况下，其基于未履行股权回购义务支付违约金，并不导致公司注册资本的减少，亦不必然导致债权人利益受损。”法院对于公司资本和公司资产的理解有待商榷，但其以规范目的为核心的裁判思路值得肯定。</w:t>
      </w:r>
    </w:p>
  </w:footnote>
  <w:footnote w:id="60">
    <w:p w14:paraId="7CB87B04">
      <w:pPr>
        <w:pStyle w:val="8"/>
        <w:snapToGrid w:val="0"/>
        <w:rPr>
          <w:rFonts w:hint="eastAsia" w:ascii="仿宋" w:hAnsi="仿宋" w:eastAsia="仿宋" w:cs="仿宋"/>
          <w:szCs w:val="18"/>
          <w:lang w:val="en-US" w:eastAsia="zh-CN"/>
        </w:rPr>
      </w:pPr>
      <w:r>
        <w:rPr>
          <w:rStyle w:val="13"/>
        </w:rPr>
        <w:footnoteRef/>
      </w:r>
      <w:r>
        <w:t xml:space="preserve"> </w:t>
      </w:r>
      <w:r>
        <w:rPr>
          <w:rFonts w:hint="eastAsia" w:ascii="仿宋" w:hAnsi="仿宋" w:eastAsia="仿宋" w:cs="仿宋"/>
          <w:szCs w:val="18"/>
          <w:lang w:val="en-US" w:eastAsia="zh-CN"/>
        </w:rPr>
        <w:t>参见</w:t>
      </w:r>
      <w:r>
        <w:rPr>
          <w:rFonts w:hint="eastAsia" w:ascii="仿宋" w:hAnsi="仿宋" w:eastAsia="仿宋" w:cs="仿宋"/>
          <w:szCs w:val="18"/>
        </w:rPr>
        <w:t>刘燕：</w:t>
      </w:r>
      <w:r>
        <w:rPr>
          <w:rFonts w:hint="eastAsia" w:ascii="仿宋" w:hAnsi="仿宋" w:eastAsia="仿宋" w:cs="仿宋"/>
          <w:szCs w:val="18"/>
          <w:lang w:eastAsia="zh-CN"/>
        </w:rPr>
        <w:t>《</w:t>
      </w:r>
      <w:r>
        <w:rPr>
          <w:rFonts w:hint="eastAsia" w:ascii="仿宋" w:hAnsi="仿宋" w:eastAsia="仿宋" w:cs="仿宋"/>
          <w:szCs w:val="18"/>
        </w:rPr>
        <w:t>对赌协议困局与〈</w:t>
      </w:r>
      <w:r>
        <w:rPr>
          <w:rFonts w:hint="eastAsia" w:ascii="仿宋" w:hAnsi="仿宋" w:eastAsia="仿宋" w:cs="仿宋"/>
          <w:szCs w:val="18"/>
          <w:lang w:val="en-US" w:eastAsia="zh-CN"/>
        </w:rPr>
        <w:t>公司法</w:t>
      </w:r>
      <w:r>
        <w:rPr>
          <w:rFonts w:hint="eastAsia" w:ascii="仿宋" w:hAnsi="仿宋" w:eastAsia="仿宋" w:cs="仿宋"/>
          <w:szCs w:val="18"/>
        </w:rPr>
        <w:t>〉司法解释回应</w:t>
      </w:r>
      <w:r>
        <w:rPr>
          <w:rFonts w:hint="eastAsia" w:ascii="仿宋" w:hAnsi="仿宋" w:eastAsia="仿宋" w:cs="仿宋"/>
          <w:szCs w:val="18"/>
          <w:lang w:eastAsia="zh-CN"/>
        </w:rPr>
        <w:t>》，</w:t>
      </w:r>
      <w:r>
        <w:rPr>
          <w:rFonts w:hint="eastAsia" w:ascii="仿宋" w:hAnsi="仿宋" w:eastAsia="仿宋" w:cs="仿宋"/>
          <w:szCs w:val="18"/>
          <w:lang w:val="en-US" w:eastAsia="zh-CN"/>
        </w:rPr>
        <w:t>载《荆楚法学》2026年第2期。</w:t>
      </w:r>
    </w:p>
  </w:footnote>
  <w:footnote w:id="61">
    <w:p w14:paraId="1AE3DDDA">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参见林少伟：《脱法实践下公司法规则变迁之逻辑》，载《交大法学》2022年第6期。</w:t>
      </w:r>
    </w:p>
  </w:footnote>
  <w:footnote w:id="62">
    <w:p w14:paraId="32C2AFC4">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周江洪：《关于〈民法典合同编〉（草案）（二次审议稿）的若干修改建议》，载《法治研究》2019年第2期。</w:t>
      </w:r>
    </w:p>
  </w:footnote>
  <w:footnote w:id="63">
    <w:p w14:paraId="71DDB53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参见潘林：《股份回购中资本规制的展开——基于董事会中心主义的考察，载《法商研究》2020年第4期。</w:t>
      </w:r>
    </w:p>
  </w:footnote>
  <w:footnote w:id="64">
    <w:p w14:paraId="0DEEB7F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吴飞飞：《论中国公司法的供给侧结构性改革——兼论中国公司法的“服务型”转向》，载《北方法学》2020年第2期。</w:t>
      </w:r>
    </w:p>
  </w:footnote>
  <w:footnote w:id="65">
    <w:p w14:paraId="1A1321D8">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昝强龙：《新合同类型入典的标准与限度》，载《民商法论丛》2020年第1期（总第70卷）。</w:t>
      </w:r>
    </w:p>
  </w:footnote>
  <w:footnote w:id="66">
    <w:p w14:paraId="6B062306">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周江洪：《典型合同与合同法分则的完善》，载《交大法学》2017年第1期。</w:t>
      </w:r>
    </w:p>
  </w:footnote>
  <w:footnote w:id="67">
    <w:p w14:paraId="657A88ED">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参见王文宇：《合同解释三部曲——比较法观点》，载《中国法律评论》2016年第1期。</w:t>
      </w:r>
    </w:p>
  </w:footnote>
  <w:footnote w:id="68">
    <w:p w14:paraId="6D6297D0">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参见郑彧：《民法逻辑、商法思维与法律适用》，载《法学评论》2018年第4期。</w:t>
      </w:r>
    </w:p>
  </w:footnote>
  <w:footnote w:id="69">
    <w:p w14:paraId="28E3CDBB">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潘林：《“与公司对赌”合同履行的组织法进路》，载《政法论坛》2024年第2期。</w:t>
      </w:r>
    </w:p>
  </w:footnote>
  <w:footnote w:id="70">
    <w:p w14:paraId="46584C69">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参见青海省高级人民法院（2024）青民再212号民事判决书。</w:t>
      </w:r>
    </w:p>
  </w:footnote>
  <w:footnote w:id="71">
    <w:p w14:paraId="571EE2FE">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vertAlign w:val="baseline"/>
        </w:rPr>
        <w:t xml:space="preserve"> 参见广东省广州市中级人民法院（2023）粤01民终4452号民事判决书。</w:t>
      </w:r>
    </w:p>
  </w:footnote>
  <w:footnote w:id="72">
    <w:p w14:paraId="44782AF1">
      <w:pPr>
        <w:pStyle w:val="8"/>
        <w:rPr>
          <w:rStyle w:val="13"/>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vertAlign w:val="baseline"/>
        </w:rPr>
        <w:t xml:space="preserve"> 参见梁上上：《公共利益与利益衡量》，载《政法论坛》2016年第6期。</w:t>
      </w:r>
    </w:p>
  </w:footnote>
  <w:footnote w:id="73">
    <w:p w14:paraId="0E43F604">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参见许德风：《公司融资语境下股与债的界分》，载《法学研究》2019年第2期。</w:t>
      </w:r>
    </w:p>
  </w:footnote>
  <w:footnote w:id="74">
    <w:p w14:paraId="6041A276">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参见缪因知：《“与公司对赌”有效性的司法观念变迁与正当性检视》，载《人大法律评论》2023年第1辑。</w:t>
      </w:r>
    </w:p>
  </w:footnote>
  <w:footnote w:id="75">
    <w:p w14:paraId="51026CBF">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参见易军：《民法基本原则的意义脉络》，载《法学研究》2018年第6期。</w:t>
      </w:r>
    </w:p>
  </w:footnote>
  <w:footnote w:id="76">
    <w:p w14:paraId="1A7A1B57">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参见江必新：《商事审判与非商事民事审判之比较研究》，载《法律适用》2019年第15期。</w:t>
      </w:r>
    </w:p>
  </w:footnote>
  <w:footnote w:id="77">
    <w:p w14:paraId="59778C4E">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参见潘林：《优先股与普通股的利益分配———基于信义义务的制度方法》，载《法学研究》2019年第3期。</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
    <w15:presenceInfo w15:providerId="None" w15:userI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56"/>
    <w:footnote w:id="157"/>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9D36DD"/>
    <w:rsid w:val="0009573F"/>
    <w:rsid w:val="000E1AB6"/>
    <w:rsid w:val="00121339"/>
    <w:rsid w:val="00131B50"/>
    <w:rsid w:val="001353AB"/>
    <w:rsid w:val="00136390"/>
    <w:rsid w:val="001948CB"/>
    <w:rsid w:val="001E5865"/>
    <w:rsid w:val="002E3D26"/>
    <w:rsid w:val="002F59AF"/>
    <w:rsid w:val="004901EA"/>
    <w:rsid w:val="0066382D"/>
    <w:rsid w:val="007421E6"/>
    <w:rsid w:val="007C0A8D"/>
    <w:rsid w:val="007D6C95"/>
    <w:rsid w:val="00824E18"/>
    <w:rsid w:val="008A3BA7"/>
    <w:rsid w:val="00A5420A"/>
    <w:rsid w:val="00A63FCB"/>
    <w:rsid w:val="00AD3FCD"/>
    <w:rsid w:val="00B1183B"/>
    <w:rsid w:val="00BF478C"/>
    <w:rsid w:val="00C55B86"/>
    <w:rsid w:val="00D24F63"/>
    <w:rsid w:val="00E07150"/>
    <w:rsid w:val="00F23CAA"/>
    <w:rsid w:val="0A1C3FA9"/>
    <w:rsid w:val="149F1292"/>
    <w:rsid w:val="1A6B5E42"/>
    <w:rsid w:val="1FAF21E3"/>
    <w:rsid w:val="2ACF4E96"/>
    <w:rsid w:val="394F440E"/>
    <w:rsid w:val="3B9E00AB"/>
    <w:rsid w:val="3FB452E6"/>
    <w:rsid w:val="47287473"/>
    <w:rsid w:val="49235A44"/>
    <w:rsid w:val="4BDE52A3"/>
    <w:rsid w:val="5DFC50BD"/>
    <w:rsid w:val="60304097"/>
    <w:rsid w:val="60400BEB"/>
    <w:rsid w:val="61B51DA3"/>
    <w:rsid w:val="643A5E7D"/>
    <w:rsid w:val="684536F0"/>
    <w:rsid w:val="689D36DD"/>
    <w:rsid w:val="69CB29A0"/>
    <w:rsid w:val="6A454061"/>
    <w:rsid w:val="6E9372B3"/>
    <w:rsid w:val="6FC77C9F"/>
    <w:rsid w:val="73A91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toc 3"/>
    <w:basedOn w:val="1"/>
    <w:next w:val="1"/>
    <w:qFormat/>
    <w:uiPriority w:val="0"/>
    <w:pPr>
      <w:ind w:left="840" w:leftChars="40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toc 1"/>
    <w:basedOn w:val="1"/>
    <w:next w:val="1"/>
    <w:qFormat/>
    <w:uiPriority w:val="0"/>
  </w:style>
  <w:style w:type="paragraph" w:styleId="8">
    <w:name w:val="footnote text"/>
    <w:basedOn w:val="1"/>
    <w:qFormat/>
    <w:uiPriority w:val="0"/>
    <w:pPr>
      <w:snapToGrid w:val="0"/>
      <w:jc w:val="left"/>
    </w:pPr>
    <w:rPr>
      <w:rFonts w:ascii="Times New Roman" w:hAnsi="Times New Roman"/>
      <w:sz w:val="18"/>
    </w:rPr>
  </w:style>
  <w:style w:type="paragraph" w:styleId="9">
    <w:name w:val="toc 2"/>
    <w:basedOn w:val="1"/>
    <w:next w:val="1"/>
    <w:qFormat/>
    <w:uiPriority w:val="0"/>
    <w:pPr>
      <w:ind w:left="420" w:leftChars="200"/>
    </w:pPr>
  </w:style>
  <w:style w:type="character" w:styleId="12">
    <w:name w:val="Hyperlink"/>
    <w:basedOn w:val="11"/>
    <w:qFormat/>
    <w:uiPriority w:val="0"/>
    <w:rPr>
      <w:color w:val="0026E5" w:themeColor="hyperlink"/>
      <w:u w:val="single"/>
      <w14:textFill>
        <w14:solidFill>
          <w14:schemeClr w14:val="hlink"/>
        </w14:solidFill>
      </w14:textFill>
    </w:rPr>
  </w:style>
  <w:style w:type="character" w:styleId="13">
    <w:name w:val="footnote reference"/>
    <w:basedOn w:val="11"/>
    <w:qFormat/>
    <w:uiPriority w:val="0"/>
    <w:rPr>
      <w:vertAlign w:val="superscript"/>
    </w:rPr>
  </w:style>
  <w:style w:type="character" w:customStyle="1" w:styleId="1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1BBE3-C626-48D5-8647-26DE5A878611}">
  <ds:schemaRefs/>
</ds:datastoreItem>
</file>

<file path=docProps/app.xml><?xml version="1.0" encoding="utf-8"?>
<Properties xmlns="http://schemas.openxmlformats.org/officeDocument/2006/extended-properties" xmlns:vt="http://schemas.openxmlformats.org/officeDocument/2006/docPropsVTypes">
  <Template>Normal</Template>
  <Pages>10</Pages>
  <Words>11115</Words>
  <Characters>11153</Characters>
  <Lines>174</Lines>
  <Paragraphs>58</Paragraphs>
  <TotalTime>79</TotalTime>
  <ScaleCrop>false</ScaleCrop>
  <LinksUpToDate>false</LinksUpToDate>
  <CharactersWithSpaces>11160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2026-04-01T20:21:00Z</dcterms:created>
  <dc:creator>MZ</dc:creator>
  <cp:lastModifiedBy>ad</cp:lastModifiedBy>
  <dcterms:modified xsi:type="dcterms:W3CDTF">2026-04-23T05:20:08Z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E8C3D6971D0141CD9EA857721BA4D582_13</vt:lpwstr>
  </property>
  <property fmtid="{D5CDD505-2E9C-101B-9397-08002B2CF9AE}" pid="4" name="KSOTemplateDocerSaveRecord">
    <vt:lpwstr>eyJoZGlkIjoiMzEwNTM5NzYwMDRjMzkwZTVkZjY2ODkwMGIxNGU0OTUiLCJ1c2VySWQiOiIzMDkzMDUwOTUifQ==</vt:lpwstr>
  </property>
</Properties>
</file>