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425B1" w14:textId="77777777" w:rsidR="00027639" w:rsidRDefault="00027639">
      <w:r>
        <w:t xml:space="preserve">Pavement Parameters Needed for </w:t>
      </w:r>
      <w:r w:rsidR="00B43F58">
        <w:t xml:space="preserve">To Test Multiple Varied Profiles in </w:t>
      </w:r>
      <w:r>
        <w:t>1D Heat Transfer Model</w:t>
      </w:r>
    </w:p>
    <w:tbl>
      <w:tblPr>
        <w:tblStyle w:val="TableGrid"/>
        <w:tblW w:w="0" w:type="auto"/>
        <w:tblLook w:val="04A0" w:firstRow="1" w:lastRow="0" w:firstColumn="1" w:lastColumn="0" w:noHBand="0" w:noVBand="1"/>
      </w:tblPr>
      <w:tblGrid>
        <w:gridCol w:w="3415"/>
        <w:gridCol w:w="2818"/>
        <w:gridCol w:w="3117"/>
      </w:tblGrid>
      <w:tr w:rsidR="00EC0B7A" w14:paraId="79E5F156" w14:textId="77777777" w:rsidTr="001A467C">
        <w:tc>
          <w:tcPr>
            <w:tcW w:w="3415" w:type="dxa"/>
          </w:tcPr>
          <w:p w14:paraId="2826C54E" w14:textId="77777777" w:rsidR="00EC0B7A" w:rsidRPr="00EC0B7A" w:rsidRDefault="00EC0B7A" w:rsidP="00EC0B7A">
            <w:pPr>
              <w:rPr>
                <w:b/>
              </w:rPr>
            </w:pPr>
            <w:r w:rsidRPr="00EC0B7A">
              <w:rPr>
                <w:b/>
              </w:rPr>
              <w:t>Parameter</w:t>
            </w:r>
          </w:p>
        </w:tc>
        <w:tc>
          <w:tcPr>
            <w:tcW w:w="2818" w:type="dxa"/>
          </w:tcPr>
          <w:p w14:paraId="726BF82E" w14:textId="77777777" w:rsidR="00EC0B7A" w:rsidRPr="00EC0B7A" w:rsidRDefault="00EC0B7A">
            <w:pPr>
              <w:rPr>
                <w:b/>
              </w:rPr>
            </w:pPr>
            <w:r w:rsidRPr="00EC0B7A">
              <w:rPr>
                <w:b/>
              </w:rPr>
              <w:t>Units</w:t>
            </w:r>
          </w:p>
        </w:tc>
        <w:tc>
          <w:tcPr>
            <w:tcW w:w="3117" w:type="dxa"/>
          </w:tcPr>
          <w:p w14:paraId="331CFB6A" w14:textId="77777777" w:rsidR="00EC0B7A" w:rsidRPr="00EC0B7A" w:rsidRDefault="00EC0B7A">
            <w:pPr>
              <w:rPr>
                <w:b/>
              </w:rPr>
            </w:pPr>
            <w:r w:rsidRPr="00EC0B7A">
              <w:rPr>
                <w:b/>
              </w:rPr>
              <w:t>Typical Range</w:t>
            </w:r>
          </w:p>
        </w:tc>
      </w:tr>
      <w:tr w:rsidR="00EC0B7A" w14:paraId="052A62AA" w14:textId="77777777" w:rsidTr="001A467C">
        <w:trPr>
          <w:trHeight w:val="341"/>
        </w:trPr>
        <w:tc>
          <w:tcPr>
            <w:tcW w:w="3415" w:type="dxa"/>
          </w:tcPr>
          <w:p w14:paraId="05687CA9" w14:textId="77777777" w:rsidR="00EC0B7A" w:rsidRDefault="00EC0B7A" w:rsidP="00EC0B7A">
            <w:r>
              <w:t xml:space="preserve">Albedo, </w:t>
            </w:r>
            <m:oMath>
              <m:acc>
                <m:accPr>
                  <m:chr m:val="̃"/>
                  <m:ctrlPr>
                    <w:rPr>
                      <w:rFonts w:ascii="Cambria Math" w:hAnsi="Cambria Math" w:cstheme="minorHAnsi"/>
                      <w:i/>
                    </w:rPr>
                  </m:ctrlPr>
                </m:accPr>
                <m:e>
                  <m:r>
                    <m:rPr>
                      <m:sty m:val="p"/>
                    </m:rPr>
                    <w:rPr>
                      <w:rFonts w:ascii="Cambria Math" w:hAnsi="Cambria Math" w:cstheme="minorHAnsi"/>
                    </w:rPr>
                    <m:t>α</m:t>
                  </m:r>
                </m:e>
              </m:acc>
            </m:oMath>
          </w:p>
        </w:tc>
        <w:tc>
          <w:tcPr>
            <w:tcW w:w="2818" w:type="dxa"/>
          </w:tcPr>
          <w:p w14:paraId="14832229" w14:textId="77777777" w:rsidR="00EC0B7A" w:rsidRDefault="00EC0B7A">
            <w:r w:rsidRPr="00EC0B7A">
              <w:t>dimensionless</w:t>
            </w:r>
          </w:p>
        </w:tc>
        <w:tc>
          <w:tcPr>
            <w:tcW w:w="3117" w:type="dxa"/>
          </w:tcPr>
          <w:p w14:paraId="05C22C4E" w14:textId="77777777" w:rsidR="00EC0B7A" w:rsidRDefault="00EC0B7A">
            <w:r>
              <w:t>[0,</w:t>
            </w:r>
            <w:r w:rsidR="00CA4903">
              <w:t xml:space="preserve"> </w:t>
            </w:r>
            <w:r>
              <w:t>1]</w:t>
            </w:r>
          </w:p>
        </w:tc>
      </w:tr>
      <w:tr w:rsidR="00EC0B7A" w14:paraId="42592F88" w14:textId="77777777" w:rsidTr="001A467C">
        <w:trPr>
          <w:trHeight w:val="341"/>
        </w:trPr>
        <w:tc>
          <w:tcPr>
            <w:tcW w:w="3415" w:type="dxa"/>
          </w:tcPr>
          <w:p w14:paraId="4617BB52" w14:textId="77777777" w:rsidR="00EC0B7A" w:rsidRDefault="00EC0B7A" w:rsidP="00EC0B7A">
            <w:r>
              <w:t xml:space="preserve">Emissivity, </w:t>
            </w:r>
            <w:r>
              <w:rPr>
                <w:rFonts w:cstheme="minorHAnsi"/>
              </w:rPr>
              <w:t>ε</w:t>
            </w:r>
          </w:p>
        </w:tc>
        <w:tc>
          <w:tcPr>
            <w:tcW w:w="2818" w:type="dxa"/>
          </w:tcPr>
          <w:p w14:paraId="177A0F09" w14:textId="77777777" w:rsidR="00EC0B7A" w:rsidRDefault="00EC0B7A">
            <w:r w:rsidRPr="00EC0B7A">
              <w:t>dimensionless</w:t>
            </w:r>
          </w:p>
        </w:tc>
        <w:tc>
          <w:tcPr>
            <w:tcW w:w="3117" w:type="dxa"/>
          </w:tcPr>
          <w:p w14:paraId="409F825E" w14:textId="77777777" w:rsidR="00EC0B7A" w:rsidRDefault="00EC0B7A">
            <w:r>
              <w:t>[0,</w:t>
            </w:r>
            <w:r w:rsidR="00CA4903">
              <w:t xml:space="preserve"> </w:t>
            </w:r>
            <w:r>
              <w:t>1]</w:t>
            </w:r>
          </w:p>
        </w:tc>
      </w:tr>
      <w:tr w:rsidR="00EC0B7A" w14:paraId="0BA5826E" w14:textId="77777777" w:rsidTr="001A467C">
        <w:tc>
          <w:tcPr>
            <w:tcW w:w="3415" w:type="dxa"/>
          </w:tcPr>
          <w:p w14:paraId="72815702" w14:textId="77777777" w:rsidR="00EC0B7A" w:rsidRDefault="0035495C" w:rsidP="0035495C">
            <w:r>
              <w:t>T</w:t>
            </w:r>
            <w:r w:rsidR="00EC0B7A" w:rsidRPr="00EC0B7A">
              <w:t xml:space="preserve">hermal </w:t>
            </w:r>
            <w:r>
              <w:t>D</w:t>
            </w:r>
            <w:r w:rsidR="00EC0B7A" w:rsidRPr="00EC0B7A">
              <w:t>iffusivity</w:t>
            </w:r>
            <w:r w:rsidR="00EC0B7A">
              <w:t xml:space="preserve">, </w:t>
            </w:r>
            <m:oMath>
              <m:r>
                <m:rPr>
                  <m:sty m:val="p"/>
                </m:rPr>
                <w:rPr>
                  <w:rFonts w:ascii="Cambria Math" w:hAnsi="Cambria Math" w:cstheme="minorHAnsi"/>
                </w:rPr>
                <m:t>α</m:t>
              </m:r>
            </m:oMath>
          </w:p>
        </w:tc>
        <w:tc>
          <w:tcPr>
            <w:tcW w:w="2818" w:type="dxa"/>
          </w:tcPr>
          <w:p w14:paraId="66F3E96D" w14:textId="77777777" w:rsidR="00EC0B7A" w:rsidRDefault="00EC0B7A">
            <w:r w:rsidRPr="00EC0B7A">
              <w:t>m^2/s</w:t>
            </w:r>
          </w:p>
        </w:tc>
        <w:tc>
          <w:tcPr>
            <w:tcW w:w="3117" w:type="dxa"/>
          </w:tcPr>
          <w:p w14:paraId="364EE49F" w14:textId="77777777" w:rsidR="00EC0B7A" w:rsidRDefault="00EC0B7A">
            <w:r>
              <w:t>[2,</w:t>
            </w:r>
            <w:r w:rsidR="00CA4903">
              <w:t xml:space="preserve"> </w:t>
            </w:r>
            <w:r>
              <w:t>12]</w:t>
            </w:r>
          </w:p>
        </w:tc>
      </w:tr>
      <w:tr w:rsidR="00EC0B7A" w14:paraId="72C1547B" w14:textId="77777777" w:rsidTr="001A467C">
        <w:tc>
          <w:tcPr>
            <w:tcW w:w="3415" w:type="dxa"/>
          </w:tcPr>
          <w:p w14:paraId="67896131" w14:textId="77777777" w:rsidR="00EC0B7A" w:rsidRDefault="0035495C" w:rsidP="0035495C">
            <w:r>
              <w:t>T</w:t>
            </w:r>
            <w:r w:rsidR="00EC0B7A" w:rsidRPr="00EC0B7A">
              <w:t xml:space="preserve">hermal </w:t>
            </w:r>
            <w:r>
              <w:t>C</w:t>
            </w:r>
            <w:r w:rsidR="00EC0B7A" w:rsidRPr="00EC0B7A">
              <w:t>onductivity</w:t>
            </w:r>
            <w:r w:rsidR="00EC0B7A">
              <w:t xml:space="preserve">, </w:t>
            </w:r>
            <m:oMath>
              <m:r>
                <m:rPr>
                  <m:sty m:val="p"/>
                </m:rPr>
                <w:rPr>
                  <w:rFonts w:ascii="Cambria Math" w:hAnsi="Cambria Math" w:cstheme="minorHAnsi"/>
                </w:rPr>
                <m:t>k</m:t>
              </m:r>
            </m:oMath>
          </w:p>
        </w:tc>
        <w:tc>
          <w:tcPr>
            <w:tcW w:w="2818" w:type="dxa"/>
          </w:tcPr>
          <w:p w14:paraId="1C628D96" w14:textId="77777777" w:rsidR="00EC0B7A" w:rsidRDefault="00EC0B7A">
            <w:r w:rsidRPr="00EC0B7A">
              <w:t>W/(m2*</w:t>
            </w:r>
            <w:proofErr w:type="spellStart"/>
            <w:r w:rsidRPr="00EC0B7A">
              <w:t>degK</w:t>
            </w:r>
            <w:proofErr w:type="spellEnd"/>
            <w:r w:rsidRPr="00EC0B7A">
              <w:t>)</w:t>
            </w:r>
          </w:p>
        </w:tc>
        <w:tc>
          <w:tcPr>
            <w:tcW w:w="3117" w:type="dxa"/>
          </w:tcPr>
          <w:p w14:paraId="0BDE85D8" w14:textId="77777777" w:rsidR="00EC0B7A" w:rsidRDefault="00EC0B7A"/>
        </w:tc>
      </w:tr>
      <w:tr w:rsidR="00EC0B7A" w14:paraId="154C5FD1" w14:textId="77777777" w:rsidTr="001A467C">
        <w:tc>
          <w:tcPr>
            <w:tcW w:w="3415" w:type="dxa"/>
          </w:tcPr>
          <w:p w14:paraId="7DD2E88B" w14:textId="77777777" w:rsidR="00EC0B7A" w:rsidRDefault="00EC0B7A" w:rsidP="00EC0B7A">
            <w:r w:rsidRPr="00EC0B7A">
              <w:t>Density</w:t>
            </w:r>
            <w:r>
              <w:t xml:space="preserve">, </w:t>
            </w:r>
            <m:oMath>
              <m:r>
                <m:rPr>
                  <m:sty m:val="p"/>
                </m:rPr>
                <w:rPr>
                  <w:rFonts w:ascii="Cambria Math" w:hAnsi="Cambria Math" w:cstheme="minorHAnsi"/>
                </w:rPr>
                <m:t>ρ</m:t>
              </m:r>
            </m:oMath>
          </w:p>
        </w:tc>
        <w:tc>
          <w:tcPr>
            <w:tcW w:w="2818" w:type="dxa"/>
          </w:tcPr>
          <w:p w14:paraId="1F301210" w14:textId="77777777" w:rsidR="00EC0B7A" w:rsidRDefault="00EC0B7A">
            <w:r w:rsidRPr="00EC0B7A">
              <w:t>kg/m3</w:t>
            </w:r>
          </w:p>
        </w:tc>
        <w:tc>
          <w:tcPr>
            <w:tcW w:w="3117" w:type="dxa"/>
          </w:tcPr>
          <w:p w14:paraId="1231A324" w14:textId="77777777" w:rsidR="00EC0B7A" w:rsidRDefault="00EC0B7A"/>
        </w:tc>
      </w:tr>
      <w:tr w:rsidR="00EC0B7A" w14:paraId="5EB9F2B3" w14:textId="77777777" w:rsidTr="001A467C">
        <w:tc>
          <w:tcPr>
            <w:tcW w:w="3415" w:type="dxa"/>
          </w:tcPr>
          <w:p w14:paraId="2E049032" w14:textId="77777777" w:rsidR="00EC0B7A" w:rsidRPr="00EC0B7A" w:rsidRDefault="00EC0B7A" w:rsidP="00EC0B7A">
            <w:r>
              <w:t xml:space="preserve">Specific heat, </w:t>
            </w:r>
            <m:oMath>
              <m:r>
                <w:rPr>
                  <w:rFonts w:ascii="Cambria Math" w:hAnsi="Cambria Math"/>
                </w:rPr>
                <m:t>c</m:t>
              </m:r>
            </m:oMath>
          </w:p>
        </w:tc>
        <w:tc>
          <w:tcPr>
            <w:tcW w:w="2818" w:type="dxa"/>
          </w:tcPr>
          <w:p w14:paraId="001C9BA5" w14:textId="77777777" w:rsidR="00EC0B7A" w:rsidRDefault="00EC0B7A">
            <w:r w:rsidRPr="00EC0B7A">
              <w:t>J/(kg*</w:t>
            </w:r>
            <w:proofErr w:type="spellStart"/>
            <w:r w:rsidRPr="00EC0B7A">
              <w:t>degK</w:t>
            </w:r>
            <w:proofErr w:type="spellEnd"/>
            <w:r>
              <w:t>)</w:t>
            </w:r>
          </w:p>
        </w:tc>
        <w:tc>
          <w:tcPr>
            <w:tcW w:w="3117" w:type="dxa"/>
          </w:tcPr>
          <w:p w14:paraId="648BB55F" w14:textId="77777777" w:rsidR="00EC0B7A" w:rsidRDefault="00EC0B7A"/>
        </w:tc>
      </w:tr>
      <w:tr w:rsidR="00EC0B7A" w14:paraId="30818DCA" w14:textId="77777777" w:rsidTr="001A467C">
        <w:tc>
          <w:tcPr>
            <w:tcW w:w="3415" w:type="dxa"/>
          </w:tcPr>
          <w:p w14:paraId="1EA0A88D" w14:textId="77777777" w:rsidR="00EC0B7A" w:rsidRPr="00027639" w:rsidRDefault="00EC0B7A">
            <w:pPr>
              <w:rPr>
                <w:i/>
              </w:rPr>
            </w:pPr>
            <w:r w:rsidRPr="00027639">
              <w:rPr>
                <w:i/>
              </w:rPr>
              <w:t>Volumetric heat capacity</w:t>
            </w:r>
            <w:r w:rsidR="00027639">
              <w:rPr>
                <w:i/>
              </w:rPr>
              <w:t>*</w:t>
            </w:r>
            <w:r w:rsidRPr="00027639">
              <w:rPr>
                <w:rFonts w:eastAsiaTheme="minorEastAsia"/>
                <w:i/>
              </w:rPr>
              <w:t>,</w:t>
            </w:r>
            <m:oMath>
              <m:r>
                <w:rPr>
                  <w:rFonts w:ascii="Cambria Math" w:hAnsi="Cambria Math" w:cstheme="minorHAnsi"/>
                </w:rPr>
                <m:t xml:space="preserve"> ρ</m:t>
              </m:r>
              <m:r>
                <w:rPr>
                  <w:rFonts w:ascii="Cambria Math" w:hAnsi="Cambria Math"/>
                </w:rPr>
                <m:t>c</m:t>
              </m:r>
            </m:oMath>
          </w:p>
        </w:tc>
        <w:tc>
          <w:tcPr>
            <w:tcW w:w="2818" w:type="dxa"/>
          </w:tcPr>
          <w:p w14:paraId="146EF5CD" w14:textId="77777777" w:rsidR="00EC0B7A" w:rsidRPr="00027639" w:rsidRDefault="00EC0B7A">
            <w:pPr>
              <w:rPr>
                <w:i/>
              </w:rPr>
            </w:pPr>
            <w:r w:rsidRPr="00027639">
              <w:rPr>
                <w:i/>
              </w:rPr>
              <w:t xml:space="preserve">J/(m3 </w:t>
            </w:r>
            <w:proofErr w:type="spellStart"/>
            <w:r w:rsidRPr="00027639">
              <w:rPr>
                <w:i/>
              </w:rPr>
              <w:t>degK</w:t>
            </w:r>
            <w:proofErr w:type="spellEnd"/>
            <w:r w:rsidRPr="00027639">
              <w:rPr>
                <w:i/>
              </w:rPr>
              <w:t>)</w:t>
            </w:r>
          </w:p>
        </w:tc>
        <w:tc>
          <w:tcPr>
            <w:tcW w:w="3117" w:type="dxa"/>
          </w:tcPr>
          <w:p w14:paraId="7FD8855F" w14:textId="77777777" w:rsidR="00EC0B7A" w:rsidRDefault="00EC0B7A"/>
        </w:tc>
      </w:tr>
      <w:tr w:rsidR="00EC0B7A" w14:paraId="1B243937" w14:textId="77777777" w:rsidTr="001A467C">
        <w:tc>
          <w:tcPr>
            <w:tcW w:w="3415" w:type="dxa"/>
          </w:tcPr>
          <w:p w14:paraId="75295705" w14:textId="77777777" w:rsidR="00EC0B7A" w:rsidRPr="00EC0B7A" w:rsidRDefault="00EA2C60">
            <w:r>
              <w:t>Layer thickness</w:t>
            </w:r>
          </w:p>
        </w:tc>
        <w:tc>
          <w:tcPr>
            <w:tcW w:w="2818" w:type="dxa"/>
          </w:tcPr>
          <w:p w14:paraId="4DFC5673" w14:textId="77777777" w:rsidR="00EC0B7A" w:rsidRDefault="00EA2C60">
            <w:r>
              <w:t>mm</w:t>
            </w:r>
          </w:p>
        </w:tc>
        <w:tc>
          <w:tcPr>
            <w:tcW w:w="3117" w:type="dxa"/>
          </w:tcPr>
          <w:p w14:paraId="648D4886" w14:textId="77777777" w:rsidR="00EC0B7A" w:rsidRDefault="00EA2C60" w:rsidP="00EA2C60">
            <w:r>
              <w:t>[0,</w:t>
            </w:r>
            <w:r w:rsidR="00CA4903">
              <w:t xml:space="preserve"> </w:t>
            </w:r>
            <w:r>
              <w:t>3000]</w:t>
            </w:r>
          </w:p>
        </w:tc>
      </w:tr>
      <w:tr w:rsidR="00EC0B7A" w14:paraId="55DFB820" w14:textId="77777777" w:rsidTr="001A467C">
        <w:tc>
          <w:tcPr>
            <w:tcW w:w="3415" w:type="dxa"/>
          </w:tcPr>
          <w:p w14:paraId="57B3A21C" w14:textId="77777777" w:rsidR="00EC0B7A" w:rsidRPr="00EC0B7A" w:rsidRDefault="001A467C" w:rsidP="001A467C">
            <w:pPr>
              <w:jc w:val="both"/>
            </w:pPr>
            <w:commentRangeStart w:id="0"/>
            <w:r>
              <w:t>Characteristic Pavement Length, L</w:t>
            </w:r>
            <w:commentRangeEnd w:id="0"/>
            <w:r>
              <w:rPr>
                <w:rStyle w:val="CommentReference"/>
              </w:rPr>
              <w:commentReference w:id="0"/>
            </w:r>
          </w:p>
        </w:tc>
        <w:tc>
          <w:tcPr>
            <w:tcW w:w="2818" w:type="dxa"/>
          </w:tcPr>
          <w:p w14:paraId="215EEFAE" w14:textId="77777777" w:rsidR="00EC0B7A" w:rsidRDefault="001A467C">
            <w:r>
              <w:t>m</w:t>
            </w:r>
          </w:p>
        </w:tc>
        <w:tc>
          <w:tcPr>
            <w:tcW w:w="3117" w:type="dxa"/>
          </w:tcPr>
          <w:p w14:paraId="521DA214" w14:textId="28229283" w:rsidR="00EC0B7A" w:rsidRPr="009F5F11" w:rsidRDefault="009F5F11">
            <w:pPr>
              <w:rPr>
                <w:color w:val="FF0000"/>
              </w:rPr>
            </w:pPr>
            <w:r w:rsidRPr="009F5F11">
              <w:rPr>
                <w:color w:val="FF0000"/>
              </w:rPr>
              <w:t>[5, 50+]</w:t>
            </w:r>
          </w:p>
        </w:tc>
      </w:tr>
      <w:tr w:rsidR="00EC0B7A" w14:paraId="71FDD977" w14:textId="77777777" w:rsidTr="001A467C">
        <w:tc>
          <w:tcPr>
            <w:tcW w:w="3415" w:type="dxa"/>
          </w:tcPr>
          <w:p w14:paraId="02A77BD2" w14:textId="77777777" w:rsidR="00EC0B7A" w:rsidRPr="00EC0B7A" w:rsidRDefault="00EC0B7A"/>
        </w:tc>
        <w:tc>
          <w:tcPr>
            <w:tcW w:w="2818" w:type="dxa"/>
          </w:tcPr>
          <w:p w14:paraId="6E45D2BF" w14:textId="77777777" w:rsidR="00EC0B7A" w:rsidRDefault="00EC0B7A"/>
        </w:tc>
        <w:tc>
          <w:tcPr>
            <w:tcW w:w="3117" w:type="dxa"/>
          </w:tcPr>
          <w:p w14:paraId="07B2D0B8" w14:textId="77777777" w:rsidR="00EC0B7A" w:rsidRDefault="00EC0B7A"/>
        </w:tc>
      </w:tr>
    </w:tbl>
    <w:p w14:paraId="328C9408" w14:textId="77777777" w:rsidR="00EA2C60" w:rsidRPr="00B43F58" w:rsidRDefault="00027639">
      <w:pPr>
        <w:rPr>
          <w:sz w:val="16"/>
        </w:rPr>
      </w:pPr>
      <w:r w:rsidRPr="00027639">
        <w:rPr>
          <w:sz w:val="16"/>
        </w:rPr>
        <w:t>* Volumetric heat capacity is the product of specific heat and density, so you need either the former or both the latter parameters.</w:t>
      </w:r>
    </w:p>
    <w:p w14:paraId="5617BCAA" w14:textId="77777777" w:rsidR="00EC0B7A" w:rsidRDefault="00EC0B7A"/>
    <w:p w14:paraId="67ADA3B7" w14:textId="77777777" w:rsidR="008218C9" w:rsidRDefault="008218C9">
      <w:r>
        <w:t>Example Profiles of Different Pavement Types Based on Typical Functional Class</w:t>
      </w:r>
    </w:p>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C424D1" w14:paraId="2D4290FE" w14:textId="77777777" w:rsidTr="00B43F58">
        <w:tc>
          <w:tcPr>
            <w:tcW w:w="8095" w:type="dxa"/>
            <w:gridSpan w:val="6"/>
          </w:tcPr>
          <w:p w14:paraId="0B6E9B25" w14:textId="77777777" w:rsidR="00C424D1" w:rsidRPr="00C424D1" w:rsidRDefault="00C424D1">
            <w:pPr>
              <w:rPr>
                <w:b/>
              </w:rPr>
            </w:pPr>
            <w:r w:rsidRPr="00AB7D87">
              <w:rPr>
                <w:b/>
              </w:rPr>
              <w:t>Profile #1: Highway; Asphaltic Concrete</w:t>
            </w:r>
            <w:r>
              <w:rPr>
                <w:b/>
              </w:rPr>
              <w:t xml:space="preserve"> (AC)</w:t>
            </w:r>
          </w:p>
        </w:tc>
      </w:tr>
      <w:tr w:rsidR="00B43F58" w14:paraId="4575B745" w14:textId="77777777" w:rsidTr="000F40CD">
        <w:trPr>
          <w:trHeight w:val="611"/>
        </w:trPr>
        <w:tc>
          <w:tcPr>
            <w:tcW w:w="1722" w:type="dxa"/>
            <w:vAlign w:val="center"/>
          </w:tcPr>
          <w:p w14:paraId="6DC11CBD" w14:textId="77777777" w:rsidR="00B43F58" w:rsidRDefault="00B43F58" w:rsidP="00C424D1">
            <w:pPr>
              <w:jc w:val="center"/>
            </w:pPr>
          </w:p>
        </w:tc>
        <w:tc>
          <w:tcPr>
            <w:tcW w:w="1063" w:type="dxa"/>
            <w:vAlign w:val="center"/>
          </w:tcPr>
          <w:p w14:paraId="24786EE8" w14:textId="77777777" w:rsidR="00B43F58" w:rsidRPr="00C424D1" w:rsidRDefault="00B43F58" w:rsidP="00C424D1">
            <w:pPr>
              <w:jc w:val="center"/>
              <w:rPr>
                <w:rFonts w:eastAsiaTheme="minorEastAsia"/>
              </w:rPr>
            </w:pPr>
            <w:r>
              <w:t>Albedo</w:t>
            </w:r>
          </w:p>
        </w:tc>
        <w:tc>
          <w:tcPr>
            <w:tcW w:w="1440" w:type="dxa"/>
            <w:vAlign w:val="center"/>
          </w:tcPr>
          <w:p w14:paraId="3B4371A7" w14:textId="77777777" w:rsidR="00B43F58" w:rsidRDefault="00B43F58" w:rsidP="00C424D1">
            <w:pPr>
              <w:jc w:val="center"/>
            </w:pPr>
            <w:r>
              <w:t>T</w:t>
            </w:r>
            <w:r w:rsidRPr="00EC0B7A">
              <w:t xml:space="preserve">hermal </w:t>
            </w:r>
            <w:r>
              <w:t>C</w:t>
            </w:r>
            <w:r w:rsidRPr="00EC0B7A">
              <w:t>onductivity</w:t>
            </w:r>
          </w:p>
        </w:tc>
        <w:tc>
          <w:tcPr>
            <w:tcW w:w="1260" w:type="dxa"/>
            <w:vAlign w:val="center"/>
          </w:tcPr>
          <w:p w14:paraId="256BF66D" w14:textId="77777777" w:rsidR="00B43F58" w:rsidRDefault="00B43F58" w:rsidP="00C424D1">
            <w:pPr>
              <w:jc w:val="center"/>
            </w:pPr>
            <w:r w:rsidRPr="00EC0B7A">
              <w:t>Density</w:t>
            </w:r>
          </w:p>
        </w:tc>
        <w:tc>
          <w:tcPr>
            <w:tcW w:w="1260" w:type="dxa"/>
            <w:vAlign w:val="center"/>
          </w:tcPr>
          <w:p w14:paraId="39D97682" w14:textId="77777777" w:rsidR="00B43F58" w:rsidRDefault="00B43F58" w:rsidP="00C424D1">
            <w:pPr>
              <w:jc w:val="center"/>
            </w:pPr>
            <w:r>
              <w:t>Specific heat</w:t>
            </w:r>
          </w:p>
        </w:tc>
        <w:tc>
          <w:tcPr>
            <w:tcW w:w="1345" w:type="dxa"/>
            <w:vAlign w:val="center"/>
          </w:tcPr>
          <w:p w14:paraId="66A43AEE" w14:textId="77777777" w:rsidR="00B43F58" w:rsidRPr="00C424D1" w:rsidRDefault="00B43F58" w:rsidP="00C424D1">
            <w:pPr>
              <w:jc w:val="center"/>
              <w:rPr>
                <w:rFonts w:eastAsiaTheme="minorEastAsia"/>
              </w:rPr>
            </w:pPr>
            <w:r>
              <w:t>Thickness Range</w:t>
            </w:r>
          </w:p>
        </w:tc>
      </w:tr>
      <w:tr w:rsidR="00B43F58" w14:paraId="54687AE3" w14:textId="77777777" w:rsidTr="00B43F58">
        <w:trPr>
          <w:trHeight w:val="611"/>
        </w:trPr>
        <w:tc>
          <w:tcPr>
            <w:tcW w:w="1722" w:type="dxa"/>
            <w:vAlign w:val="center"/>
          </w:tcPr>
          <w:p w14:paraId="5004A0BE" w14:textId="77777777" w:rsidR="00B43F58" w:rsidRPr="000F40CD" w:rsidRDefault="00B43F58" w:rsidP="00B43F58">
            <w:pPr>
              <w:jc w:val="center"/>
              <w:rPr>
                <w:i/>
              </w:rPr>
            </w:pPr>
            <w:r w:rsidRPr="000F40CD">
              <w:rPr>
                <w:i/>
              </w:rPr>
              <w:t>Units</w:t>
            </w:r>
          </w:p>
        </w:tc>
        <w:tc>
          <w:tcPr>
            <w:tcW w:w="1063" w:type="dxa"/>
            <w:vAlign w:val="center"/>
          </w:tcPr>
          <w:p w14:paraId="5C976839" w14:textId="77777777" w:rsidR="00B43F58" w:rsidRPr="000F40CD" w:rsidRDefault="00B43F58" w:rsidP="00B43F58">
            <w:pPr>
              <w:jc w:val="center"/>
              <w:rPr>
                <w:rFonts w:eastAsiaTheme="minorEastAsia"/>
              </w:rPr>
            </w:pPr>
            <m:oMathPara>
              <m:oMath>
                <m:r>
                  <w:rPr>
                    <w:rFonts w:ascii="Cambria Math" w:hAnsi="Cambria Math"/>
                  </w:rPr>
                  <m:t>dim.  less</m:t>
                </m:r>
              </m:oMath>
            </m:oMathPara>
          </w:p>
        </w:tc>
        <w:tc>
          <w:tcPr>
            <w:tcW w:w="1440" w:type="dxa"/>
            <w:vAlign w:val="center"/>
          </w:tcPr>
          <w:p w14:paraId="37862C52" w14:textId="77777777" w:rsidR="00B43F58" w:rsidRPr="000F40CD" w:rsidRDefault="007660C7" w:rsidP="00B43F58">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14:paraId="315F28EC" w14:textId="77777777" w:rsidR="00B43F58" w:rsidRPr="000F40CD" w:rsidRDefault="007660C7" w:rsidP="00B43F58">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14:paraId="2AB1A520" w14:textId="77777777" w:rsidR="00B43F58" w:rsidRDefault="007660C7" w:rsidP="00B43F58">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14:paraId="7C1889B9" w14:textId="77777777" w:rsidR="00B43F58" w:rsidRDefault="00B43F58" w:rsidP="00B43F58">
            <w:pPr>
              <w:jc w:val="center"/>
            </w:pPr>
            <m:oMathPara>
              <m:oMath>
                <m:r>
                  <w:rPr>
                    <w:rFonts w:ascii="Cambria Math" w:hAnsi="Cambria Math"/>
                  </w:rPr>
                  <m:t>mm</m:t>
                </m:r>
              </m:oMath>
            </m:oMathPara>
          </w:p>
        </w:tc>
      </w:tr>
      <w:tr w:rsidR="00B43F58" w14:paraId="5EDDABF6" w14:textId="77777777" w:rsidTr="00B43F58">
        <w:tc>
          <w:tcPr>
            <w:tcW w:w="1722" w:type="dxa"/>
            <w:vAlign w:val="center"/>
          </w:tcPr>
          <w:p w14:paraId="473F39E5" w14:textId="77777777" w:rsidR="00B43F58" w:rsidRPr="000F40CD" w:rsidRDefault="00B43F58" w:rsidP="00B43F58">
            <w:pPr>
              <w:jc w:val="center"/>
            </w:pPr>
            <w:r w:rsidRPr="000F40CD">
              <w:t>Layer 1;</w:t>
            </w:r>
          </w:p>
          <w:p w14:paraId="5F9CE174" w14:textId="77777777" w:rsidR="00B43F58" w:rsidRDefault="00B43F58" w:rsidP="00B43F58">
            <w:pPr>
              <w:jc w:val="center"/>
            </w:pPr>
            <w:r>
              <w:t>Surface, AC</w:t>
            </w:r>
          </w:p>
        </w:tc>
        <w:tc>
          <w:tcPr>
            <w:tcW w:w="1063" w:type="dxa"/>
            <w:vAlign w:val="center"/>
          </w:tcPr>
          <w:p w14:paraId="20820220" w14:textId="77777777" w:rsidR="00B43F58" w:rsidRDefault="00B43F58" w:rsidP="00B43F58">
            <w:pPr>
              <w:jc w:val="center"/>
            </w:pPr>
            <w:r>
              <w:t>0.17</w:t>
            </w:r>
          </w:p>
        </w:tc>
        <w:tc>
          <w:tcPr>
            <w:tcW w:w="1440" w:type="dxa"/>
            <w:vAlign w:val="center"/>
          </w:tcPr>
          <w:p w14:paraId="36983714" w14:textId="77777777" w:rsidR="00B43F58" w:rsidRDefault="00B43F58" w:rsidP="00B43F58">
            <w:pPr>
              <w:jc w:val="center"/>
            </w:pPr>
            <w:r>
              <w:t>1.21</w:t>
            </w:r>
          </w:p>
        </w:tc>
        <w:tc>
          <w:tcPr>
            <w:tcW w:w="1260" w:type="dxa"/>
            <w:vAlign w:val="center"/>
          </w:tcPr>
          <w:p w14:paraId="0885CF9D" w14:textId="77777777" w:rsidR="00B43F58" w:rsidRDefault="00B43F58" w:rsidP="00B43F58">
            <w:pPr>
              <w:jc w:val="center"/>
            </w:pPr>
            <w:r w:rsidRPr="007C6247">
              <w:t>2</w:t>
            </w:r>
            <w:r>
              <w:t>,</w:t>
            </w:r>
            <w:r w:rsidRPr="007C6247">
              <w:t>238</w:t>
            </w:r>
          </w:p>
        </w:tc>
        <w:tc>
          <w:tcPr>
            <w:tcW w:w="1260" w:type="dxa"/>
            <w:vAlign w:val="center"/>
          </w:tcPr>
          <w:p w14:paraId="107A693E" w14:textId="77777777" w:rsidR="00B43F58" w:rsidRDefault="00B43F58" w:rsidP="00B43F58">
            <w:pPr>
              <w:jc w:val="center"/>
            </w:pPr>
            <w:r w:rsidRPr="00B43F58">
              <w:t>921</w:t>
            </w:r>
          </w:p>
        </w:tc>
        <w:tc>
          <w:tcPr>
            <w:tcW w:w="1345" w:type="dxa"/>
            <w:vAlign w:val="center"/>
          </w:tcPr>
          <w:p w14:paraId="432433A2" w14:textId="77777777" w:rsidR="00B43F58" w:rsidRDefault="00B43F58" w:rsidP="00B43F58">
            <w:pPr>
              <w:jc w:val="center"/>
            </w:pPr>
            <w:r>
              <w:t>[40, 130+]</w:t>
            </w:r>
          </w:p>
        </w:tc>
      </w:tr>
      <w:tr w:rsidR="00B43F58" w14:paraId="7E1DBD47" w14:textId="77777777" w:rsidTr="00B43F58">
        <w:trPr>
          <w:trHeight w:val="638"/>
        </w:trPr>
        <w:tc>
          <w:tcPr>
            <w:tcW w:w="1722" w:type="dxa"/>
            <w:vAlign w:val="center"/>
          </w:tcPr>
          <w:p w14:paraId="791ADB99" w14:textId="77777777" w:rsidR="00B43F58" w:rsidRDefault="00B43F58" w:rsidP="00B43F58">
            <w:pPr>
              <w:jc w:val="center"/>
            </w:pPr>
            <w:r>
              <w:t>Layer 2; Base</w:t>
            </w:r>
          </w:p>
        </w:tc>
        <w:tc>
          <w:tcPr>
            <w:tcW w:w="1063" w:type="dxa"/>
            <w:vAlign w:val="center"/>
          </w:tcPr>
          <w:p w14:paraId="1667779E" w14:textId="77777777" w:rsidR="00B43F58" w:rsidRDefault="00B43F58" w:rsidP="00B43F58">
            <w:pPr>
              <w:jc w:val="center"/>
            </w:pPr>
            <w:r>
              <w:t>NA</w:t>
            </w:r>
          </w:p>
        </w:tc>
        <w:tc>
          <w:tcPr>
            <w:tcW w:w="1440" w:type="dxa"/>
            <w:vAlign w:val="center"/>
          </w:tcPr>
          <w:p w14:paraId="1A64A5C4" w14:textId="77777777" w:rsidR="00B43F58" w:rsidRDefault="00B43F58" w:rsidP="00B43F58">
            <w:pPr>
              <w:jc w:val="center"/>
            </w:pPr>
            <w:r>
              <w:t>1.21</w:t>
            </w:r>
          </w:p>
        </w:tc>
        <w:tc>
          <w:tcPr>
            <w:tcW w:w="1260" w:type="dxa"/>
            <w:vAlign w:val="center"/>
          </w:tcPr>
          <w:p w14:paraId="223820FA" w14:textId="77777777" w:rsidR="00B43F58" w:rsidRDefault="00B43F58" w:rsidP="00B43F58">
            <w:pPr>
              <w:jc w:val="center"/>
            </w:pPr>
            <w:r w:rsidRPr="007C6247">
              <w:t>2</w:t>
            </w:r>
            <w:r>
              <w:t>,</w:t>
            </w:r>
            <w:r w:rsidRPr="007C6247">
              <w:t>238</w:t>
            </w:r>
          </w:p>
        </w:tc>
        <w:tc>
          <w:tcPr>
            <w:tcW w:w="1260" w:type="dxa"/>
            <w:vAlign w:val="center"/>
          </w:tcPr>
          <w:p w14:paraId="5E55E951" w14:textId="77777777" w:rsidR="00B43F58" w:rsidRDefault="00B43F58" w:rsidP="00B43F58">
            <w:pPr>
              <w:jc w:val="center"/>
            </w:pPr>
            <w:r w:rsidRPr="00B43F58">
              <w:t>921</w:t>
            </w:r>
          </w:p>
        </w:tc>
        <w:tc>
          <w:tcPr>
            <w:tcW w:w="1345" w:type="dxa"/>
            <w:vAlign w:val="center"/>
          </w:tcPr>
          <w:p w14:paraId="20E4A1BE" w14:textId="77777777" w:rsidR="00B43F58" w:rsidRPr="000F40CD" w:rsidRDefault="00B43F58" w:rsidP="00B43F58">
            <w:pPr>
              <w:jc w:val="center"/>
              <w:rPr>
                <w:color w:val="FF0000"/>
              </w:rPr>
            </w:pPr>
            <w:r w:rsidRPr="000F40CD">
              <w:rPr>
                <w:color w:val="FF0000"/>
              </w:rPr>
              <w:t>[40, 130+]</w:t>
            </w:r>
          </w:p>
        </w:tc>
      </w:tr>
      <w:tr w:rsidR="00B43F58" w14:paraId="193D0ED4" w14:textId="77777777" w:rsidTr="00B43F58">
        <w:trPr>
          <w:trHeight w:val="710"/>
        </w:trPr>
        <w:tc>
          <w:tcPr>
            <w:tcW w:w="1722" w:type="dxa"/>
            <w:vAlign w:val="center"/>
          </w:tcPr>
          <w:p w14:paraId="55F34307" w14:textId="77777777" w:rsidR="00B43F58" w:rsidRDefault="00B43F58" w:rsidP="00B43F58">
            <w:pPr>
              <w:jc w:val="center"/>
            </w:pPr>
            <w:r>
              <w:t xml:space="preserve">Layer 3; </w:t>
            </w:r>
            <w:proofErr w:type="spellStart"/>
            <w:r>
              <w:t>Subase</w:t>
            </w:r>
            <w:proofErr w:type="spellEnd"/>
          </w:p>
        </w:tc>
        <w:tc>
          <w:tcPr>
            <w:tcW w:w="1063" w:type="dxa"/>
            <w:vAlign w:val="center"/>
          </w:tcPr>
          <w:p w14:paraId="705F55A8" w14:textId="77777777" w:rsidR="00B43F58" w:rsidRDefault="00B43F58" w:rsidP="00B43F58">
            <w:pPr>
              <w:jc w:val="center"/>
            </w:pPr>
            <w:r>
              <w:t>NA</w:t>
            </w:r>
          </w:p>
        </w:tc>
        <w:tc>
          <w:tcPr>
            <w:tcW w:w="1440" w:type="dxa"/>
            <w:vAlign w:val="center"/>
          </w:tcPr>
          <w:p w14:paraId="14660060" w14:textId="77777777" w:rsidR="00B43F58" w:rsidRDefault="00B43F58" w:rsidP="00B43F58">
            <w:pPr>
              <w:jc w:val="center"/>
            </w:pPr>
            <w:r>
              <w:t>1.00</w:t>
            </w:r>
          </w:p>
        </w:tc>
        <w:tc>
          <w:tcPr>
            <w:tcW w:w="1260" w:type="dxa"/>
            <w:vAlign w:val="center"/>
          </w:tcPr>
          <w:p w14:paraId="28291D8C" w14:textId="77777777" w:rsidR="00B43F58" w:rsidRDefault="00B43F58" w:rsidP="00B43F58">
            <w:pPr>
              <w:jc w:val="center"/>
            </w:pPr>
            <w:r>
              <w:t>1,500</w:t>
            </w:r>
          </w:p>
        </w:tc>
        <w:tc>
          <w:tcPr>
            <w:tcW w:w="1260" w:type="dxa"/>
            <w:vAlign w:val="center"/>
          </w:tcPr>
          <w:p w14:paraId="4C5F3FF4" w14:textId="77777777" w:rsidR="00B43F58" w:rsidRDefault="00B43F58" w:rsidP="00B43F58">
            <w:pPr>
              <w:jc w:val="center"/>
            </w:pPr>
            <w:r>
              <w:t>1900</w:t>
            </w:r>
          </w:p>
        </w:tc>
        <w:tc>
          <w:tcPr>
            <w:tcW w:w="1345" w:type="dxa"/>
            <w:vAlign w:val="center"/>
          </w:tcPr>
          <w:p w14:paraId="7D25410A" w14:textId="77777777" w:rsidR="00B43F58" w:rsidRPr="000F40CD" w:rsidRDefault="00B43F58" w:rsidP="00B43F58">
            <w:pPr>
              <w:jc w:val="center"/>
              <w:rPr>
                <w:color w:val="FF0000"/>
              </w:rPr>
            </w:pPr>
            <w:r w:rsidRPr="000F40CD">
              <w:rPr>
                <w:color w:val="FF0000"/>
              </w:rPr>
              <w:t>[100, 500]</w:t>
            </w:r>
          </w:p>
        </w:tc>
      </w:tr>
    </w:tbl>
    <w:p w14:paraId="566E8799" w14:textId="77777777" w:rsidR="00F0471B" w:rsidRDefault="00F0471B"/>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0F40CD" w:rsidRPr="00C424D1" w14:paraId="768965DC" w14:textId="77777777" w:rsidTr="00B43F58">
        <w:tc>
          <w:tcPr>
            <w:tcW w:w="8095" w:type="dxa"/>
            <w:gridSpan w:val="6"/>
          </w:tcPr>
          <w:p w14:paraId="6954D557" w14:textId="77777777" w:rsidR="000F40CD" w:rsidRPr="00C424D1" w:rsidRDefault="000F40CD" w:rsidP="000F40CD">
            <w:pPr>
              <w:rPr>
                <w:b/>
              </w:rPr>
            </w:pPr>
            <w:r w:rsidRPr="00AB7D87">
              <w:rPr>
                <w:b/>
              </w:rPr>
              <w:t xml:space="preserve">Profile #1: Highway; </w:t>
            </w:r>
            <w:r>
              <w:rPr>
                <w:b/>
              </w:rPr>
              <w:t>Portland Cement Concrete (PCC)</w:t>
            </w:r>
          </w:p>
        </w:tc>
      </w:tr>
      <w:tr w:rsidR="00B43F58" w:rsidRPr="00C424D1" w14:paraId="2FA13C77" w14:textId="77777777" w:rsidTr="00B43F58">
        <w:trPr>
          <w:trHeight w:val="611"/>
        </w:trPr>
        <w:tc>
          <w:tcPr>
            <w:tcW w:w="1722" w:type="dxa"/>
            <w:vAlign w:val="center"/>
          </w:tcPr>
          <w:p w14:paraId="1015A169" w14:textId="77777777" w:rsidR="00B43F58" w:rsidRDefault="00B43F58" w:rsidP="00B43F58">
            <w:pPr>
              <w:jc w:val="center"/>
            </w:pPr>
          </w:p>
        </w:tc>
        <w:tc>
          <w:tcPr>
            <w:tcW w:w="1063" w:type="dxa"/>
            <w:vAlign w:val="center"/>
          </w:tcPr>
          <w:p w14:paraId="28DDEF9F" w14:textId="77777777" w:rsidR="00B43F58" w:rsidRPr="00C424D1" w:rsidRDefault="00B43F58" w:rsidP="00B43F58">
            <w:pPr>
              <w:jc w:val="center"/>
              <w:rPr>
                <w:rFonts w:eastAsiaTheme="minorEastAsia"/>
              </w:rPr>
            </w:pPr>
            <w:r>
              <w:t>Albedo</w:t>
            </w:r>
          </w:p>
        </w:tc>
        <w:tc>
          <w:tcPr>
            <w:tcW w:w="1440" w:type="dxa"/>
            <w:vAlign w:val="center"/>
          </w:tcPr>
          <w:p w14:paraId="653E5C42" w14:textId="77777777" w:rsidR="00B43F58" w:rsidRDefault="00B43F58" w:rsidP="00B43F58">
            <w:pPr>
              <w:jc w:val="center"/>
            </w:pPr>
            <w:r>
              <w:t>T</w:t>
            </w:r>
            <w:r w:rsidRPr="00EC0B7A">
              <w:t xml:space="preserve">hermal </w:t>
            </w:r>
            <w:r>
              <w:t>C</w:t>
            </w:r>
            <w:r w:rsidRPr="00EC0B7A">
              <w:t>onductivity</w:t>
            </w:r>
          </w:p>
        </w:tc>
        <w:tc>
          <w:tcPr>
            <w:tcW w:w="1260" w:type="dxa"/>
            <w:vAlign w:val="center"/>
          </w:tcPr>
          <w:p w14:paraId="24664458" w14:textId="77777777" w:rsidR="00B43F58" w:rsidRDefault="00B43F58" w:rsidP="00B43F58">
            <w:pPr>
              <w:jc w:val="center"/>
            </w:pPr>
            <w:r w:rsidRPr="00EC0B7A">
              <w:t>Density</w:t>
            </w:r>
          </w:p>
        </w:tc>
        <w:tc>
          <w:tcPr>
            <w:tcW w:w="1260" w:type="dxa"/>
            <w:vAlign w:val="center"/>
          </w:tcPr>
          <w:p w14:paraId="02589AD2" w14:textId="77777777" w:rsidR="00B43F58" w:rsidRDefault="00B43F58" w:rsidP="00B43F58">
            <w:pPr>
              <w:jc w:val="center"/>
            </w:pPr>
            <w:r>
              <w:t>Specific heat</w:t>
            </w:r>
          </w:p>
        </w:tc>
        <w:tc>
          <w:tcPr>
            <w:tcW w:w="1345" w:type="dxa"/>
            <w:vAlign w:val="center"/>
          </w:tcPr>
          <w:p w14:paraId="1C381C45" w14:textId="77777777" w:rsidR="00B43F58" w:rsidRPr="00C424D1" w:rsidRDefault="00B43F58" w:rsidP="00B43F58">
            <w:pPr>
              <w:jc w:val="center"/>
              <w:rPr>
                <w:rFonts w:eastAsiaTheme="minorEastAsia"/>
              </w:rPr>
            </w:pPr>
            <w:r>
              <w:t>Thickness Range</w:t>
            </w:r>
          </w:p>
        </w:tc>
      </w:tr>
      <w:tr w:rsidR="00B43F58" w14:paraId="3C80A1EA" w14:textId="77777777" w:rsidTr="00B43F58">
        <w:trPr>
          <w:trHeight w:val="611"/>
        </w:trPr>
        <w:tc>
          <w:tcPr>
            <w:tcW w:w="1722" w:type="dxa"/>
            <w:vAlign w:val="center"/>
          </w:tcPr>
          <w:p w14:paraId="579970F4" w14:textId="77777777" w:rsidR="00B43F58" w:rsidRPr="000F40CD" w:rsidRDefault="00B43F58" w:rsidP="00B43F58">
            <w:pPr>
              <w:jc w:val="center"/>
              <w:rPr>
                <w:i/>
              </w:rPr>
            </w:pPr>
            <w:r w:rsidRPr="000F40CD">
              <w:rPr>
                <w:i/>
              </w:rPr>
              <w:t>Units</w:t>
            </w:r>
          </w:p>
        </w:tc>
        <w:tc>
          <w:tcPr>
            <w:tcW w:w="1063" w:type="dxa"/>
            <w:vAlign w:val="center"/>
          </w:tcPr>
          <w:p w14:paraId="348F24AC" w14:textId="77777777" w:rsidR="00B43F58" w:rsidRPr="000F40CD" w:rsidRDefault="00B43F58" w:rsidP="00B43F58">
            <w:pPr>
              <w:jc w:val="center"/>
              <w:rPr>
                <w:rFonts w:eastAsiaTheme="minorEastAsia"/>
              </w:rPr>
            </w:pPr>
            <m:oMathPara>
              <m:oMath>
                <m:r>
                  <w:rPr>
                    <w:rFonts w:ascii="Cambria Math" w:hAnsi="Cambria Math"/>
                  </w:rPr>
                  <m:t>dim.  less</m:t>
                </m:r>
              </m:oMath>
            </m:oMathPara>
          </w:p>
        </w:tc>
        <w:tc>
          <w:tcPr>
            <w:tcW w:w="1440" w:type="dxa"/>
            <w:vAlign w:val="center"/>
          </w:tcPr>
          <w:p w14:paraId="727EA0C4" w14:textId="77777777" w:rsidR="00B43F58" w:rsidRPr="000F40CD" w:rsidRDefault="007660C7" w:rsidP="00B43F58">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14:paraId="7EEA6793" w14:textId="77777777" w:rsidR="00B43F58" w:rsidRPr="000F40CD" w:rsidRDefault="007660C7" w:rsidP="00B43F58">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14:paraId="019473A8" w14:textId="77777777" w:rsidR="00B43F58" w:rsidRDefault="007660C7" w:rsidP="00B43F58">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14:paraId="3725B43F" w14:textId="77777777" w:rsidR="00B43F58" w:rsidRDefault="00B43F58" w:rsidP="00B43F58">
            <w:pPr>
              <w:jc w:val="center"/>
            </w:pPr>
            <m:oMathPara>
              <m:oMath>
                <m:r>
                  <w:rPr>
                    <w:rFonts w:ascii="Cambria Math" w:hAnsi="Cambria Math"/>
                  </w:rPr>
                  <m:t>mm</m:t>
                </m:r>
              </m:oMath>
            </m:oMathPara>
          </w:p>
        </w:tc>
      </w:tr>
      <w:tr w:rsidR="00B43F58" w14:paraId="5AF60B2B" w14:textId="77777777" w:rsidTr="00B43F58">
        <w:tc>
          <w:tcPr>
            <w:tcW w:w="1722" w:type="dxa"/>
            <w:vAlign w:val="center"/>
          </w:tcPr>
          <w:p w14:paraId="2DD068D3" w14:textId="77777777" w:rsidR="00B43F58" w:rsidRPr="000F40CD" w:rsidRDefault="00B43F58" w:rsidP="00B43F58">
            <w:pPr>
              <w:jc w:val="center"/>
            </w:pPr>
            <w:r w:rsidRPr="000F40CD">
              <w:t>Layer 1;</w:t>
            </w:r>
          </w:p>
          <w:p w14:paraId="2F521FD3" w14:textId="77777777" w:rsidR="00B43F58" w:rsidRDefault="00B43F58" w:rsidP="00B43F58">
            <w:pPr>
              <w:jc w:val="center"/>
            </w:pPr>
            <w:r>
              <w:t>Surface, PCC</w:t>
            </w:r>
          </w:p>
        </w:tc>
        <w:tc>
          <w:tcPr>
            <w:tcW w:w="1063" w:type="dxa"/>
            <w:vAlign w:val="center"/>
          </w:tcPr>
          <w:p w14:paraId="7C9BABD4" w14:textId="77777777" w:rsidR="00B43F58" w:rsidRDefault="00B43F58" w:rsidP="00B43F58">
            <w:pPr>
              <w:jc w:val="center"/>
            </w:pPr>
          </w:p>
        </w:tc>
        <w:tc>
          <w:tcPr>
            <w:tcW w:w="1440" w:type="dxa"/>
            <w:vAlign w:val="center"/>
          </w:tcPr>
          <w:p w14:paraId="7B1BDD79" w14:textId="77777777" w:rsidR="00B43F58" w:rsidRDefault="00B43F58" w:rsidP="00B43F58">
            <w:pPr>
              <w:jc w:val="center"/>
            </w:pPr>
          </w:p>
        </w:tc>
        <w:tc>
          <w:tcPr>
            <w:tcW w:w="1260" w:type="dxa"/>
            <w:vAlign w:val="center"/>
          </w:tcPr>
          <w:p w14:paraId="770C55BA" w14:textId="77777777" w:rsidR="00B43F58" w:rsidRDefault="00B43F58" w:rsidP="00B43F58">
            <w:pPr>
              <w:jc w:val="center"/>
            </w:pPr>
          </w:p>
        </w:tc>
        <w:tc>
          <w:tcPr>
            <w:tcW w:w="1260" w:type="dxa"/>
            <w:vAlign w:val="center"/>
          </w:tcPr>
          <w:p w14:paraId="2F41BAA1" w14:textId="77777777" w:rsidR="00B43F58" w:rsidRDefault="00B43F58" w:rsidP="00B43F58">
            <w:pPr>
              <w:jc w:val="center"/>
            </w:pPr>
          </w:p>
        </w:tc>
        <w:tc>
          <w:tcPr>
            <w:tcW w:w="1345" w:type="dxa"/>
            <w:vAlign w:val="center"/>
          </w:tcPr>
          <w:p w14:paraId="07A18849" w14:textId="77777777" w:rsidR="00B43F58" w:rsidRPr="000F40CD" w:rsidRDefault="00B43F58" w:rsidP="00B43F58">
            <w:pPr>
              <w:jc w:val="center"/>
              <w:rPr>
                <w:color w:val="FF0000"/>
              </w:rPr>
            </w:pPr>
            <w:r w:rsidRPr="000F40CD">
              <w:rPr>
                <w:color w:val="FF0000"/>
              </w:rPr>
              <w:t>[80, 260+]</w:t>
            </w:r>
          </w:p>
        </w:tc>
      </w:tr>
      <w:tr w:rsidR="00B43F58" w14:paraId="5AA677AB" w14:textId="77777777" w:rsidTr="00B43F58">
        <w:trPr>
          <w:trHeight w:val="692"/>
        </w:trPr>
        <w:tc>
          <w:tcPr>
            <w:tcW w:w="1722" w:type="dxa"/>
            <w:vAlign w:val="center"/>
          </w:tcPr>
          <w:p w14:paraId="2C1768BC" w14:textId="77777777" w:rsidR="00B43F58" w:rsidRDefault="00B43F58" w:rsidP="00B43F58">
            <w:pPr>
              <w:jc w:val="center"/>
            </w:pPr>
            <w:r>
              <w:t xml:space="preserve">Layer 2; </w:t>
            </w:r>
            <w:proofErr w:type="spellStart"/>
            <w:r>
              <w:t>Subase</w:t>
            </w:r>
            <w:proofErr w:type="spellEnd"/>
          </w:p>
        </w:tc>
        <w:tc>
          <w:tcPr>
            <w:tcW w:w="1063" w:type="dxa"/>
            <w:vAlign w:val="center"/>
          </w:tcPr>
          <w:p w14:paraId="1919AE4B" w14:textId="77777777" w:rsidR="00B43F58" w:rsidRDefault="00B43F58" w:rsidP="00B43F58">
            <w:pPr>
              <w:jc w:val="center"/>
            </w:pPr>
            <w:r>
              <w:t>NA</w:t>
            </w:r>
          </w:p>
        </w:tc>
        <w:tc>
          <w:tcPr>
            <w:tcW w:w="1440" w:type="dxa"/>
            <w:vAlign w:val="center"/>
          </w:tcPr>
          <w:p w14:paraId="09403D5B" w14:textId="77777777" w:rsidR="00B43F58" w:rsidRDefault="00B43F58" w:rsidP="00B43F58">
            <w:pPr>
              <w:jc w:val="center"/>
            </w:pPr>
          </w:p>
        </w:tc>
        <w:tc>
          <w:tcPr>
            <w:tcW w:w="1260" w:type="dxa"/>
            <w:vAlign w:val="center"/>
          </w:tcPr>
          <w:p w14:paraId="007E71D4" w14:textId="77777777" w:rsidR="00B43F58" w:rsidRDefault="00B43F58" w:rsidP="00B43F58">
            <w:pPr>
              <w:jc w:val="center"/>
            </w:pPr>
          </w:p>
        </w:tc>
        <w:tc>
          <w:tcPr>
            <w:tcW w:w="1260" w:type="dxa"/>
            <w:vAlign w:val="center"/>
          </w:tcPr>
          <w:p w14:paraId="0DE1741D" w14:textId="77777777" w:rsidR="00B43F58" w:rsidRDefault="00B43F58" w:rsidP="00B43F58">
            <w:pPr>
              <w:jc w:val="center"/>
            </w:pPr>
          </w:p>
        </w:tc>
        <w:tc>
          <w:tcPr>
            <w:tcW w:w="1345" w:type="dxa"/>
            <w:vAlign w:val="center"/>
          </w:tcPr>
          <w:p w14:paraId="1D302274" w14:textId="77777777" w:rsidR="00B43F58" w:rsidRPr="000F40CD" w:rsidRDefault="00B43F58" w:rsidP="00B43F58">
            <w:pPr>
              <w:jc w:val="center"/>
              <w:rPr>
                <w:color w:val="FF0000"/>
              </w:rPr>
            </w:pPr>
            <w:r w:rsidRPr="000F40CD">
              <w:rPr>
                <w:color w:val="FF0000"/>
              </w:rPr>
              <w:t>[100, 500]</w:t>
            </w:r>
          </w:p>
        </w:tc>
      </w:tr>
    </w:tbl>
    <w:p w14:paraId="3F49D42B" w14:textId="77777777" w:rsidR="000F40CD" w:rsidRDefault="000F40CD"/>
    <w:p w14:paraId="0E5D4D24" w14:textId="77777777" w:rsidR="00B43F58" w:rsidRDefault="00B43F58"/>
    <w:p w14:paraId="2C65178D" w14:textId="77777777" w:rsidR="00B43F58" w:rsidRDefault="00B43F58"/>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14:paraId="2418429F" w14:textId="77777777" w:rsidTr="00A60653">
        <w:tc>
          <w:tcPr>
            <w:tcW w:w="9350" w:type="dxa"/>
            <w:gridSpan w:val="7"/>
          </w:tcPr>
          <w:p w14:paraId="3D453BEA" w14:textId="77777777" w:rsidR="000F40CD" w:rsidRPr="00C424D1" w:rsidRDefault="000F40CD" w:rsidP="000F40CD">
            <w:pPr>
              <w:rPr>
                <w:b/>
              </w:rPr>
            </w:pPr>
            <w:r w:rsidRPr="00AB7D87">
              <w:rPr>
                <w:b/>
              </w:rPr>
              <w:lastRenderedPageBreak/>
              <w:t xml:space="preserve">Profile #1: </w:t>
            </w:r>
            <w:r>
              <w:rPr>
                <w:b/>
              </w:rPr>
              <w:t>Major Arterial</w:t>
            </w:r>
            <w:r w:rsidRPr="00AB7D87">
              <w:rPr>
                <w:b/>
              </w:rPr>
              <w:t>; Asphaltic Concrete</w:t>
            </w:r>
            <w:r>
              <w:rPr>
                <w:b/>
              </w:rPr>
              <w:t xml:space="preserve"> (AC)</w:t>
            </w:r>
          </w:p>
        </w:tc>
      </w:tr>
      <w:tr w:rsidR="000F40CD" w14:paraId="301D1892" w14:textId="77777777" w:rsidTr="00A60653">
        <w:trPr>
          <w:trHeight w:val="611"/>
        </w:trPr>
        <w:tc>
          <w:tcPr>
            <w:tcW w:w="1722" w:type="dxa"/>
            <w:vAlign w:val="center"/>
          </w:tcPr>
          <w:p w14:paraId="51C09398" w14:textId="77777777" w:rsidR="000F40CD" w:rsidRDefault="000F40CD" w:rsidP="00A60653">
            <w:pPr>
              <w:jc w:val="center"/>
            </w:pPr>
          </w:p>
        </w:tc>
        <w:tc>
          <w:tcPr>
            <w:tcW w:w="1063" w:type="dxa"/>
            <w:vAlign w:val="center"/>
          </w:tcPr>
          <w:p w14:paraId="63EB1325" w14:textId="77777777" w:rsidR="000F40CD" w:rsidRPr="00C424D1" w:rsidRDefault="000F40CD" w:rsidP="00A60653">
            <w:pPr>
              <w:jc w:val="center"/>
              <w:rPr>
                <w:rFonts w:eastAsiaTheme="minorEastAsia"/>
              </w:rPr>
            </w:pPr>
            <w:r>
              <w:t>Albedo</w:t>
            </w:r>
          </w:p>
        </w:tc>
        <w:tc>
          <w:tcPr>
            <w:tcW w:w="1260" w:type="dxa"/>
            <w:vAlign w:val="center"/>
          </w:tcPr>
          <w:p w14:paraId="4C4A65FB" w14:textId="77777777" w:rsidR="000F40CD" w:rsidRPr="00C424D1" w:rsidRDefault="000F40CD" w:rsidP="00A60653">
            <w:pPr>
              <w:jc w:val="center"/>
            </w:pPr>
            <w:r>
              <w:t>T</w:t>
            </w:r>
            <w:r w:rsidRPr="00EC0B7A">
              <w:t xml:space="preserve">hermal </w:t>
            </w:r>
            <w:r>
              <w:t>D</w:t>
            </w:r>
            <w:r w:rsidRPr="00EC0B7A">
              <w:t>iffusivity</w:t>
            </w:r>
          </w:p>
        </w:tc>
        <w:tc>
          <w:tcPr>
            <w:tcW w:w="1440" w:type="dxa"/>
            <w:vAlign w:val="center"/>
          </w:tcPr>
          <w:p w14:paraId="5D372B78" w14:textId="77777777" w:rsidR="000F40CD" w:rsidRDefault="000F40CD" w:rsidP="00A60653">
            <w:pPr>
              <w:jc w:val="center"/>
            </w:pPr>
            <w:r>
              <w:t>T</w:t>
            </w:r>
            <w:r w:rsidRPr="00EC0B7A">
              <w:t xml:space="preserve">hermal </w:t>
            </w:r>
            <w:r>
              <w:t>C</w:t>
            </w:r>
            <w:r w:rsidRPr="00EC0B7A">
              <w:t>onductivity</w:t>
            </w:r>
          </w:p>
        </w:tc>
        <w:tc>
          <w:tcPr>
            <w:tcW w:w="1260" w:type="dxa"/>
            <w:vAlign w:val="center"/>
          </w:tcPr>
          <w:p w14:paraId="288B79E7" w14:textId="77777777" w:rsidR="000F40CD" w:rsidRDefault="000F40CD" w:rsidP="00A60653">
            <w:pPr>
              <w:jc w:val="center"/>
            </w:pPr>
            <w:r w:rsidRPr="00EC0B7A">
              <w:t>Density</w:t>
            </w:r>
          </w:p>
        </w:tc>
        <w:tc>
          <w:tcPr>
            <w:tcW w:w="1260" w:type="dxa"/>
            <w:vAlign w:val="center"/>
          </w:tcPr>
          <w:p w14:paraId="09D06E8F" w14:textId="77777777" w:rsidR="000F40CD" w:rsidRDefault="000F40CD" w:rsidP="00A60653">
            <w:pPr>
              <w:jc w:val="center"/>
            </w:pPr>
            <w:r>
              <w:t>Specific heat</w:t>
            </w:r>
          </w:p>
        </w:tc>
        <w:tc>
          <w:tcPr>
            <w:tcW w:w="1345" w:type="dxa"/>
            <w:vAlign w:val="center"/>
          </w:tcPr>
          <w:p w14:paraId="1C2E1D0C" w14:textId="77777777" w:rsidR="000F40CD" w:rsidRPr="00C424D1" w:rsidRDefault="000F40CD" w:rsidP="00A60653">
            <w:pPr>
              <w:jc w:val="center"/>
              <w:rPr>
                <w:rFonts w:eastAsiaTheme="minorEastAsia"/>
              </w:rPr>
            </w:pPr>
            <w:r>
              <w:t>Thickness Range</w:t>
            </w:r>
          </w:p>
        </w:tc>
      </w:tr>
      <w:tr w:rsidR="000F40CD" w14:paraId="2BA8B4C2" w14:textId="77777777" w:rsidTr="00A60653">
        <w:trPr>
          <w:trHeight w:val="611"/>
        </w:trPr>
        <w:tc>
          <w:tcPr>
            <w:tcW w:w="1722" w:type="dxa"/>
            <w:vAlign w:val="center"/>
          </w:tcPr>
          <w:p w14:paraId="67447041" w14:textId="77777777" w:rsidR="000F40CD" w:rsidRPr="000F40CD" w:rsidRDefault="000F40CD" w:rsidP="00A60653">
            <w:pPr>
              <w:jc w:val="center"/>
              <w:rPr>
                <w:i/>
              </w:rPr>
            </w:pPr>
            <w:r w:rsidRPr="000F40CD">
              <w:rPr>
                <w:i/>
              </w:rPr>
              <w:t>Units</w:t>
            </w:r>
          </w:p>
        </w:tc>
        <w:tc>
          <w:tcPr>
            <w:tcW w:w="1063" w:type="dxa"/>
            <w:vAlign w:val="center"/>
          </w:tcPr>
          <w:p w14:paraId="479357F0" w14:textId="77777777" w:rsidR="000F40CD" w:rsidRPr="000F40CD" w:rsidRDefault="000F40CD" w:rsidP="00A60653">
            <w:pPr>
              <w:jc w:val="center"/>
              <w:rPr>
                <w:rFonts w:eastAsiaTheme="minorEastAsia"/>
              </w:rPr>
            </w:pPr>
            <m:oMathPara>
              <m:oMath>
                <m:r>
                  <w:rPr>
                    <w:rFonts w:ascii="Cambria Math" w:hAnsi="Cambria Math"/>
                  </w:rPr>
                  <m:t>dim.  less</m:t>
                </m:r>
              </m:oMath>
            </m:oMathPara>
          </w:p>
        </w:tc>
        <w:tc>
          <w:tcPr>
            <w:tcW w:w="1260" w:type="dxa"/>
            <w:vAlign w:val="center"/>
          </w:tcPr>
          <w:p w14:paraId="7AA1625C" w14:textId="77777777" w:rsidR="000F40CD" w:rsidRPr="000F40CD" w:rsidRDefault="007660C7" w:rsidP="00A60653">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tc>
        <w:tc>
          <w:tcPr>
            <w:tcW w:w="1440" w:type="dxa"/>
            <w:vAlign w:val="center"/>
          </w:tcPr>
          <w:p w14:paraId="1C474AE6" w14:textId="77777777" w:rsidR="000F40CD" w:rsidRPr="000F40CD" w:rsidRDefault="007660C7" w:rsidP="00A60653">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14:paraId="76112D8C" w14:textId="77777777" w:rsidR="000F40CD" w:rsidRPr="000F40CD" w:rsidRDefault="007660C7" w:rsidP="00A60653">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14:paraId="0C0D4574" w14:textId="77777777" w:rsidR="000F40CD" w:rsidRDefault="007660C7" w:rsidP="00A60653">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14:paraId="742E34B3" w14:textId="77777777" w:rsidR="000F40CD" w:rsidRDefault="000F40CD" w:rsidP="00A60653">
            <w:pPr>
              <w:jc w:val="center"/>
            </w:pPr>
            <m:oMathPara>
              <m:oMath>
                <m:r>
                  <w:rPr>
                    <w:rFonts w:ascii="Cambria Math" w:hAnsi="Cambria Math"/>
                  </w:rPr>
                  <m:t>mm</m:t>
                </m:r>
              </m:oMath>
            </m:oMathPara>
          </w:p>
        </w:tc>
      </w:tr>
      <w:tr w:rsidR="000F40CD" w14:paraId="6D60EA8F" w14:textId="77777777" w:rsidTr="00A60653">
        <w:tc>
          <w:tcPr>
            <w:tcW w:w="1722" w:type="dxa"/>
          </w:tcPr>
          <w:p w14:paraId="022B4887" w14:textId="77777777" w:rsidR="000F40CD" w:rsidRPr="000F40CD" w:rsidRDefault="000F40CD" w:rsidP="00A60653">
            <w:r w:rsidRPr="000F40CD">
              <w:t>Layer 1;</w:t>
            </w:r>
          </w:p>
          <w:p w14:paraId="518A128C" w14:textId="77777777" w:rsidR="000F40CD" w:rsidRDefault="000F40CD" w:rsidP="00A60653">
            <w:r>
              <w:t>Surface, AC</w:t>
            </w:r>
          </w:p>
        </w:tc>
        <w:tc>
          <w:tcPr>
            <w:tcW w:w="1063" w:type="dxa"/>
          </w:tcPr>
          <w:p w14:paraId="38F664D8" w14:textId="77777777" w:rsidR="000F40CD" w:rsidRDefault="000F40CD" w:rsidP="00A60653"/>
        </w:tc>
        <w:tc>
          <w:tcPr>
            <w:tcW w:w="1260" w:type="dxa"/>
          </w:tcPr>
          <w:p w14:paraId="5F879719" w14:textId="77777777" w:rsidR="000F40CD" w:rsidRDefault="000F40CD" w:rsidP="00A60653"/>
        </w:tc>
        <w:tc>
          <w:tcPr>
            <w:tcW w:w="1440" w:type="dxa"/>
          </w:tcPr>
          <w:p w14:paraId="6FBC71BF" w14:textId="77777777" w:rsidR="000F40CD" w:rsidRDefault="000F40CD" w:rsidP="00A60653"/>
        </w:tc>
        <w:tc>
          <w:tcPr>
            <w:tcW w:w="1260" w:type="dxa"/>
          </w:tcPr>
          <w:p w14:paraId="2B649A29" w14:textId="77777777" w:rsidR="000F40CD" w:rsidRDefault="000F40CD" w:rsidP="00A60653"/>
        </w:tc>
        <w:tc>
          <w:tcPr>
            <w:tcW w:w="1260" w:type="dxa"/>
          </w:tcPr>
          <w:p w14:paraId="4D7ACE6A" w14:textId="77777777" w:rsidR="000F40CD" w:rsidRDefault="000F40CD" w:rsidP="00A60653"/>
        </w:tc>
        <w:tc>
          <w:tcPr>
            <w:tcW w:w="1345" w:type="dxa"/>
          </w:tcPr>
          <w:p w14:paraId="7B4DA932" w14:textId="77777777" w:rsidR="000F40CD" w:rsidRDefault="000F40CD" w:rsidP="00A60653">
            <w:r>
              <w:t>[40, 130+]</w:t>
            </w:r>
          </w:p>
        </w:tc>
      </w:tr>
      <w:tr w:rsidR="000F40CD" w14:paraId="4E79AC36" w14:textId="77777777" w:rsidTr="00A60653">
        <w:tc>
          <w:tcPr>
            <w:tcW w:w="1722" w:type="dxa"/>
          </w:tcPr>
          <w:p w14:paraId="3A13527B" w14:textId="77777777" w:rsidR="000F40CD" w:rsidRDefault="000F40CD" w:rsidP="00A60653">
            <w:r>
              <w:t>Layer 2; Base</w:t>
            </w:r>
          </w:p>
        </w:tc>
        <w:tc>
          <w:tcPr>
            <w:tcW w:w="1063" w:type="dxa"/>
          </w:tcPr>
          <w:p w14:paraId="12500D22" w14:textId="77777777" w:rsidR="000F40CD" w:rsidRDefault="000F40CD" w:rsidP="00A60653"/>
        </w:tc>
        <w:tc>
          <w:tcPr>
            <w:tcW w:w="1260" w:type="dxa"/>
          </w:tcPr>
          <w:p w14:paraId="241479AA" w14:textId="77777777" w:rsidR="000F40CD" w:rsidRDefault="000F40CD" w:rsidP="00A60653"/>
        </w:tc>
        <w:tc>
          <w:tcPr>
            <w:tcW w:w="1440" w:type="dxa"/>
          </w:tcPr>
          <w:p w14:paraId="408C3DF5" w14:textId="77777777" w:rsidR="000F40CD" w:rsidRDefault="000F40CD" w:rsidP="00A60653"/>
        </w:tc>
        <w:tc>
          <w:tcPr>
            <w:tcW w:w="1260" w:type="dxa"/>
          </w:tcPr>
          <w:p w14:paraId="5F31B99E" w14:textId="77777777" w:rsidR="000F40CD" w:rsidRDefault="000F40CD" w:rsidP="00A60653"/>
        </w:tc>
        <w:tc>
          <w:tcPr>
            <w:tcW w:w="1260" w:type="dxa"/>
          </w:tcPr>
          <w:p w14:paraId="11AAC588" w14:textId="77777777" w:rsidR="000F40CD" w:rsidRDefault="000F40CD" w:rsidP="00A60653"/>
        </w:tc>
        <w:tc>
          <w:tcPr>
            <w:tcW w:w="1345" w:type="dxa"/>
          </w:tcPr>
          <w:p w14:paraId="5F68B1CB" w14:textId="77777777" w:rsidR="000F40CD" w:rsidRPr="000F40CD" w:rsidRDefault="000F40CD" w:rsidP="00A60653">
            <w:pPr>
              <w:rPr>
                <w:color w:val="FF0000"/>
              </w:rPr>
            </w:pPr>
            <w:r w:rsidRPr="000F40CD">
              <w:rPr>
                <w:color w:val="FF0000"/>
              </w:rPr>
              <w:t>[40, 130+]</w:t>
            </w:r>
          </w:p>
        </w:tc>
      </w:tr>
      <w:tr w:rsidR="000F40CD" w14:paraId="086F839F" w14:textId="77777777" w:rsidTr="00A60653">
        <w:tc>
          <w:tcPr>
            <w:tcW w:w="1722" w:type="dxa"/>
          </w:tcPr>
          <w:p w14:paraId="2CD069F0" w14:textId="77777777" w:rsidR="000F40CD" w:rsidRDefault="000F40CD" w:rsidP="00A60653">
            <w:r>
              <w:t xml:space="preserve">Layer 3; </w:t>
            </w:r>
            <w:proofErr w:type="spellStart"/>
            <w:r>
              <w:t>Subase</w:t>
            </w:r>
            <w:proofErr w:type="spellEnd"/>
          </w:p>
        </w:tc>
        <w:tc>
          <w:tcPr>
            <w:tcW w:w="1063" w:type="dxa"/>
          </w:tcPr>
          <w:p w14:paraId="527CD941" w14:textId="77777777" w:rsidR="000F40CD" w:rsidRDefault="000F40CD" w:rsidP="00A60653"/>
        </w:tc>
        <w:tc>
          <w:tcPr>
            <w:tcW w:w="1260" w:type="dxa"/>
          </w:tcPr>
          <w:p w14:paraId="1AA76DE1" w14:textId="77777777" w:rsidR="000F40CD" w:rsidRDefault="000F40CD" w:rsidP="00A60653"/>
        </w:tc>
        <w:tc>
          <w:tcPr>
            <w:tcW w:w="1440" w:type="dxa"/>
          </w:tcPr>
          <w:p w14:paraId="242F0D5B" w14:textId="77777777" w:rsidR="000F40CD" w:rsidRDefault="000F40CD" w:rsidP="00A60653"/>
        </w:tc>
        <w:tc>
          <w:tcPr>
            <w:tcW w:w="1260" w:type="dxa"/>
          </w:tcPr>
          <w:p w14:paraId="3C2033E0" w14:textId="77777777" w:rsidR="000F40CD" w:rsidRDefault="000F40CD" w:rsidP="00A60653"/>
        </w:tc>
        <w:tc>
          <w:tcPr>
            <w:tcW w:w="1260" w:type="dxa"/>
          </w:tcPr>
          <w:p w14:paraId="3A72EDB8" w14:textId="77777777" w:rsidR="000F40CD" w:rsidRDefault="000F40CD" w:rsidP="00A60653"/>
        </w:tc>
        <w:tc>
          <w:tcPr>
            <w:tcW w:w="1345" w:type="dxa"/>
          </w:tcPr>
          <w:p w14:paraId="66168169" w14:textId="77777777" w:rsidR="000F40CD" w:rsidRPr="000F40CD" w:rsidRDefault="000F40CD" w:rsidP="00A60653">
            <w:pPr>
              <w:rPr>
                <w:color w:val="FF0000"/>
              </w:rPr>
            </w:pPr>
            <w:r w:rsidRPr="000F40CD">
              <w:rPr>
                <w:color w:val="FF0000"/>
              </w:rPr>
              <w:t>[100, 500]</w:t>
            </w:r>
          </w:p>
        </w:tc>
      </w:tr>
    </w:tbl>
    <w:p w14:paraId="39192282" w14:textId="77777777" w:rsidR="000F40CD" w:rsidRDefault="000F40CD" w:rsidP="000F40CD"/>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C424D1" w14:paraId="0410E78A" w14:textId="77777777" w:rsidTr="00A60653">
        <w:tc>
          <w:tcPr>
            <w:tcW w:w="9350" w:type="dxa"/>
            <w:gridSpan w:val="7"/>
          </w:tcPr>
          <w:p w14:paraId="144DB477" w14:textId="77777777" w:rsidR="000F40CD" w:rsidRPr="00C424D1" w:rsidRDefault="000F40CD" w:rsidP="000F40CD">
            <w:pPr>
              <w:rPr>
                <w:b/>
              </w:rPr>
            </w:pPr>
            <w:r w:rsidRPr="00AB7D87">
              <w:rPr>
                <w:b/>
              </w:rPr>
              <w:t xml:space="preserve">Profile #1: </w:t>
            </w:r>
            <w:r>
              <w:rPr>
                <w:b/>
              </w:rPr>
              <w:t>Major Arterial</w:t>
            </w:r>
            <w:r w:rsidRPr="00AB7D87">
              <w:rPr>
                <w:b/>
              </w:rPr>
              <w:t xml:space="preserve">; </w:t>
            </w:r>
            <w:r>
              <w:rPr>
                <w:b/>
              </w:rPr>
              <w:t>Portland Cement Concrete (PCC)</w:t>
            </w:r>
          </w:p>
        </w:tc>
      </w:tr>
      <w:tr w:rsidR="000F40CD" w:rsidRPr="00C424D1" w14:paraId="6FEC4193" w14:textId="77777777" w:rsidTr="00A60653">
        <w:trPr>
          <w:trHeight w:val="611"/>
        </w:trPr>
        <w:tc>
          <w:tcPr>
            <w:tcW w:w="1722" w:type="dxa"/>
            <w:vAlign w:val="center"/>
          </w:tcPr>
          <w:p w14:paraId="178F565A" w14:textId="77777777" w:rsidR="000F40CD" w:rsidRDefault="000F40CD" w:rsidP="00A60653">
            <w:pPr>
              <w:jc w:val="center"/>
            </w:pPr>
          </w:p>
        </w:tc>
        <w:tc>
          <w:tcPr>
            <w:tcW w:w="1063" w:type="dxa"/>
            <w:vAlign w:val="center"/>
          </w:tcPr>
          <w:p w14:paraId="70F07D87" w14:textId="77777777" w:rsidR="000F40CD" w:rsidRPr="00C424D1" w:rsidRDefault="000F40CD" w:rsidP="00A60653">
            <w:pPr>
              <w:jc w:val="center"/>
              <w:rPr>
                <w:rFonts w:eastAsiaTheme="minorEastAsia"/>
              </w:rPr>
            </w:pPr>
            <w:r>
              <w:t>Albedo</w:t>
            </w:r>
          </w:p>
        </w:tc>
        <w:tc>
          <w:tcPr>
            <w:tcW w:w="1260" w:type="dxa"/>
            <w:vAlign w:val="center"/>
          </w:tcPr>
          <w:p w14:paraId="550CA525" w14:textId="77777777" w:rsidR="000F40CD" w:rsidRPr="00C424D1" w:rsidRDefault="000F40CD" w:rsidP="00A60653">
            <w:pPr>
              <w:jc w:val="center"/>
            </w:pPr>
            <w:r>
              <w:t>T</w:t>
            </w:r>
            <w:r w:rsidRPr="00EC0B7A">
              <w:t xml:space="preserve">hermal </w:t>
            </w:r>
            <w:r>
              <w:t>D</w:t>
            </w:r>
            <w:r w:rsidRPr="00EC0B7A">
              <w:t>iffusivity</w:t>
            </w:r>
          </w:p>
        </w:tc>
        <w:tc>
          <w:tcPr>
            <w:tcW w:w="1440" w:type="dxa"/>
            <w:vAlign w:val="center"/>
          </w:tcPr>
          <w:p w14:paraId="61285514" w14:textId="77777777" w:rsidR="000F40CD" w:rsidRDefault="000F40CD" w:rsidP="00A60653">
            <w:pPr>
              <w:jc w:val="center"/>
            </w:pPr>
            <w:r>
              <w:t>T</w:t>
            </w:r>
            <w:r w:rsidRPr="00EC0B7A">
              <w:t xml:space="preserve">hermal </w:t>
            </w:r>
            <w:r>
              <w:t>C</w:t>
            </w:r>
            <w:r w:rsidRPr="00EC0B7A">
              <w:t>onductivity</w:t>
            </w:r>
          </w:p>
        </w:tc>
        <w:tc>
          <w:tcPr>
            <w:tcW w:w="1260" w:type="dxa"/>
            <w:vAlign w:val="center"/>
          </w:tcPr>
          <w:p w14:paraId="6354DBE5" w14:textId="77777777" w:rsidR="000F40CD" w:rsidRDefault="000F40CD" w:rsidP="00A60653">
            <w:pPr>
              <w:jc w:val="center"/>
            </w:pPr>
            <w:r w:rsidRPr="00EC0B7A">
              <w:t>Density</w:t>
            </w:r>
          </w:p>
        </w:tc>
        <w:tc>
          <w:tcPr>
            <w:tcW w:w="1260" w:type="dxa"/>
            <w:vAlign w:val="center"/>
          </w:tcPr>
          <w:p w14:paraId="4984D527" w14:textId="77777777" w:rsidR="000F40CD" w:rsidRDefault="000F40CD" w:rsidP="00A60653">
            <w:pPr>
              <w:jc w:val="center"/>
            </w:pPr>
            <w:r>
              <w:t>Specific heat</w:t>
            </w:r>
          </w:p>
        </w:tc>
        <w:tc>
          <w:tcPr>
            <w:tcW w:w="1345" w:type="dxa"/>
            <w:vAlign w:val="center"/>
          </w:tcPr>
          <w:p w14:paraId="07F227C4" w14:textId="77777777" w:rsidR="000F40CD" w:rsidRPr="00C424D1" w:rsidRDefault="000F40CD" w:rsidP="00A60653">
            <w:pPr>
              <w:jc w:val="center"/>
              <w:rPr>
                <w:rFonts w:eastAsiaTheme="minorEastAsia"/>
              </w:rPr>
            </w:pPr>
            <w:r>
              <w:t>Thickness Range</w:t>
            </w:r>
          </w:p>
        </w:tc>
      </w:tr>
      <w:tr w:rsidR="000F40CD" w14:paraId="1F703B64" w14:textId="77777777" w:rsidTr="00A60653">
        <w:trPr>
          <w:trHeight w:val="611"/>
        </w:trPr>
        <w:tc>
          <w:tcPr>
            <w:tcW w:w="1722" w:type="dxa"/>
            <w:vAlign w:val="center"/>
          </w:tcPr>
          <w:p w14:paraId="559C8728" w14:textId="77777777" w:rsidR="000F40CD" w:rsidRPr="000F40CD" w:rsidRDefault="000F40CD" w:rsidP="00A60653">
            <w:pPr>
              <w:jc w:val="center"/>
              <w:rPr>
                <w:i/>
              </w:rPr>
            </w:pPr>
            <w:r w:rsidRPr="000F40CD">
              <w:rPr>
                <w:i/>
              </w:rPr>
              <w:t>Units</w:t>
            </w:r>
          </w:p>
        </w:tc>
        <w:tc>
          <w:tcPr>
            <w:tcW w:w="1063" w:type="dxa"/>
            <w:vAlign w:val="center"/>
          </w:tcPr>
          <w:p w14:paraId="70F9F2F4" w14:textId="77777777" w:rsidR="000F40CD" w:rsidRPr="000F40CD" w:rsidRDefault="000F40CD" w:rsidP="00A60653">
            <w:pPr>
              <w:jc w:val="center"/>
              <w:rPr>
                <w:rFonts w:eastAsiaTheme="minorEastAsia"/>
              </w:rPr>
            </w:pPr>
            <m:oMathPara>
              <m:oMath>
                <m:r>
                  <w:rPr>
                    <w:rFonts w:ascii="Cambria Math" w:hAnsi="Cambria Math"/>
                  </w:rPr>
                  <m:t>dim.  less</m:t>
                </m:r>
              </m:oMath>
            </m:oMathPara>
          </w:p>
        </w:tc>
        <w:tc>
          <w:tcPr>
            <w:tcW w:w="1260" w:type="dxa"/>
            <w:vAlign w:val="center"/>
          </w:tcPr>
          <w:p w14:paraId="3FEA6A49" w14:textId="77777777" w:rsidR="000F40CD" w:rsidRPr="000F40CD" w:rsidRDefault="007660C7" w:rsidP="00A60653">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tc>
        <w:tc>
          <w:tcPr>
            <w:tcW w:w="1440" w:type="dxa"/>
            <w:vAlign w:val="center"/>
          </w:tcPr>
          <w:p w14:paraId="1EFC3EE0" w14:textId="77777777" w:rsidR="000F40CD" w:rsidRPr="000F40CD" w:rsidRDefault="007660C7" w:rsidP="00A60653">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14:paraId="4E04CE5F" w14:textId="77777777" w:rsidR="000F40CD" w:rsidRPr="000F40CD" w:rsidRDefault="007660C7" w:rsidP="00A60653">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14:paraId="296DF8CA" w14:textId="77777777" w:rsidR="000F40CD" w:rsidRDefault="007660C7" w:rsidP="00A60653">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14:paraId="7AEE34E5" w14:textId="77777777" w:rsidR="000F40CD" w:rsidRDefault="000F40CD" w:rsidP="00A60653">
            <w:pPr>
              <w:jc w:val="center"/>
            </w:pPr>
            <m:oMathPara>
              <m:oMath>
                <m:r>
                  <w:rPr>
                    <w:rFonts w:ascii="Cambria Math" w:hAnsi="Cambria Math"/>
                  </w:rPr>
                  <m:t>mm</m:t>
                </m:r>
              </m:oMath>
            </m:oMathPara>
          </w:p>
        </w:tc>
      </w:tr>
      <w:tr w:rsidR="000F40CD" w14:paraId="254CFE9B" w14:textId="77777777" w:rsidTr="00A60653">
        <w:tc>
          <w:tcPr>
            <w:tcW w:w="1722" w:type="dxa"/>
          </w:tcPr>
          <w:p w14:paraId="2FA32B18" w14:textId="77777777" w:rsidR="000F40CD" w:rsidRPr="000F40CD" w:rsidRDefault="000F40CD" w:rsidP="00A60653">
            <w:r w:rsidRPr="000F40CD">
              <w:t>Layer 1;</w:t>
            </w:r>
          </w:p>
          <w:p w14:paraId="21B9014D" w14:textId="77777777" w:rsidR="000F40CD" w:rsidRDefault="000F40CD" w:rsidP="00A60653">
            <w:r>
              <w:t>Surface, PCC</w:t>
            </w:r>
          </w:p>
        </w:tc>
        <w:tc>
          <w:tcPr>
            <w:tcW w:w="1063" w:type="dxa"/>
          </w:tcPr>
          <w:p w14:paraId="5173A8AF" w14:textId="77777777" w:rsidR="000F40CD" w:rsidRDefault="000F40CD" w:rsidP="00A60653"/>
        </w:tc>
        <w:tc>
          <w:tcPr>
            <w:tcW w:w="1260" w:type="dxa"/>
          </w:tcPr>
          <w:p w14:paraId="5D1B26E0" w14:textId="77777777" w:rsidR="000F40CD" w:rsidRDefault="000F40CD" w:rsidP="00A60653"/>
        </w:tc>
        <w:tc>
          <w:tcPr>
            <w:tcW w:w="1440" w:type="dxa"/>
          </w:tcPr>
          <w:p w14:paraId="75AF4F64" w14:textId="77777777" w:rsidR="000F40CD" w:rsidRDefault="000F40CD" w:rsidP="00A60653"/>
        </w:tc>
        <w:tc>
          <w:tcPr>
            <w:tcW w:w="1260" w:type="dxa"/>
          </w:tcPr>
          <w:p w14:paraId="61859E5F" w14:textId="77777777" w:rsidR="000F40CD" w:rsidRDefault="000F40CD" w:rsidP="00A60653"/>
        </w:tc>
        <w:tc>
          <w:tcPr>
            <w:tcW w:w="1260" w:type="dxa"/>
          </w:tcPr>
          <w:p w14:paraId="5E1983D8" w14:textId="77777777" w:rsidR="000F40CD" w:rsidRDefault="000F40CD" w:rsidP="00A60653"/>
        </w:tc>
        <w:tc>
          <w:tcPr>
            <w:tcW w:w="1345" w:type="dxa"/>
          </w:tcPr>
          <w:p w14:paraId="13E3CD70" w14:textId="77777777" w:rsidR="000F40CD" w:rsidRPr="000F40CD" w:rsidRDefault="000F40CD" w:rsidP="00A60653">
            <w:pPr>
              <w:rPr>
                <w:color w:val="FF0000"/>
              </w:rPr>
            </w:pPr>
            <w:r w:rsidRPr="000F40CD">
              <w:rPr>
                <w:color w:val="FF0000"/>
              </w:rPr>
              <w:t>[80, 260+]</w:t>
            </w:r>
          </w:p>
        </w:tc>
      </w:tr>
      <w:tr w:rsidR="000F40CD" w14:paraId="0B6E00E3" w14:textId="77777777" w:rsidTr="00A60653">
        <w:tc>
          <w:tcPr>
            <w:tcW w:w="1722" w:type="dxa"/>
          </w:tcPr>
          <w:p w14:paraId="15D04DA3" w14:textId="77777777" w:rsidR="000F40CD" w:rsidRDefault="000F40CD" w:rsidP="00A60653">
            <w:r>
              <w:t xml:space="preserve">Layer 2; </w:t>
            </w:r>
            <w:proofErr w:type="spellStart"/>
            <w:r>
              <w:t>Subase</w:t>
            </w:r>
            <w:proofErr w:type="spellEnd"/>
          </w:p>
        </w:tc>
        <w:tc>
          <w:tcPr>
            <w:tcW w:w="1063" w:type="dxa"/>
          </w:tcPr>
          <w:p w14:paraId="733F2B12" w14:textId="77777777" w:rsidR="000F40CD" w:rsidRDefault="000F40CD" w:rsidP="00A60653"/>
        </w:tc>
        <w:tc>
          <w:tcPr>
            <w:tcW w:w="1260" w:type="dxa"/>
          </w:tcPr>
          <w:p w14:paraId="59644EF8" w14:textId="77777777" w:rsidR="000F40CD" w:rsidRDefault="000F40CD" w:rsidP="00A60653"/>
        </w:tc>
        <w:tc>
          <w:tcPr>
            <w:tcW w:w="1440" w:type="dxa"/>
          </w:tcPr>
          <w:p w14:paraId="78365CA1" w14:textId="77777777" w:rsidR="000F40CD" w:rsidRDefault="000F40CD" w:rsidP="00A60653"/>
        </w:tc>
        <w:tc>
          <w:tcPr>
            <w:tcW w:w="1260" w:type="dxa"/>
          </w:tcPr>
          <w:p w14:paraId="588C72D7" w14:textId="77777777" w:rsidR="000F40CD" w:rsidRDefault="000F40CD" w:rsidP="00A60653"/>
        </w:tc>
        <w:tc>
          <w:tcPr>
            <w:tcW w:w="1260" w:type="dxa"/>
          </w:tcPr>
          <w:p w14:paraId="1F1E80BE" w14:textId="77777777" w:rsidR="000F40CD" w:rsidRDefault="000F40CD" w:rsidP="00A60653"/>
        </w:tc>
        <w:tc>
          <w:tcPr>
            <w:tcW w:w="1345" w:type="dxa"/>
          </w:tcPr>
          <w:p w14:paraId="703DBC4E" w14:textId="77777777" w:rsidR="000F40CD" w:rsidRPr="000F40CD" w:rsidRDefault="000F40CD" w:rsidP="00A60653">
            <w:pPr>
              <w:rPr>
                <w:color w:val="FF0000"/>
              </w:rPr>
            </w:pPr>
            <w:r w:rsidRPr="000F40CD">
              <w:rPr>
                <w:color w:val="FF0000"/>
              </w:rPr>
              <w:t>[100, 500]</w:t>
            </w:r>
          </w:p>
        </w:tc>
      </w:tr>
    </w:tbl>
    <w:p w14:paraId="1624C462" w14:textId="77777777" w:rsidR="00B43F58" w:rsidRDefault="00B43F58"/>
    <w:p w14:paraId="1B8E94C2" w14:textId="77777777" w:rsidR="00B43F58" w:rsidRDefault="00B43F58" w:rsidP="00B43F58">
      <w:r>
        <w:t xml:space="preserve">Questions for </w:t>
      </w:r>
      <w:proofErr w:type="spellStart"/>
      <w:r>
        <w:t>Kaloush</w:t>
      </w:r>
      <w:proofErr w:type="spellEnd"/>
    </w:p>
    <w:p w14:paraId="47ED8FF2" w14:textId="77777777" w:rsidR="00B43F58" w:rsidRDefault="00B43F58" w:rsidP="00B43F58">
      <w:pPr>
        <w:pStyle w:val="ListParagraph"/>
        <w:numPr>
          <w:ilvl w:val="0"/>
          <w:numId w:val="1"/>
        </w:numPr>
      </w:pPr>
      <w:r>
        <w:t>Is the in-situ data from the original study available, and if so could I use it?</w:t>
      </w:r>
    </w:p>
    <w:p w14:paraId="7FB81CF6" w14:textId="77777777" w:rsidR="00B43F58" w:rsidRDefault="00B43F58" w:rsidP="00B43F58">
      <w:pPr>
        <w:pStyle w:val="ListParagraph"/>
        <w:numPr>
          <w:ilvl w:val="0"/>
          <w:numId w:val="1"/>
        </w:numPr>
      </w:pPr>
      <w:r>
        <w:t>Albedo varies diurnally but this is not incorporated in model. How much might this affect simulated results? How would this be specified in the model if so? Does albedo also vary by functional class within asphalt surfaces? E.g. do asphalt highways typically have different albedos than local roads?</w:t>
      </w:r>
    </w:p>
    <w:p w14:paraId="553C18B4" w14:textId="77777777" w:rsidR="00B43F58" w:rsidRDefault="00B43F58" w:rsidP="00B43F58">
      <w:pPr>
        <w:pStyle w:val="ListParagraph"/>
        <w:numPr>
          <w:ilvl w:val="0"/>
          <w:numId w:val="1"/>
        </w:numPr>
      </w:pPr>
      <w:r>
        <w:t>Are there a couple (e.g. 6-8 or so) typical/average pavement design profiles (in terms of material composition and layer depths) that would represent the majority of roadway and parking lot pavements in the Phoenix metro? I realize there are other parameters like flexible, previous that will influence design, but if there is no way to generalize by functional class and location, it will be difficult to include those design parameters into profiles</w:t>
      </w:r>
    </w:p>
    <w:p w14:paraId="7D8C9DA9" w14:textId="77777777" w:rsidR="00B43F58" w:rsidRDefault="00B43F58" w:rsidP="00B43F58">
      <w:pPr>
        <w:pStyle w:val="ListParagraph"/>
        <w:numPr>
          <w:ilvl w:val="1"/>
          <w:numId w:val="1"/>
        </w:numPr>
      </w:pPr>
    </w:p>
    <w:p w14:paraId="1689484B" w14:textId="77777777" w:rsidR="00B43F58" w:rsidRDefault="00B43F58" w:rsidP="00B43F58">
      <w:pPr>
        <w:pStyle w:val="ListParagraph"/>
        <w:numPr>
          <w:ilvl w:val="1"/>
          <w:numId w:val="1"/>
        </w:numPr>
      </w:pPr>
      <w:r>
        <w:t>Is three layers (surface, base, subbase) generally enough to capture typical pavement profiles?</w:t>
      </w:r>
    </w:p>
    <w:p w14:paraId="2BA72E4E" w14:textId="77777777" w:rsidR="00B43F58" w:rsidRDefault="00B43F58" w:rsidP="00B43F58">
      <w:pPr>
        <w:pStyle w:val="ListParagraph"/>
        <w:numPr>
          <w:ilvl w:val="1"/>
          <w:numId w:val="1"/>
        </w:numPr>
      </w:pPr>
      <w:r>
        <w:t>My validation exercise will use sample sites that have only concrete, asphalt, and bare ground/dirt/soil and then predict the surface temp to see how it compares with remotely sensed LST. In this case, will use Landsat-8 TIRS bands</w:t>
      </w:r>
    </w:p>
    <w:p w14:paraId="47A81DA2" w14:textId="77777777" w:rsidR="00B43F58" w:rsidRDefault="00B43F58" w:rsidP="00B43F58">
      <w:r>
        <w:t>More specific questions about model:</w:t>
      </w:r>
    </w:p>
    <w:p w14:paraId="1785ABA4" w14:textId="77777777" w:rsidR="00B43F58" w:rsidRDefault="00B43F58" w:rsidP="00B43F58">
      <w:pPr>
        <w:pStyle w:val="ListParagraph"/>
        <w:numPr>
          <w:ilvl w:val="0"/>
          <w:numId w:val="2"/>
        </w:numPr>
      </w:pPr>
      <w:r>
        <w:t xml:space="preserve">How was L, characteristic length of pavement chosen? </w:t>
      </w:r>
    </w:p>
    <w:p w14:paraId="7E16799B" w14:textId="77777777" w:rsidR="00B43F58" w:rsidRDefault="00B43F58" w:rsidP="00B43F58">
      <w:pPr>
        <w:pStyle w:val="ListParagraph"/>
        <w:numPr>
          <w:ilvl w:val="0"/>
          <w:numId w:val="2"/>
        </w:numPr>
      </w:pPr>
      <w:r>
        <w:t>Why does the model get worse at predicting the in-situ data with more iterations?</w:t>
      </w:r>
    </w:p>
    <w:p w14:paraId="3F443701" w14:textId="77777777" w:rsidR="00B43F58" w:rsidRDefault="00B43F58" w:rsidP="00B43F58">
      <w:pPr>
        <w:pStyle w:val="ListParagraph"/>
        <w:numPr>
          <w:ilvl w:val="0"/>
          <w:numId w:val="2"/>
        </w:numPr>
      </w:pPr>
      <w:r>
        <w:t xml:space="preserve">Convergence of temperature at surface or first node below surface seems unachievable with different starting conditions of pavement temperature. In other words, if the initialized </w:t>
      </w:r>
      <w:r>
        <w:lastRenderedPageBreak/>
        <w:t>temperature throughout the pavement is 40C vs 30C with all other conditions being the same, the model does not converge to a simulation. Why is this? Is there an explanation for why this would be an artifact of this approach?</w:t>
      </w:r>
    </w:p>
    <w:p w14:paraId="36FEF968" w14:textId="77777777" w:rsidR="00B43F58" w:rsidRDefault="00B43F58"/>
    <w:p w14:paraId="6EB2CEAA" w14:textId="77777777" w:rsidR="008218C9" w:rsidRDefault="008218C9"/>
    <w:tbl>
      <w:tblPr>
        <w:tblStyle w:val="TableGrid"/>
        <w:tblW w:w="9873" w:type="dxa"/>
        <w:tblLook w:val="04A0" w:firstRow="1" w:lastRow="0" w:firstColumn="1" w:lastColumn="0" w:noHBand="0" w:noVBand="1"/>
      </w:tblPr>
      <w:tblGrid>
        <w:gridCol w:w="1885"/>
        <w:gridCol w:w="1350"/>
        <w:gridCol w:w="6638"/>
      </w:tblGrid>
      <w:tr w:rsidR="000F40CD" w:rsidRPr="000F40CD" w14:paraId="1DECD849" w14:textId="77777777" w:rsidTr="006D2C61">
        <w:trPr>
          <w:trHeight w:val="300"/>
        </w:trPr>
        <w:tc>
          <w:tcPr>
            <w:tcW w:w="1885" w:type="dxa"/>
            <w:noWrap/>
            <w:hideMark/>
          </w:tcPr>
          <w:p w14:paraId="5CAF3F53" w14:textId="77777777" w:rsidR="000F40CD" w:rsidRPr="000F40CD" w:rsidRDefault="000F40CD" w:rsidP="000F40CD">
            <w:pPr>
              <w:rPr>
                <w:rFonts w:ascii="Calibri" w:eastAsia="Times New Roman" w:hAnsi="Calibri" w:cs="Calibri"/>
                <w:b/>
                <w:color w:val="000000"/>
              </w:rPr>
            </w:pPr>
            <w:r w:rsidRPr="000F40CD">
              <w:rPr>
                <w:rFonts w:ascii="Calibri" w:eastAsia="Times New Roman" w:hAnsi="Calibri" w:cs="Calibri"/>
                <w:b/>
                <w:color w:val="000000"/>
              </w:rPr>
              <w:t>O</w:t>
            </w:r>
            <w:r>
              <w:rPr>
                <w:rFonts w:ascii="Calibri" w:eastAsia="Times New Roman" w:hAnsi="Calibri" w:cs="Calibri"/>
                <w:b/>
                <w:color w:val="000000"/>
              </w:rPr>
              <w:t>penStreetMap (OSM)</w:t>
            </w:r>
            <w:r w:rsidRPr="000F40CD">
              <w:rPr>
                <w:rFonts w:ascii="Calibri" w:eastAsia="Times New Roman" w:hAnsi="Calibri" w:cs="Calibri"/>
                <w:b/>
                <w:color w:val="000000"/>
              </w:rPr>
              <w:t xml:space="preserve"> </w:t>
            </w:r>
            <w:r>
              <w:rPr>
                <w:rFonts w:ascii="Calibri" w:eastAsia="Times New Roman" w:hAnsi="Calibri" w:cs="Calibri"/>
                <w:b/>
                <w:color w:val="000000"/>
              </w:rPr>
              <w:t>Functional Class (</w:t>
            </w:r>
            <w:proofErr w:type="spellStart"/>
            <w:r w:rsidRPr="000F40CD">
              <w:rPr>
                <w:rFonts w:ascii="Calibri" w:eastAsia="Times New Roman" w:hAnsi="Calibri" w:cs="Calibri"/>
                <w:b/>
                <w:color w:val="000000"/>
              </w:rPr>
              <w:t>fclass</w:t>
            </w:r>
            <w:proofErr w:type="spellEnd"/>
            <w:r>
              <w:rPr>
                <w:rFonts w:ascii="Calibri" w:eastAsia="Times New Roman" w:hAnsi="Calibri" w:cs="Calibri"/>
                <w:b/>
                <w:color w:val="000000"/>
              </w:rPr>
              <w:t>)</w:t>
            </w:r>
          </w:p>
        </w:tc>
        <w:tc>
          <w:tcPr>
            <w:tcW w:w="1350" w:type="dxa"/>
            <w:noWrap/>
            <w:hideMark/>
          </w:tcPr>
          <w:p w14:paraId="4A1D3ED3" w14:textId="77777777" w:rsidR="000F40CD" w:rsidRPr="000F40CD" w:rsidRDefault="000F40CD" w:rsidP="000F40CD">
            <w:pPr>
              <w:rPr>
                <w:rFonts w:ascii="Calibri" w:eastAsia="Times New Roman" w:hAnsi="Calibri" w:cs="Calibri"/>
                <w:b/>
                <w:color w:val="000000"/>
              </w:rPr>
            </w:pPr>
            <w:r w:rsidRPr="000F40CD">
              <w:rPr>
                <w:rFonts w:ascii="Calibri" w:eastAsia="Times New Roman" w:hAnsi="Calibri" w:cs="Calibri"/>
                <w:b/>
                <w:color w:val="000000"/>
              </w:rPr>
              <w:t>Assumed Pavement Type</w:t>
            </w:r>
          </w:p>
        </w:tc>
        <w:tc>
          <w:tcPr>
            <w:tcW w:w="6638" w:type="dxa"/>
            <w:noWrap/>
            <w:hideMark/>
          </w:tcPr>
          <w:p w14:paraId="5EFFFF2A" w14:textId="77777777" w:rsidR="000F40CD" w:rsidRPr="000F40CD" w:rsidRDefault="000F40CD" w:rsidP="000F40CD">
            <w:pPr>
              <w:rPr>
                <w:rFonts w:ascii="Calibri" w:eastAsia="Times New Roman" w:hAnsi="Calibri" w:cs="Calibri"/>
                <w:b/>
                <w:color w:val="000000"/>
              </w:rPr>
            </w:pPr>
            <w:r w:rsidRPr="000F40CD">
              <w:rPr>
                <w:rFonts w:ascii="Calibri" w:eastAsia="Times New Roman" w:hAnsi="Calibri" w:cs="Calibri"/>
                <w:b/>
                <w:color w:val="000000"/>
              </w:rPr>
              <w:t>Description</w:t>
            </w:r>
          </w:p>
        </w:tc>
      </w:tr>
      <w:tr w:rsidR="000F40CD" w:rsidRPr="000F40CD" w14:paraId="527B71CF" w14:textId="77777777" w:rsidTr="000F40CD">
        <w:trPr>
          <w:trHeight w:val="300"/>
        </w:trPr>
        <w:tc>
          <w:tcPr>
            <w:tcW w:w="1885" w:type="dxa"/>
            <w:noWrap/>
            <w:hideMark/>
          </w:tcPr>
          <w:p w14:paraId="22321CD2"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bridleway</w:t>
            </w:r>
          </w:p>
        </w:tc>
        <w:tc>
          <w:tcPr>
            <w:tcW w:w="1350" w:type="dxa"/>
            <w:noWrap/>
            <w:hideMark/>
          </w:tcPr>
          <w:p w14:paraId="778875E2"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491F57E3"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Paths for horse riding</w:t>
            </w:r>
          </w:p>
        </w:tc>
      </w:tr>
      <w:tr w:rsidR="000F40CD" w:rsidRPr="000F40CD" w14:paraId="2EDC987B" w14:textId="77777777" w:rsidTr="000F40CD">
        <w:trPr>
          <w:trHeight w:val="300"/>
        </w:trPr>
        <w:tc>
          <w:tcPr>
            <w:tcW w:w="1885" w:type="dxa"/>
            <w:noWrap/>
            <w:hideMark/>
          </w:tcPr>
          <w:p w14:paraId="64CA03F0" w14:textId="77777777" w:rsidR="000F40CD" w:rsidRPr="000F40CD" w:rsidRDefault="000F40CD" w:rsidP="000F40CD">
            <w:pPr>
              <w:rPr>
                <w:rFonts w:ascii="Calibri" w:eastAsia="Times New Roman" w:hAnsi="Calibri" w:cs="Calibri"/>
                <w:color w:val="BFBFBF" w:themeColor="background1" w:themeShade="BF"/>
              </w:rPr>
            </w:pPr>
            <w:proofErr w:type="spellStart"/>
            <w:r w:rsidRPr="000F40CD">
              <w:rPr>
                <w:rFonts w:ascii="Calibri" w:eastAsia="Times New Roman" w:hAnsi="Calibri" w:cs="Calibri"/>
                <w:color w:val="BFBFBF" w:themeColor="background1" w:themeShade="BF"/>
              </w:rPr>
              <w:t>cycleway</w:t>
            </w:r>
            <w:proofErr w:type="spellEnd"/>
          </w:p>
        </w:tc>
        <w:tc>
          <w:tcPr>
            <w:tcW w:w="1350" w:type="dxa"/>
            <w:noWrap/>
            <w:hideMark/>
          </w:tcPr>
          <w:p w14:paraId="3506040D"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concrete</w:t>
            </w:r>
          </w:p>
        </w:tc>
        <w:tc>
          <w:tcPr>
            <w:tcW w:w="6638" w:type="dxa"/>
            <w:noWrap/>
            <w:hideMark/>
          </w:tcPr>
          <w:p w14:paraId="42D635D9"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Paths for cycling</w:t>
            </w:r>
          </w:p>
        </w:tc>
      </w:tr>
      <w:tr w:rsidR="000F40CD" w:rsidRPr="000F40CD" w14:paraId="15E01AB3" w14:textId="77777777" w:rsidTr="000F40CD">
        <w:trPr>
          <w:trHeight w:val="300"/>
        </w:trPr>
        <w:tc>
          <w:tcPr>
            <w:tcW w:w="1885" w:type="dxa"/>
            <w:noWrap/>
            <w:hideMark/>
          </w:tcPr>
          <w:p w14:paraId="5FD26792"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footway</w:t>
            </w:r>
          </w:p>
        </w:tc>
        <w:tc>
          <w:tcPr>
            <w:tcW w:w="1350" w:type="dxa"/>
            <w:noWrap/>
            <w:hideMark/>
          </w:tcPr>
          <w:p w14:paraId="25DC316B"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concrete</w:t>
            </w:r>
          </w:p>
        </w:tc>
        <w:tc>
          <w:tcPr>
            <w:tcW w:w="6638" w:type="dxa"/>
            <w:noWrap/>
            <w:hideMark/>
          </w:tcPr>
          <w:p w14:paraId="0B60A67F"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Footpaths</w:t>
            </w:r>
          </w:p>
        </w:tc>
      </w:tr>
      <w:tr w:rsidR="000F40CD" w:rsidRPr="000F40CD" w14:paraId="417A2301" w14:textId="77777777" w:rsidTr="000F40CD">
        <w:trPr>
          <w:trHeight w:val="300"/>
        </w:trPr>
        <w:tc>
          <w:tcPr>
            <w:tcW w:w="1885" w:type="dxa"/>
            <w:noWrap/>
            <w:hideMark/>
          </w:tcPr>
          <w:p w14:paraId="516D0038"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living_street</w:t>
            </w:r>
            <w:proofErr w:type="spellEnd"/>
          </w:p>
        </w:tc>
        <w:tc>
          <w:tcPr>
            <w:tcW w:w="1350" w:type="dxa"/>
            <w:noWrap/>
            <w:hideMark/>
          </w:tcPr>
          <w:p w14:paraId="5DAE5137"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036E81E7"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Streets where pedestrians have priority</w:t>
            </w:r>
          </w:p>
        </w:tc>
      </w:tr>
      <w:tr w:rsidR="000F40CD" w:rsidRPr="000F40CD" w14:paraId="455EF211" w14:textId="77777777" w:rsidTr="000F40CD">
        <w:trPr>
          <w:trHeight w:val="300"/>
        </w:trPr>
        <w:tc>
          <w:tcPr>
            <w:tcW w:w="1885" w:type="dxa"/>
            <w:noWrap/>
            <w:hideMark/>
          </w:tcPr>
          <w:p w14:paraId="059DBE0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motorway</w:t>
            </w:r>
          </w:p>
        </w:tc>
        <w:tc>
          <w:tcPr>
            <w:tcW w:w="1350" w:type="dxa"/>
            <w:noWrap/>
            <w:hideMark/>
          </w:tcPr>
          <w:p w14:paraId="0F8FABCC"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15BE6CC1"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Motorway/freeway. 10x 12ft lanes, 4x 10ft shoulder</w:t>
            </w:r>
          </w:p>
        </w:tc>
      </w:tr>
      <w:tr w:rsidR="000F40CD" w:rsidRPr="000F40CD" w14:paraId="17FBB8AD" w14:textId="77777777" w:rsidTr="000F40CD">
        <w:trPr>
          <w:trHeight w:val="300"/>
        </w:trPr>
        <w:tc>
          <w:tcPr>
            <w:tcW w:w="1885" w:type="dxa"/>
            <w:noWrap/>
            <w:hideMark/>
          </w:tcPr>
          <w:p w14:paraId="66795ABA"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motorway_link</w:t>
            </w:r>
            <w:proofErr w:type="spellEnd"/>
          </w:p>
        </w:tc>
        <w:tc>
          <w:tcPr>
            <w:tcW w:w="1350" w:type="dxa"/>
            <w:noWrap/>
            <w:hideMark/>
          </w:tcPr>
          <w:p w14:paraId="589A88A1"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3B787A61"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motorway/freeway to another</w:t>
            </w:r>
          </w:p>
        </w:tc>
      </w:tr>
      <w:tr w:rsidR="000F40CD" w:rsidRPr="000F40CD" w14:paraId="455691BD" w14:textId="77777777" w:rsidTr="000F40CD">
        <w:trPr>
          <w:trHeight w:val="300"/>
        </w:trPr>
        <w:tc>
          <w:tcPr>
            <w:tcW w:w="1885" w:type="dxa"/>
            <w:noWrap/>
            <w:hideMark/>
          </w:tcPr>
          <w:p w14:paraId="2EE88BBB"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path</w:t>
            </w:r>
          </w:p>
        </w:tc>
        <w:tc>
          <w:tcPr>
            <w:tcW w:w="1350" w:type="dxa"/>
            <w:noWrap/>
            <w:hideMark/>
          </w:tcPr>
          <w:p w14:paraId="2A455855"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415A6EB9"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Unspecified paths</w:t>
            </w:r>
          </w:p>
        </w:tc>
      </w:tr>
      <w:tr w:rsidR="000F40CD" w:rsidRPr="000F40CD" w14:paraId="557F9C4C" w14:textId="77777777" w:rsidTr="000F40CD">
        <w:trPr>
          <w:trHeight w:val="300"/>
        </w:trPr>
        <w:tc>
          <w:tcPr>
            <w:tcW w:w="1885" w:type="dxa"/>
            <w:noWrap/>
            <w:hideMark/>
          </w:tcPr>
          <w:p w14:paraId="2521D408"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pedestrian</w:t>
            </w:r>
          </w:p>
        </w:tc>
        <w:tc>
          <w:tcPr>
            <w:tcW w:w="1350" w:type="dxa"/>
            <w:noWrap/>
            <w:hideMark/>
          </w:tcPr>
          <w:p w14:paraId="1DCFFE9D"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4F67A05B"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Pedestrian only streets</w:t>
            </w:r>
          </w:p>
        </w:tc>
      </w:tr>
      <w:tr w:rsidR="000F40CD" w:rsidRPr="000F40CD" w14:paraId="305D3585" w14:textId="77777777" w:rsidTr="000F40CD">
        <w:trPr>
          <w:trHeight w:val="300"/>
        </w:trPr>
        <w:tc>
          <w:tcPr>
            <w:tcW w:w="1885" w:type="dxa"/>
            <w:noWrap/>
            <w:hideMark/>
          </w:tcPr>
          <w:p w14:paraId="1B9BF644"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primary</w:t>
            </w:r>
          </w:p>
        </w:tc>
        <w:tc>
          <w:tcPr>
            <w:tcW w:w="1350" w:type="dxa"/>
            <w:noWrap/>
            <w:hideMark/>
          </w:tcPr>
          <w:p w14:paraId="49433C5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336E7A7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Primary roads, typically national (major arterial). 6x 12ft thru, 2x 6ft bike/park/shoulder</w:t>
            </w:r>
          </w:p>
        </w:tc>
      </w:tr>
      <w:tr w:rsidR="000F40CD" w:rsidRPr="000F40CD" w14:paraId="02BD69B2" w14:textId="77777777" w:rsidTr="000F40CD">
        <w:trPr>
          <w:trHeight w:val="300"/>
        </w:trPr>
        <w:tc>
          <w:tcPr>
            <w:tcW w:w="1885" w:type="dxa"/>
            <w:noWrap/>
            <w:hideMark/>
          </w:tcPr>
          <w:p w14:paraId="02DB06B0"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primary_link</w:t>
            </w:r>
            <w:proofErr w:type="spellEnd"/>
          </w:p>
        </w:tc>
        <w:tc>
          <w:tcPr>
            <w:tcW w:w="1350" w:type="dxa"/>
            <w:noWrap/>
            <w:hideMark/>
          </w:tcPr>
          <w:p w14:paraId="279C397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F559EE4"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primary roads to another, typically national. Assume no shoulder/turn lanes</w:t>
            </w:r>
          </w:p>
        </w:tc>
      </w:tr>
      <w:tr w:rsidR="000F40CD" w:rsidRPr="000F40CD" w14:paraId="730AB9CD" w14:textId="77777777" w:rsidTr="000F40CD">
        <w:trPr>
          <w:trHeight w:val="300"/>
        </w:trPr>
        <w:tc>
          <w:tcPr>
            <w:tcW w:w="1885" w:type="dxa"/>
            <w:noWrap/>
            <w:hideMark/>
          </w:tcPr>
          <w:p w14:paraId="378C957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residential</w:t>
            </w:r>
          </w:p>
        </w:tc>
        <w:tc>
          <w:tcPr>
            <w:tcW w:w="1350" w:type="dxa"/>
            <w:noWrap/>
            <w:hideMark/>
          </w:tcPr>
          <w:p w14:paraId="274F2B90"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346ED4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in residential areas (minor/residential collector). 2x 14ft thru lane, 2x 6ft bike/park lane</w:t>
            </w:r>
          </w:p>
        </w:tc>
      </w:tr>
      <w:tr w:rsidR="000F40CD" w:rsidRPr="000F40CD" w14:paraId="598B92BE" w14:textId="77777777" w:rsidTr="000F40CD">
        <w:trPr>
          <w:trHeight w:val="300"/>
        </w:trPr>
        <w:tc>
          <w:tcPr>
            <w:tcW w:w="1885" w:type="dxa"/>
            <w:noWrap/>
            <w:hideMark/>
          </w:tcPr>
          <w:p w14:paraId="7D86DFF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secondary</w:t>
            </w:r>
          </w:p>
        </w:tc>
        <w:tc>
          <w:tcPr>
            <w:tcW w:w="1350" w:type="dxa"/>
            <w:noWrap/>
            <w:hideMark/>
          </w:tcPr>
          <w:p w14:paraId="3A4ACF30"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62FB30C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Secondary roads, typically regional (minor arterial/major collector). 4x 12ft thru lane, 1x 10ft left turn lane, 2x 8ft bike/park/shoulder</w:t>
            </w:r>
          </w:p>
        </w:tc>
      </w:tr>
      <w:tr w:rsidR="000F40CD" w:rsidRPr="000F40CD" w14:paraId="750BB593" w14:textId="77777777" w:rsidTr="000F40CD">
        <w:trPr>
          <w:trHeight w:val="300"/>
        </w:trPr>
        <w:tc>
          <w:tcPr>
            <w:tcW w:w="1885" w:type="dxa"/>
            <w:noWrap/>
            <w:hideMark/>
          </w:tcPr>
          <w:p w14:paraId="5A89694D"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secondary_link</w:t>
            </w:r>
            <w:proofErr w:type="spellEnd"/>
          </w:p>
        </w:tc>
        <w:tc>
          <w:tcPr>
            <w:tcW w:w="1350" w:type="dxa"/>
            <w:noWrap/>
            <w:hideMark/>
          </w:tcPr>
          <w:p w14:paraId="6499867D"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70C9493E"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secondary road to another, typically regional</w:t>
            </w:r>
          </w:p>
        </w:tc>
      </w:tr>
      <w:tr w:rsidR="000F40CD" w:rsidRPr="000F40CD" w14:paraId="1F662A12" w14:textId="77777777" w:rsidTr="000F40CD">
        <w:trPr>
          <w:trHeight w:val="300"/>
        </w:trPr>
        <w:tc>
          <w:tcPr>
            <w:tcW w:w="1885" w:type="dxa"/>
            <w:noWrap/>
            <w:hideMark/>
          </w:tcPr>
          <w:p w14:paraId="5D41B18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service</w:t>
            </w:r>
          </w:p>
        </w:tc>
        <w:tc>
          <w:tcPr>
            <w:tcW w:w="1350" w:type="dxa"/>
            <w:noWrap/>
            <w:hideMark/>
          </w:tcPr>
          <w:p w14:paraId="3C445BE3"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585F71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Service roads for access to buildings, parking lots, etc. 1x 10ft lane, typically in parking lots</w:t>
            </w:r>
          </w:p>
        </w:tc>
      </w:tr>
      <w:tr w:rsidR="000F40CD" w:rsidRPr="000F40CD" w14:paraId="19F62AF6" w14:textId="77777777" w:rsidTr="000F40CD">
        <w:trPr>
          <w:trHeight w:val="300"/>
        </w:trPr>
        <w:tc>
          <w:tcPr>
            <w:tcW w:w="1885" w:type="dxa"/>
            <w:noWrap/>
            <w:hideMark/>
          </w:tcPr>
          <w:p w14:paraId="2D68A4CB"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steps</w:t>
            </w:r>
          </w:p>
        </w:tc>
        <w:tc>
          <w:tcPr>
            <w:tcW w:w="1350" w:type="dxa"/>
            <w:noWrap/>
            <w:hideMark/>
          </w:tcPr>
          <w:p w14:paraId="2286D8B0"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concrete</w:t>
            </w:r>
          </w:p>
        </w:tc>
        <w:tc>
          <w:tcPr>
            <w:tcW w:w="6638" w:type="dxa"/>
            <w:noWrap/>
            <w:hideMark/>
          </w:tcPr>
          <w:p w14:paraId="2A33A2B8"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Flights of steps on footpaths</w:t>
            </w:r>
          </w:p>
        </w:tc>
      </w:tr>
      <w:tr w:rsidR="000F40CD" w:rsidRPr="000F40CD" w14:paraId="69BD260A" w14:textId="77777777" w:rsidTr="000F40CD">
        <w:trPr>
          <w:trHeight w:val="300"/>
        </w:trPr>
        <w:tc>
          <w:tcPr>
            <w:tcW w:w="1885" w:type="dxa"/>
            <w:noWrap/>
            <w:hideMark/>
          </w:tcPr>
          <w:p w14:paraId="13DAE91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tertiary</w:t>
            </w:r>
          </w:p>
        </w:tc>
        <w:tc>
          <w:tcPr>
            <w:tcW w:w="1350" w:type="dxa"/>
            <w:noWrap/>
            <w:hideMark/>
          </w:tcPr>
          <w:p w14:paraId="502D33BB"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712669FE"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Tertiary roads, typically local (major/minor collector). 2x 12ft thru lane, 1x 10ft left turn lane, 2x 8ft bike/park/shoulder</w:t>
            </w:r>
          </w:p>
        </w:tc>
      </w:tr>
      <w:tr w:rsidR="000F40CD" w:rsidRPr="000F40CD" w14:paraId="1E700F7E" w14:textId="77777777" w:rsidTr="000F40CD">
        <w:trPr>
          <w:trHeight w:val="300"/>
        </w:trPr>
        <w:tc>
          <w:tcPr>
            <w:tcW w:w="1885" w:type="dxa"/>
            <w:noWrap/>
            <w:hideMark/>
          </w:tcPr>
          <w:p w14:paraId="186935B6"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tertiary_link</w:t>
            </w:r>
            <w:proofErr w:type="spellEnd"/>
          </w:p>
        </w:tc>
        <w:tc>
          <w:tcPr>
            <w:tcW w:w="1350" w:type="dxa"/>
            <w:noWrap/>
            <w:hideMark/>
          </w:tcPr>
          <w:p w14:paraId="173E460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4B12771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 xml:space="preserve">Roads that connect from one tertiary road to another, typically local </w:t>
            </w:r>
          </w:p>
        </w:tc>
      </w:tr>
      <w:tr w:rsidR="000F40CD" w:rsidRPr="000F40CD" w14:paraId="20E118CC" w14:textId="77777777" w:rsidTr="000F40CD">
        <w:trPr>
          <w:trHeight w:val="300"/>
        </w:trPr>
        <w:tc>
          <w:tcPr>
            <w:tcW w:w="1885" w:type="dxa"/>
            <w:noWrap/>
            <w:hideMark/>
          </w:tcPr>
          <w:p w14:paraId="4C0F0F97"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w:t>
            </w:r>
          </w:p>
        </w:tc>
        <w:tc>
          <w:tcPr>
            <w:tcW w:w="1350" w:type="dxa"/>
            <w:noWrap/>
            <w:hideMark/>
          </w:tcPr>
          <w:p w14:paraId="78D6043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456DD06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For agricultural use, in forests, etc. Often gravel roads.</w:t>
            </w:r>
          </w:p>
        </w:tc>
      </w:tr>
      <w:tr w:rsidR="000F40CD" w:rsidRPr="000F40CD" w14:paraId="5D5B845C" w14:textId="77777777" w:rsidTr="000F40CD">
        <w:trPr>
          <w:trHeight w:val="300"/>
        </w:trPr>
        <w:tc>
          <w:tcPr>
            <w:tcW w:w="1885" w:type="dxa"/>
            <w:noWrap/>
            <w:hideMark/>
          </w:tcPr>
          <w:p w14:paraId="76811CF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track_grade1</w:t>
            </w:r>
          </w:p>
        </w:tc>
        <w:tc>
          <w:tcPr>
            <w:tcW w:w="1350" w:type="dxa"/>
            <w:noWrap/>
            <w:hideMark/>
          </w:tcPr>
          <w:p w14:paraId="52419EF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3A7CB5E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 with asphalt or heavily compacted</w:t>
            </w:r>
          </w:p>
        </w:tc>
      </w:tr>
      <w:tr w:rsidR="000F40CD" w:rsidRPr="000F40CD" w14:paraId="54D48E65" w14:textId="77777777" w:rsidTr="000F40CD">
        <w:trPr>
          <w:trHeight w:val="300"/>
        </w:trPr>
        <w:tc>
          <w:tcPr>
            <w:tcW w:w="1885" w:type="dxa"/>
            <w:noWrap/>
            <w:hideMark/>
          </w:tcPr>
          <w:p w14:paraId="1AF199A9"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track_grade2</w:t>
            </w:r>
          </w:p>
        </w:tc>
        <w:tc>
          <w:tcPr>
            <w:tcW w:w="1350" w:type="dxa"/>
            <w:noWrap/>
            <w:hideMark/>
          </w:tcPr>
          <w:p w14:paraId="41A0B2E0"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4CFB03FB"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 with asphalt or moderately compacted</w:t>
            </w:r>
          </w:p>
        </w:tc>
      </w:tr>
      <w:tr w:rsidR="000F40CD" w:rsidRPr="000F40CD" w14:paraId="5BEAA02E" w14:textId="77777777" w:rsidTr="000F40CD">
        <w:trPr>
          <w:trHeight w:val="300"/>
        </w:trPr>
        <w:tc>
          <w:tcPr>
            <w:tcW w:w="1885" w:type="dxa"/>
            <w:noWrap/>
            <w:hideMark/>
          </w:tcPr>
          <w:p w14:paraId="7967AD34"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track_grade3</w:t>
            </w:r>
          </w:p>
        </w:tc>
        <w:tc>
          <w:tcPr>
            <w:tcW w:w="1350" w:type="dxa"/>
            <w:noWrap/>
            <w:hideMark/>
          </w:tcPr>
          <w:p w14:paraId="196C8F0A"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74B842E1"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 xml:space="preserve">track lightly compacted </w:t>
            </w:r>
          </w:p>
        </w:tc>
      </w:tr>
      <w:tr w:rsidR="000F40CD" w:rsidRPr="000F40CD" w14:paraId="4AD8C968" w14:textId="77777777" w:rsidTr="000F40CD">
        <w:trPr>
          <w:trHeight w:val="300"/>
        </w:trPr>
        <w:tc>
          <w:tcPr>
            <w:tcW w:w="1885" w:type="dxa"/>
            <w:noWrap/>
            <w:hideMark/>
          </w:tcPr>
          <w:p w14:paraId="530FFB06"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track_grade4</w:t>
            </w:r>
          </w:p>
        </w:tc>
        <w:tc>
          <w:tcPr>
            <w:tcW w:w="1350" w:type="dxa"/>
            <w:noWrap/>
            <w:hideMark/>
          </w:tcPr>
          <w:p w14:paraId="271DE7C1"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41509108"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 xml:space="preserve">track </w:t>
            </w:r>
            <w:r>
              <w:rPr>
                <w:rFonts w:ascii="Calibri" w:eastAsia="Times New Roman" w:hAnsi="Calibri" w:cs="Calibri"/>
                <w:color w:val="BFBFBF" w:themeColor="background1" w:themeShade="BF"/>
              </w:rPr>
              <w:t>un-</w:t>
            </w:r>
            <w:r w:rsidRPr="000F40CD">
              <w:rPr>
                <w:rFonts w:ascii="Calibri" w:eastAsia="Times New Roman" w:hAnsi="Calibri" w:cs="Calibri"/>
                <w:color w:val="BFBFBF" w:themeColor="background1" w:themeShade="BF"/>
              </w:rPr>
              <w:t>compact</w:t>
            </w:r>
            <w:r>
              <w:rPr>
                <w:rFonts w:ascii="Calibri" w:eastAsia="Times New Roman" w:hAnsi="Calibri" w:cs="Calibri"/>
                <w:color w:val="BFBFBF" w:themeColor="background1" w:themeShade="BF"/>
              </w:rPr>
              <w:t>e</w:t>
            </w:r>
            <w:r w:rsidRPr="000F40CD">
              <w:rPr>
                <w:rFonts w:ascii="Calibri" w:eastAsia="Times New Roman" w:hAnsi="Calibri" w:cs="Calibri"/>
                <w:color w:val="BFBFBF" w:themeColor="background1" w:themeShade="BF"/>
              </w:rPr>
              <w:t>d, visible</w:t>
            </w:r>
          </w:p>
        </w:tc>
      </w:tr>
      <w:tr w:rsidR="000F40CD" w:rsidRPr="000F40CD" w14:paraId="56B56091" w14:textId="77777777" w:rsidTr="000F40CD">
        <w:trPr>
          <w:trHeight w:val="300"/>
        </w:trPr>
        <w:tc>
          <w:tcPr>
            <w:tcW w:w="1885" w:type="dxa"/>
            <w:noWrap/>
            <w:hideMark/>
          </w:tcPr>
          <w:p w14:paraId="79B36B07"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track_grade5</w:t>
            </w:r>
          </w:p>
        </w:tc>
        <w:tc>
          <w:tcPr>
            <w:tcW w:w="1350" w:type="dxa"/>
            <w:noWrap/>
            <w:hideMark/>
          </w:tcPr>
          <w:p w14:paraId="731DD9FC"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14:paraId="5B408EDB" w14:textId="77777777"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 xml:space="preserve">track </w:t>
            </w:r>
            <w:r>
              <w:rPr>
                <w:rFonts w:ascii="Calibri" w:eastAsia="Times New Roman" w:hAnsi="Calibri" w:cs="Calibri"/>
                <w:color w:val="BFBFBF" w:themeColor="background1" w:themeShade="BF"/>
              </w:rPr>
              <w:t>un-</w:t>
            </w:r>
            <w:r w:rsidRPr="000F40CD">
              <w:rPr>
                <w:rFonts w:ascii="Calibri" w:eastAsia="Times New Roman" w:hAnsi="Calibri" w:cs="Calibri"/>
                <w:color w:val="BFBFBF" w:themeColor="background1" w:themeShade="BF"/>
              </w:rPr>
              <w:t>compact</w:t>
            </w:r>
            <w:r>
              <w:rPr>
                <w:rFonts w:ascii="Calibri" w:eastAsia="Times New Roman" w:hAnsi="Calibri" w:cs="Calibri"/>
                <w:color w:val="BFBFBF" w:themeColor="background1" w:themeShade="BF"/>
              </w:rPr>
              <w:t>e</w:t>
            </w:r>
            <w:r w:rsidRPr="000F40CD">
              <w:rPr>
                <w:rFonts w:ascii="Calibri" w:eastAsia="Times New Roman" w:hAnsi="Calibri" w:cs="Calibri"/>
                <w:color w:val="BFBFBF" w:themeColor="background1" w:themeShade="BF"/>
              </w:rPr>
              <w:t>d, hardly visible</w:t>
            </w:r>
          </w:p>
        </w:tc>
      </w:tr>
      <w:tr w:rsidR="000F40CD" w:rsidRPr="000F40CD" w14:paraId="0CBCB67A" w14:textId="77777777" w:rsidTr="000F40CD">
        <w:trPr>
          <w:trHeight w:val="300"/>
        </w:trPr>
        <w:tc>
          <w:tcPr>
            <w:tcW w:w="1885" w:type="dxa"/>
            <w:noWrap/>
            <w:hideMark/>
          </w:tcPr>
          <w:p w14:paraId="074681EE"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trunk</w:t>
            </w:r>
          </w:p>
        </w:tc>
        <w:tc>
          <w:tcPr>
            <w:tcW w:w="1350" w:type="dxa"/>
            <w:noWrap/>
            <w:hideMark/>
          </w:tcPr>
          <w:p w14:paraId="36F3467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DE386F2"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Important roads, typically divided. 6x 12ft lane, 2x 6ft shoulder</w:t>
            </w:r>
          </w:p>
        </w:tc>
      </w:tr>
      <w:tr w:rsidR="000F40CD" w:rsidRPr="000F40CD" w14:paraId="12A26179" w14:textId="77777777" w:rsidTr="000F40CD">
        <w:trPr>
          <w:trHeight w:val="300"/>
        </w:trPr>
        <w:tc>
          <w:tcPr>
            <w:tcW w:w="1885" w:type="dxa"/>
            <w:noWrap/>
            <w:hideMark/>
          </w:tcPr>
          <w:p w14:paraId="3EB12184" w14:textId="77777777" w:rsidR="000F40CD" w:rsidRPr="000F40CD" w:rsidRDefault="000F40CD" w:rsidP="000F40CD">
            <w:pPr>
              <w:rPr>
                <w:rFonts w:ascii="Calibri" w:eastAsia="Times New Roman" w:hAnsi="Calibri" w:cs="Calibri"/>
                <w:color w:val="000000"/>
              </w:rPr>
            </w:pPr>
            <w:proofErr w:type="spellStart"/>
            <w:r w:rsidRPr="000F40CD">
              <w:rPr>
                <w:rFonts w:ascii="Calibri" w:eastAsia="Times New Roman" w:hAnsi="Calibri" w:cs="Calibri"/>
                <w:color w:val="000000"/>
              </w:rPr>
              <w:t>trunk_link</w:t>
            </w:r>
            <w:proofErr w:type="spellEnd"/>
          </w:p>
        </w:tc>
        <w:tc>
          <w:tcPr>
            <w:tcW w:w="1350" w:type="dxa"/>
            <w:noWrap/>
            <w:hideMark/>
          </w:tcPr>
          <w:p w14:paraId="2C5F8B76"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687604C8"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important road to another, typically divided</w:t>
            </w:r>
          </w:p>
        </w:tc>
      </w:tr>
      <w:tr w:rsidR="000F40CD" w:rsidRPr="000F40CD" w14:paraId="6ABEB22A" w14:textId="77777777" w:rsidTr="000F40CD">
        <w:trPr>
          <w:trHeight w:val="300"/>
        </w:trPr>
        <w:tc>
          <w:tcPr>
            <w:tcW w:w="1885" w:type="dxa"/>
            <w:noWrap/>
            <w:hideMark/>
          </w:tcPr>
          <w:p w14:paraId="7A82193F"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unclassified</w:t>
            </w:r>
          </w:p>
        </w:tc>
        <w:tc>
          <w:tcPr>
            <w:tcW w:w="1350" w:type="dxa"/>
            <w:noWrap/>
            <w:hideMark/>
          </w:tcPr>
          <w:p w14:paraId="6C0F923A"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14:paraId="2C699D27" w14:textId="77777777"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Smaller local roads (local/collectors in non-residential areas, typically industrial). 2x 14ft thru lane, 2x 6ft bike/park lane</w:t>
            </w:r>
          </w:p>
        </w:tc>
      </w:tr>
    </w:tbl>
    <w:p w14:paraId="30C5DCA9" w14:textId="77777777" w:rsidR="00C424D1" w:rsidRDefault="00C424D1"/>
    <w:p w14:paraId="31AF0C59" w14:textId="77777777" w:rsidR="00C424D1" w:rsidRDefault="00C424D1">
      <w:r>
        <w:t>Thickness source (ADOT):</w:t>
      </w:r>
    </w:p>
    <w:p w14:paraId="23797AB7" w14:textId="77777777" w:rsidR="00C424D1" w:rsidRDefault="007660C7">
      <w:hyperlink r:id="rId7" w:history="1">
        <w:r w:rsidR="00DB7496" w:rsidRPr="006A50FF">
          <w:rPr>
            <w:rStyle w:val="Hyperlink"/>
          </w:rPr>
          <w:t>https://apps.azdot.gov/files/materials-manuals/Preliminary-Engineering-Design/PavementDesignManual.pdf</w:t>
        </w:r>
      </w:hyperlink>
    </w:p>
    <w:p w14:paraId="066583CB" w14:textId="77777777" w:rsidR="00DB7496" w:rsidRDefault="00DB7496"/>
    <w:p w14:paraId="7F7DB6E5" w14:textId="1AA30F30" w:rsidR="00EA390A" w:rsidRDefault="00DB7496">
      <w:r>
        <w:rPr>
          <w:noProof/>
        </w:rPr>
        <w:drawing>
          <wp:inline distT="0" distB="0" distL="0" distR="0" wp14:anchorId="14DE5938" wp14:editId="31116DB8">
            <wp:extent cx="509587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3714750"/>
                    </a:xfrm>
                    <a:prstGeom prst="rect">
                      <a:avLst/>
                    </a:prstGeom>
                  </pic:spPr>
                </pic:pic>
              </a:graphicData>
            </a:graphic>
          </wp:inline>
        </w:drawing>
      </w:r>
    </w:p>
    <w:p w14:paraId="7C8A69E5" w14:textId="650D5EA4" w:rsidR="001372E1" w:rsidRDefault="001372E1"/>
    <w:p w14:paraId="4CF49B82" w14:textId="2ED46E61" w:rsidR="001372E1" w:rsidRDefault="001372E1">
      <w:r>
        <w:t>ADOT:</w:t>
      </w:r>
    </w:p>
    <w:p w14:paraId="269B3DE1" w14:textId="69B30CFB" w:rsidR="001372E1" w:rsidRDefault="001372E1">
      <w:r>
        <w:t>Top layer can be wearing and base course of asphalt</w:t>
      </w:r>
    </w:p>
    <w:p w14:paraId="1505D98B" w14:textId="546F0732" w:rsidR="001372E1" w:rsidRDefault="001372E1">
      <w:r>
        <w:t xml:space="preserve">Subgrade is native soil or fill material </w:t>
      </w:r>
    </w:p>
    <w:p w14:paraId="4273E4F4" w14:textId="73232BAB" w:rsidR="001372E1" w:rsidRDefault="001372E1"/>
    <w:p w14:paraId="17729DF9" w14:textId="77777777" w:rsidR="001372E1" w:rsidRDefault="001372E1" w:rsidP="001372E1">
      <w:r>
        <w:t xml:space="preserve">1. Design Charts: There are two design charts for the base courses of minor streets. </w:t>
      </w:r>
    </w:p>
    <w:p w14:paraId="132CB911" w14:textId="77777777" w:rsidR="001372E1" w:rsidRDefault="001372E1" w:rsidP="001372E1">
      <w:r>
        <w:t xml:space="preserve">A. Design of base courses for local Residential Streets is based on the City of Phoenix Standard Detail P-1102. </w:t>
      </w:r>
    </w:p>
    <w:p w14:paraId="274F46D1" w14:textId="35C486EF" w:rsidR="001372E1" w:rsidRDefault="001372E1" w:rsidP="001372E1">
      <w:r>
        <w:t>B. Design of base courses for Local Collector Streets, Minor Collector Streets, Local Commercial Streets and Local Industrial Streets is based on the City of Phoenix Standard Detail P-1103.</w:t>
      </w:r>
    </w:p>
    <w:p w14:paraId="4F795CC9" w14:textId="7C073E7C" w:rsidR="001372E1" w:rsidRDefault="001372E1" w:rsidP="001372E1">
      <w:r>
        <w:rPr>
          <w:noProof/>
        </w:rPr>
        <w:lastRenderedPageBreak/>
        <w:drawing>
          <wp:inline distT="0" distB="0" distL="0" distR="0" wp14:anchorId="3514780E" wp14:editId="6D4E72CC">
            <wp:extent cx="55911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2771775"/>
                    </a:xfrm>
                    <a:prstGeom prst="rect">
                      <a:avLst/>
                    </a:prstGeom>
                  </pic:spPr>
                </pic:pic>
              </a:graphicData>
            </a:graphic>
          </wp:inline>
        </w:drawing>
      </w:r>
    </w:p>
    <w:p w14:paraId="3CF524B1" w14:textId="7ACCFBC4" w:rsidR="001372E1" w:rsidRDefault="001372E1" w:rsidP="001372E1">
      <w:r>
        <w:rPr>
          <w:noProof/>
        </w:rPr>
        <w:lastRenderedPageBreak/>
        <w:drawing>
          <wp:inline distT="0" distB="0" distL="0" distR="0" wp14:anchorId="3A9A4AC8" wp14:editId="4C33BFCF">
            <wp:extent cx="573405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4019550"/>
                    </a:xfrm>
                    <a:prstGeom prst="rect">
                      <a:avLst/>
                    </a:prstGeom>
                  </pic:spPr>
                </pic:pic>
              </a:graphicData>
            </a:graphic>
          </wp:inline>
        </w:drawing>
      </w:r>
      <w:r>
        <w:rPr>
          <w:noProof/>
        </w:rPr>
        <w:lastRenderedPageBreak/>
        <w:drawing>
          <wp:inline distT="0" distB="0" distL="0" distR="0" wp14:anchorId="24E37AA0" wp14:editId="45E41FAC">
            <wp:extent cx="5495925" cy="458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4581525"/>
                    </a:xfrm>
                    <a:prstGeom prst="rect">
                      <a:avLst/>
                    </a:prstGeom>
                  </pic:spPr>
                </pic:pic>
              </a:graphicData>
            </a:graphic>
          </wp:inline>
        </w:drawing>
      </w:r>
      <w:bookmarkStart w:id="1" w:name="_GoBack"/>
      <w:bookmarkEnd w:id="1"/>
    </w:p>
    <w:sectPr w:rsidR="001372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Hoehne (Student)" w:date="2019-01-28T16:02:00Z" w:initials="CH(">
    <w:p w14:paraId="14B07E21" w14:textId="77777777" w:rsidR="001A467C" w:rsidRDefault="001A467C" w:rsidP="001A467C">
      <w:pPr>
        <w:pStyle w:val="CommentText"/>
      </w:pPr>
      <w:r>
        <w:rPr>
          <w:rStyle w:val="CommentReference"/>
        </w:rPr>
        <w:annotationRef/>
      </w:r>
      <w:r>
        <w:t xml:space="preserve">Daniel C. </w:t>
      </w:r>
      <w:proofErr w:type="spellStart"/>
      <w:r>
        <w:t>Vaz</w:t>
      </w:r>
      <w:proofErr w:type="spellEnd"/>
    </w:p>
    <w:p w14:paraId="51E380AB" w14:textId="77777777" w:rsidR="001A467C" w:rsidRDefault="001A467C" w:rsidP="001A467C">
      <w:pPr>
        <w:pStyle w:val="CommentText"/>
      </w:pPr>
      <w:r>
        <w:t>University NOVA of Lisbon:</w:t>
      </w:r>
    </w:p>
    <w:p w14:paraId="1FCC014E" w14:textId="77777777" w:rsidR="001A467C" w:rsidRDefault="001A467C" w:rsidP="001A467C">
      <w:pPr>
        <w:pStyle w:val="CommentText"/>
      </w:pPr>
    </w:p>
    <w:p w14:paraId="705AD75D" w14:textId="77777777" w:rsidR="001A467C" w:rsidRDefault="001A467C" w:rsidP="001A467C">
      <w:pPr>
        <w:pStyle w:val="CommentText"/>
      </w:pPr>
      <w:r>
        <w:t>“Let us first consider an horizontal flat plate, of width b and infinite length L, hotter than the environment. The flow established by natural convection on the top surface is different from that on the bottom surface. Heated up fluid from the bottom surface comes to the edges of the plate and rises. Colder surrounding fluid is then continuously pulled next to the bottom surface of the plate, to compensate for that fluid escaping at the edges. Due to the symmetry of the horizontal plate problem, the surrounding fluid approaches the bottom of the plate near its centerline and then progresses along half-width of the plate, i.e. along a distance b/2, until it reaches the edge of the plate and is allowed to rise. Therefore, the characteristic length (CL) could be taken as b/2. However, if the plate has an inclination, even a small one, then the symmetry of the problem is disrupted, and one can reason that the surrounding fluid shall approach the plate from its lower edge and then progress along its entire width before it is allowed to rise at the higher edge. Because the fluid is trying to rise, the flow remains attached to the bottom surface of the plate and does not detaches. Hence, CL could be taken as b this time. This example shows that for the same geometry one can have distinct CL, due to inclination. This should answer your question.</w:t>
      </w:r>
    </w:p>
    <w:p w14:paraId="294A8C10" w14:textId="77777777" w:rsidR="001A467C" w:rsidRDefault="001A467C" w:rsidP="001A467C">
      <w:pPr>
        <w:pStyle w:val="CommentText"/>
      </w:pPr>
      <w:r>
        <w:t xml:space="preserve">A similar discussion could be made to the top surface of this hotter-than-environment plate and again b and b/2 would appear as possible values for CL. However, in this case I should add that the particular value of b (not to mention L) and inclination can become important in what concerns the exact pattern of the flow that is established on the top surface. This is due to the possibility of formation of structures related to </w:t>
      </w:r>
      <w:proofErr w:type="spellStart"/>
      <w:r>
        <w:t>Bénard</w:t>
      </w:r>
      <w:proofErr w:type="spellEnd"/>
      <w:r>
        <w:t xml:space="preserve"> convection cells. In such case, the typical width of these cells would be a more suitable CL than the whole width b of the plate. Empirical correlations for plates exhibit this effect.”</w:t>
      </w:r>
    </w:p>
    <w:p w14:paraId="1AEDD2DA" w14:textId="77777777" w:rsidR="0058783B" w:rsidRDefault="0058783B" w:rsidP="001A467C">
      <w:pPr>
        <w:pStyle w:val="CommentText"/>
      </w:pPr>
    </w:p>
    <w:p w14:paraId="6804F64E" w14:textId="20815BD1" w:rsidR="0058783B" w:rsidRDefault="0058783B" w:rsidP="001A467C">
      <w:pPr>
        <w:pStyle w:val="CommentText"/>
      </w:pPr>
      <w:r w:rsidRPr="0058783B">
        <w:t>https://www.researchgate.net/post/Can_anyone_suggest_the_basis_for_choosing_characteristic_length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04F6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49CA"/>
    <w:multiLevelType w:val="hybridMultilevel"/>
    <w:tmpl w:val="FCB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A61FB"/>
    <w:multiLevelType w:val="hybridMultilevel"/>
    <w:tmpl w:val="496E7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Hoehne (Student)">
    <w15:presenceInfo w15:providerId="AD" w15:userId="S-1-5-21-1547161642-926492609-1801674531-887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FD"/>
    <w:rsid w:val="00027639"/>
    <w:rsid w:val="000F40CD"/>
    <w:rsid w:val="001372E1"/>
    <w:rsid w:val="001A467C"/>
    <w:rsid w:val="00210EBD"/>
    <w:rsid w:val="00335C20"/>
    <w:rsid w:val="0035495C"/>
    <w:rsid w:val="00386031"/>
    <w:rsid w:val="0058783B"/>
    <w:rsid w:val="005B60D2"/>
    <w:rsid w:val="005C67E9"/>
    <w:rsid w:val="00706CFD"/>
    <w:rsid w:val="007222FF"/>
    <w:rsid w:val="007660C7"/>
    <w:rsid w:val="00792552"/>
    <w:rsid w:val="007C6247"/>
    <w:rsid w:val="008218C9"/>
    <w:rsid w:val="008E0B97"/>
    <w:rsid w:val="009407D4"/>
    <w:rsid w:val="009F5F11"/>
    <w:rsid w:val="00AB7D87"/>
    <w:rsid w:val="00B43F58"/>
    <w:rsid w:val="00B642A3"/>
    <w:rsid w:val="00B70501"/>
    <w:rsid w:val="00C424D1"/>
    <w:rsid w:val="00CA4903"/>
    <w:rsid w:val="00DB7496"/>
    <w:rsid w:val="00EA123A"/>
    <w:rsid w:val="00EA2C60"/>
    <w:rsid w:val="00EA390A"/>
    <w:rsid w:val="00EC0B7A"/>
    <w:rsid w:val="00F0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9FB4"/>
  <w15:chartTrackingRefBased/>
  <w15:docId w15:val="{6BBF399C-68C4-45F1-BB67-93EA5954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92552"/>
    <w:rPr>
      <w:rFonts w:ascii="Times New Roman" w:hAnsi="Times New Roman"/>
      <w:color w:val="auto"/>
      <w:sz w:val="22"/>
    </w:rPr>
  </w:style>
  <w:style w:type="table" w:styleId="TableGrid">
    <w:name w:val="Table Grid"/>
    <w:basedOn w:val="TableNormal"/>
    <w:uiPriority w:val="39"/>
    <w:rsid w:val="00EC0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B7A"/>
    <w:rPr>
      <w:color w:val="808080"/>
    </w:rPr>
  </w:style>
  <w:style w:type="paragraph" w:styleId="ListParagraph">
    <w:name w:val="List Paragraph"/>
    <w:basedOn w:val="Normal"/>
    <w:uiPriority w:val="34"/>
    <w:qFormat/>
    <w:rsid w:val="00335C20"/>
    <w:pPr>
      <w:ind w:left="720"/>
      <w:contextualSpacing/>
    </w:pPr>
  </w:style>
  <w:style w:type="character" w:styleId="CommentReference">
    <w:name w:val="annotation reference"/>
    <w:basedOn w:val="DefaultParagraphFont"/>
    <w:uiPriority w:val="99"/>
    <w:semiHidden/>
    <w:unhideWhenUsed/>
    <w:rsid w:val="00386031"/>
    <w:rPr>
      <w:sz w:val="16"/>
      <w:szCs w:val="16"/>
    </w:rPr>
  </w:style>
  <w:style w:type="paragraph" w:styleId="CommentText">
    <w:name w:val="annotation text"/>
    <w:basedOn w:val="Normal"/>
    <w:link w:val="CommentTextChar"/>
    <w:uiPriority w:val="99"/>
    <w:semiHidden/>
    <w:unhideWhenUsed/>
    <w:rsid w:val="00386031"/>
    <w:pPr>
      <w:spacing w:line="240" w:lineRule="auto"/>
    </w:pPr>
    <w:rPr>
      <w:sz w:val="20"/>
      <w:szCs w:val="20"/>
    </w:rPr>
  </w:style>
  <w:style w:type="character" w:customStyle="1" w:styleId="CommentTextChar">
    <w:name w:val="Comment Text Char"/>
    <w:basedOn w:val="DefaultParagraphFont"/>
    <w:link w:val="CommentText"/>
    <w:uiPriority w:val="99"/>
    <w:semiHidden/>
    <w:rsid w:val="00386031"/>
    <w:rPr>
      <w:sz w:val="20"/>
      <w:szCs w:val="20"/>
    </w:rPr>
  </w:style>
  <w:style w:type="paragraph" w:styleId="CommentSubject">
    <w:name w:val="annotation subject"/>
    <w:basedOn w:val="CommentText"/>
    <w:next w:val="CommentText"/>
    <w:link w:val="CommentSubjectChar"/>
    <w:uiPriority w:val="99"/>
    <w:semiHidden/>
    <w:unhideWhenUsed/>
    <w:rsid w:val="00386031"/>
    <w:rPr>
      <w:b/>
      <w:bCs/>
    </w:rPr>
  </w:style>
  <w:style w:type="character" w:customStyle="1" w:styleId="CommentSubjectChar">
    <w:name w:val="Comment Subject Char"/>
    <w:basedOn w:val="CommentTextChar"/>
    <w:link w:val="CommentSubject"/>
    <w:uiPriority w:val="99"/>
    <w:semiHidden/>
    <w:rsid w:val="00386031"/>
    <w:rPr>
      <w:b/>
      <w:bCs/>
      <w:sz w:val="20"/>
      <w:szCs w:val="20"/>
    </w:rPr>
  </w:style>
  <w:style w:type="paragraph" w:styleId="BalloonText">
    <w:name w:val="Balloon Text"/>
    <w:basedOn w:val="Normal"/>
    <w:link w:val="BalloonTextChar"/>
    <w:uiPriority w:val="99"/>
    <w:semiHidden/>
    <w:unhideWhenUsed/>
    <w:rsid w:val="00386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31"/>
    <w:rPr>
      <w:rFonts w:ascii="Segoe UI" w:hAnsi="Segoe UI" w:cs="Segoe UI"/>
      <w:sz w:val="18"/>
      <w:szCs w:val="18"/>
    </w:rPr>
  </w:style>
  <w:style w:type="character" w:styleId="Hyperlink">
    <w:name w:val="Hyperlink"/>
    <w:basedOn w:val="DefaultParagraphFont"/>
    <w:uiPriority w:val="99"/>
    <w:unhideWhenUsed/>
    <w:rsid w:val="00DB7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apps.azdot.gov/files/materials-manuals/Preliminary-Engineering-Design/PavementDesignManua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Hoehne (Student)</dc:creator>
  <cp:keywords/>
  <dc:description/>
  <cp:lastModifiedBy>Chris Hoehne (Student)</cp:lastModifiedBy>
  <cp:revision>23</cp:revision>
  <cp:lastPrinted>2019-01-28T16:31:00Z</cp:lastPrinted>
  <dcterms:created xsi:type="dcterms:W3CDTF">2019-01-24T22:49:00Z</dcterms:created>
  <dcterms:modified xsi:type="dcterms:W3CDTF">2019-02-22T00:38:00Z</dcterms:modified>
</cp:coreProperties>
</file>