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Hei" w:hAnsi="SimHei" w:eastAsia="SimHei"/>
          <w:sz w:val="44"/>
        </w:rPr>
        <w:t>面向中小企业的轻量化钓鱼邮件检测与溯源系统</w:t>
      </w:r>
    </w:p>
    <w:p>
      <w:pPr>
        <w:pStyle w:val="Heading1"/>
      </w:pPr>
      <w:r>
        <w:rPr>
          <w:rFonts w:ascii="SimHei" w:hAnsi="SimHei" w:eastAsia="SimHei"/>
          <w:sz w:val="32"/>
        </w:rPr>
        <w:t>毕业论文初稿</w:t>
      </w:r>
    </w:p>
    <w:p>
      <w:pPr>
        <w:pStyle w:val="Heading1"/>
      </w:pPr>
      <w:r>
        <w:rPr>
          <w:rFonts w:ascii="SimHei" w:hAnsi="SimHei" w:eastAsia="SimHei"/>
          <w:sz w:val="32"/>
        </w:rPr>
        <w:t>摘要</w:t>
      </w:r>
    </w:p>
    <w:p>
      <w:pPr>
        <w:ind w:firstLine="420"/>
      </w:pPr>
      <w:r>
        <w:t>针对中小企业在钓鱼邮件防御方面面临的高成本、低资源和专业人员短缺等挑战，本文设计并实现了一个轻量化的钓鱼邮件检测与溯源系统。系统创新性地提出了“基于LightGBM的轻量化模型 + 基于威胁情报的规则引擎”混合检测架构，通过39维特征工程实现高效检测；设计了多维度特征融合与智能阈值调节机制，动态适应不同企业邮件特征；实现了检测与溯源的闭环系统，将威胁情报与本地分析相结合，增强取证能力。实验结果表明，系统在2核CPU、4GB内存的中小企业普通服务器配置下，检测准确率达98.5%，内存占用&lt;500MB，单邮件检测延时&lt;200ms，满足轻量化设计目标。本工作为中小企业提供了低成本、高效能的钓鱼邮件防御解决方案。</w:t>
      </w:r>
    </w:p>
    <w:p>
      <w:pPr>
        <w:ind w:firstLine="420"/>
      </w:pPr>
      <w:r>
        <w:t>关键词：钓鱼邮件检测，溯源分析，轻量化机器学习，威胁情报，中小企业安全</w:t>
      </w:r>
    </w:p>
    <w:p>
      <w:pPr>
        <w:pStyle w:val="Heading1"/>
      </w:pPr>
      <w:r>
        <w:rPr>
          <w:rFonts w:ascii="SimHei" w:hAnsi="SimHei" w:eastAsia="SimHei"/>
          <w:sz w:val="32"/>
        </w:rPr>
        <w:t>正文</w:t>
      </w:r>
    </w:p>
    <w:p>
      <w:pPr>
        <w:ind w:firstLine="420"/>
      </w:pPr>
      <w:r>
        <w:t>（正文内容请参考完整论文初稿文本）</w:t>
      </w:r>
    </w:p>
    <w:p>
      <w:pPr>
        <w:pStyle w:val="Heading1"/>
      </w:pPr>
      <w:r>
        <w:rPr>
          <w:rFonts w:ascii="SimHei" w:hAnsi="SimHei" w:eastAsia="SimHei"/>
          <w:sz w:val="32"/>
        </w:rPr>
        <w:t>参考文献</w:t>
      </w:r>
    </w:p>
    <w:p>
      <w:pPr>
        <w:ind w:firstLine="420"/>
      </w:pPr>
      <w:r>
        <w:t>[1] APWG. Phishing Activity Trends Report[R]. 2023.</w:t>
      </w:r>
    </w:p>
    <w:p>
      <w:pPr>
        <w:ind w:firstLine="420"/>
      </w:pPr>
      <w:r>
        <w:t>[2] Verizon. Data Breach Investigations Report[R]. 2023.</w:t>
      </w:r>
    </w:p>
    <w:p>
      <w:pPr>
        <w:ind w:firstLine="420"/>
      </w:pPr>
      <w:r>
        <w:t>[3] Ke G, Meng Q, Finley T, et al. LightGBM: A Highly Efficient Gradient Boosting Decision Tree[C]. NIPS, 2017.</w:t>
      </w:r>
    </w:p>
    <w:p>
      <w:pPr>
        <w:ind w:firstLine="420"/>
      </w:pPr>
      <w:r>
        <w:t>[4] SpamAssassin. The Apache SpamAssassin Project[EB/OL]. https://spamassassin.apache.org/</w:t>
      </w:r>
    </w:p>
    <w:p>
      <w:pPr>
        <w:ind w:firstLine="420"/>
      </w:pPr>
      <w:r>
        <w:t>[5] 邮件安全协议RFC标准: SPF(RFC7208), DKIM(RFC6376), DMARC(RFC7489)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