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50CAD">
      <w:pPr>
        <w:widowControl/>
        <w:jc w:val="center"/>
        <w:rPr>
          <w:rFonts w:ascii="宋体" w:hAnsi="宋体" w:cs="宋体"/>
          <w:kern w:val="0"/>
          <w:sz w:val="24"/>
          <w:szCs w:val="24"/>
        </w:rPr>
      </w:pPr>
      <w:bookmarkStart w:id="0" w:name="_Toc14617"/>
      <w:r>
        <w:rPr>
          <w:rFonts w:ascii="宋体" w:hAnsi="宋体" w:cs="宋体"/>
          <w:kern w:val="0"/>
          <w:sz w:val="24"/>
          <w:szCs w:val="24"/>
        </w:rPr>
        <w:drawing>
          <wp:inline distT="0" distB="0" distL="0" distR="0">
            <wp:extent cx="4192270" cy="1296035"/>
            <wp:effectExtent l="0" t="0" r="17780" b="18415"/>
            <wp:docPr id="6" name="图片 6" descr="C:\Users\Administrator\AppData\Roaming\Tencent\Users\290676133\QQ\WinTemp\RichOle\[S7{X2}~TH0{8B0011JO5`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strator\AppData\Roaming\Tencent\Users\290676133\QQ\WinTemp\RichOle\[S7{X2}~TH0{8B0011JO5`I.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192270" cy="1296035"/>
                    </a:xfrm>
                    <a:prstGeom prst="rect">
                      <a:avLst/>
                    </a:prstGeom>
                    <a:noFill/>
                    <a:ln>
                      <a:noFill/>
                    </a:ln>
                  </pic:spPr>
                </pic:pic>
              </a:graphicData>
            </a:graphic>
          </wp:inline>
        </w:drawing>
      </w:r>
    </w:p>
    <w:p w14:paraId="5E997AEE">
      <w:pPr>
        <w:widowControl/>
        <w:adjustRightInd w:val="0"/>
        <w:snapToGrid w:val="0"/>
        <w:jc w:val="center"/>
        <w:rPr>
          <w:rFonts w:ascii="宋体" w:hAnsi="宋体" w:cs="宋体"/>
          <w:kern w:val="0"/>
          <w:sz w:val="20"/>
          <w:szCs w:val="20"/>
        </w:rPr>
      </w:pPr>
    </w:p>
    <w:p w14:paraId="7F66DD08">
      <w:pPr>
        <w:spacing w:line="1400" w:lineRule="exact"/>
        <w:jc w:val="center"/>
        <w:rPr>
          <w:rFonts w:ascii="楷体" w:hAnsi="楷体" w:eastAsia="楷体" w:cs="楷体"/>
          <w:b/>
          <w:bCs/>
          <w:color w:val="000000" w:themeColor="text1"/>
          <w:sz w:val="112"/>
          <w:szCs w:val="112"/>
        </w:rPr>
      </w:pPr>
      <w:r>
        <w:rPr>
          <w:rFonts w:hint="eastAsia" w:ascii="楷体" w:hAnsi="楷体" w:eastAsia="楷体" w:cs="楷体"/>
          <w:b/>
          <w:bCs/>
          <w:color w:val="000000" w:themeColor="text1"/>
          <w:sz w:val="112"/>
          <w:szCs w:val="112"/>
        </w:rPr>
        <w:t>毕业设计</w:t>
      </w:r>
      <w:bookmarkEnd w:id="0"/>
    </w:p>
    <w:p w14:paraId="155AA263">
      <w:pPr>
        <w:jc w:val="center"/>
        <w:rPr>
          <w:rFonts w:ascii="楷体_GB2312" w:hAnsi="宋体" w:eastAsia="楷体_GB2312"/>
          <w:color w:val="000000" w:themeColor="text1"/>
          <w:sz w:val="36"/>
          <w:szCs w:val="36"/>
        </w:rPr>
      </w:pPr>
      <w:r>
        <w:rPr>
          <w:rFonts w:ascii="宋体" w:hAnsi="宋体" w:cs="宋体"/>
          <w:kern w:val="0"/>
          <w:sz w:val="24"/>
          <w:szCs w:val="24"/>
        </w:rPr>
        <w:drawing>
          <wp:inline distT="0" distB="0" distL="0" distR="0">
            <wp:extent cx="1819910" cy="1800225"/>
            <wp:effectExtent l="0" t="0" r="8890" b="9525"/>
            <wp:docPr id="2" name="图片 2" descr="C:\Users\Administrator\AppData\Roaming\Tencent\Users\290676133\QQ\WinTemp\RichOle\3@U47_4~~JWP~N}B@83P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AppData\Roaming\Tencent\Users\290676133\QQ\WinTemp\RichOle\3@U47_4~~JWP~N}B@83P3@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819910" cy="1800225"/>
                    </a:xfrm>
                    <a:prstGeom prst="rect">
                      <a:avLst/>
                    </a:prstGeom>
                    <a:noFill/>
                    <a:ln>
                      <a:noFill/>
                    </a:ln>
                  </pic:spPr>
                </pic:pic>
              </a:graphicData>
            </a:graphic>
          </wp:inline>
        </w:drawing>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r>
        <w:rPr>
          <w:rFonts w:hint="eastAsia" w:ascii="楷体_GB2312" w:hAnsi="宋体" w:eastAsia="楷体_GB2312"/>
          <w:color w:val="000000" w:themeColor="text1"/>
          <w:sz w:val="36"/>
          <w:szCs w:val="36"/>
        </w:rPr>
        <w:softHyphen/>
      </w:r>
    </w:p>
    <w:tbl>
      <w:tblPr>
        <w:tblStyle w:val="9"/>
        <w:tblW w:w="6299" w:type="dxa"/>
        <w:jc w:val="center"/>
        <w:tblLayout w:type="fixed"/>
        <w:tblCellMar>
          <w:top w:w="0" w:type="dxa"/>
          <w:left w:w="108" w:type="dxa"/>
          <w:bottom w:w="0" w:type="dxa"/>
          <w:right w:w="108" w:type="dxa"/>
        </w:tblCellMar>
      </w:tblPr>
      <w:tblGrid>
        <w:gridCol w:w="1538"/>
        <w:gridCol w:w="4761"/>
      </w:tblGrid>
      <w:tr w14:paraId="14D5DAC7">
        <w:tblPrEx>
          <w:tblCellMar>
            <w:top w:w="0" w:type="dxa"/>
            <w:left w:w="108" w:type="dxa"/>
            <w:bottom w:w="0" w:type="dxa"/>
            <w:right w:w="108" w:type="dxa"/>
          </w:tblCellMar>
        </w:tblPrEx>
        <w:trPr>
          <w:trHeight w:val="454" w:hRule="atLeast"/>
          <w:jc w:val="center"/>
        </w:trPr>
        <w:tc>
          <w:tcPr>
            <w:tcW w:w="1538" w:type="dxa"/>
            <w:tcBorders>
              <w:top w:val="nil"/>
              <w:left w:val="nil"/>
              <w:bottom w:val="nil"/>
              <w:right w:val="nil"/>
            </w:tcBorders>
            <w:vAlign w:val="center"/>
          </w:tcPr>
          <w:p w14:paraId="665E05D8">
            <w:pPr>
              <w:jc w:val="center"/>
              <w:rPr>
                <w:rFonts w:ascii="楷体" w:hAnsi="楷体" w:eastAsia="楷体" w:cs="楷体"/>
                <w:b/>
                <w:bCs/>
                <w:color w:val="000000" w:themeColor="text1"/>
                <w:sz w:val="32"/>
                <w:szCs w:val="32"/>
              </w:rPr>
            </w:pPr>
            <w:r>
              <w:rPr>
                <w:rFonts w:hint="eastAsia" w:ascii="楷体" w:hAnsi="楷体" w:eastAsia="楷体" w:cs="楷体"/>
                <w:b/>
                <w:bCs/>
                <w:color w:val="000000" w:themeColor="text1"/>
                <w:sz w:val="32"/>
                <w:szCs w:val="32"/>
              </w:rPr>
              <w:t>题    目</w:t>
            </w:r>
          </w:p>
        </w:tc>
        <w:tc>
          <w:tcPr>
            <w:tcW w:w="4761" w:type="dxa"/>
            <w:tcBorders>
              <w:top w:val="nil"/>
              <w:left w:val="nil"/>
              <w:bottom w:val="dashed" w:color="auto" w:sz="4" w:space="0"/>
              <w:right w:val="nil"/>
            </w:tcBorders>
            <w:vAlign w:val="center"/>
          </w:tcPr>
          <w:p w14:paraId="245803ED">
            <w:pPr>
              <w:jc w:val="center"/>
              <w:rPr>
                <w:rFonts w:hint="eastAsia" w:ascii="楷体" w:hAnsi="楷体" w:eastAsia="楷体" w:cs="楷体"/>
                <w:color w:val="000000" w:themeColor="text1"/>
                <w:sz w:val="32"/>
                <w:szCs w:val="32"/>
                <w:lang w:val="en-US" w:eastAsia="zh-CN"/>
              </w:rPr>
            </w:pPr>
            <w:r>
              <w:rPr>
                <w:rFonts w:hint="eastAsia" w:ascii="楷体" w:hAnsi="楷体" w:eastAsia="楷体" w:cs="楷体"/>
                <w:color w:val="000000"/>
                <w:kern w:val="2"/>
                <w:sz w:val="32"/>
                <w:szCs w:val="32"/>
              </w:rPr>
              <w:t>面向中小型企业的轻量化钓鱼邮件检测与溯源系统设计与实现</w:t>
            </w:r>
          </w:p>
        </w:tc>
      </w:tr>
      <w:tr w14:paraId="228C7C99">
        <w:tblPrEx>
          <w:tblCellMar>
            <w:top w:w="0" w:type="dxa"/>
            <w:left w:w="108" w:type="dxa"/>
            <w:bottom w:w="0" w:type="dxa"/>
            <w:right w:w="108" w:type="dxa"/>
          </w:tblCellMar>
        </w:tblPrEx>
        <w:trPr>
          <w:trHeight w:val="454" w:hRule="atLeast"/>
          <w:jc w:val="center"/>
        </w:trPr>
        <w:tc>
          <w:tcPr>
            <w:tcW w:w="1538" w:type="dxa"/>
            <w:tcBorders>
              <w:top w:val="nil"/>
              <w:left w:val="nil"/>
              <w:bottom w:val="nil"/>
              <w:right w:val="nil"/>
            </w:tcBorders>
            <w:vAlign w:val="center"/>
          </w:tcPr>
          <w:p w14:paraId="15076275">
            <w:pPr>
              <w:jc w:val="center"/>
              <w:rPr>
                <w:rFonts w:ascii="楷体" w:hAnsi="楷体" w:eastAsia="楷体" w:cs="楷体"/>
                <w:b/>
                <w:bCs/>
                <w:color w:val="000000" w:themeColor="text1"/>
                <w:sz w:val="32"/>
                <w:szCs w:val="32"/>
              </w:rPr>
            </w:pPr>
            <w:r>
              <w:rPr>
                <w:rFonts w:hint="eastAsia" w:ascii="楷体" w:hAnsi="楷体" w:eastAsia="楷体" w:cs="楷体"/>
                <w:b/>
                <w:bCs/>
                <w:color w:val="000000" w:themeColor="text1"/>
                <w:sz w:val="32"/>
                <w:szCs w:val="32"/>
              </w:rPr>
              <w:t>学生姓名</w:t>
            </w:r>
          </w:p>
        </w:tc>
        <w:tc>
          <w:tcPr>
            <w:tcW w:w="4761" w:type="dxa"/>
            <w:tcBorders>
              <w:top w:val="dashed" w:color="auto" w:sz="4" w:space="0"/>
              <w:left w:val="nil"/>
              <w:bottom w:val="dashed" w:color="auto" w:sz="4" w:space="0"/>
              <w:right w:val="nil"/>
            </w:tcBorders>
            <w:vAlign w:val="center"/>
          </w:tcPr>
          <w:p w14:paraId="23651626">
            <w:pPr>
              <w:jc w:val="center"/>
              <w:rPr>
                <w:rFonts w:hint="eastAsia" w:ascii="楷体" w:hAnsi="楷体" w:eastAsia="楷体" w:cs="楷体"/>
                <w:color w:val="000000" w:themeColor="text1"/>
                <w:sz w:val="32"/>
                <w:szCs w:val="32"/>
                <w:lang w:val="en-US" w:eastAsia="zh-CN"/>
              </w:rPr>
            </w:pPr>
            <w:r>
              <w:rPr>
                <w:rFonts w:hint="eastAsia" w:ascii="楷体" w:hAnsi="楷体" w:eastAsia="楷体" w:cs="楷体"/>
                <w:color w:val="000000" w:themeColor="text1"/>
                <w:sz w:val="32"/>
                <w:szCs w:val="32"/>
                <w:lang w:val="en-US" w:eastAsia="zh-CN"/>
              </w:rPr>
              <w:t>唐宇坤</w:t>
            </w:r>
          </w:p>
        </w:tc>
      </w:tr>
      <w:tr w14:paraId="1139293B">
        <w:tblPrEx>
          <w:tblCellMar>
            <w:top w:w="0" w:type="dxa"/>
            <w:left w:w="108" w:type="dxa"/>
            <w:bottom w:w="0" w:type="dxa"/>
            <w:right w:w="108" w:type="dxa"/>
          </w:tblCellMar>
        </w:tblPrEx>
        <w:trPr>
          <w:trHeight w:val="454" w:hRule="atLeast"/>
          <w:jc w:val="center"/>
        </w:trPr>
        <w:tc>
          <w:tcPr>
            <w:tcW w:w="1538" w:type="dxa"/>
            <w:tcBorders>
              <w:top w:val="nil"/>
              <w:left w:val="nil"/>
              <w:bottom w:val="nil"/>
              <w:right w:val="nil"/>
            </w:tcBorders>
            <w:vAlign w:val="center"/>
          </w:tcPr>
          <w:p w14:paraId="4DB48E7B">
            <w:pPr>
              <w:jc w:val="center"/>
              <w:rPr>
                <w:rFonts w:ascii="楷体" w:hAnsi="楷体" w:eastAsia="楷体" w:cs="楷体"/>
                <w:color w:val="000000" w:themeColor="text1"/>
                <w:sz w:val="32"/>
                <w:szCs w:val="32"/>
              </w:rPr>
            </w:pPr>
            <w:r>
              <w:rPr>
                <w:rFonts w:hint="eastAsia" w:ascii="楷体" w:hAnsi="楷体" w:eastAsia="楷体" w:cs="楷体"/>
                <w:b/>
                <w:bCs/>
                <w:color w:val="000000" w:themeColor="text1"/>
                <w:sz w:val="32"/>
                <w:szCs w:val="32"/>
              </w:rPr>
              <w:t>学    号</w:t>
            </w:r>
          </w:p>
        </w:tc>
        <w:tc>
          <w:tcPr>
            <w:tcW w:w="4761" w:type="dxa"/>
            <w:tcBorders>
              <w:top w:val="dashed" w:color="auto" w:sz="4" w:space="0"/>
              <w:left w:val="nil"/>
              <w:bottom w:val="dashed" w:color="auto" w:sz="4" w:space="0"/>
              <w:right w:val="nil"/>
            </w:tcBorders>
            <w:vAlign w:val="center"/>
          </w:tcPr>
          <w:p w14:paraId="0423454D">
            <w:pPr>
              <w:jc w:val="center"/>
              <w:rPr>
                <w:rFonts w:hint="default" w:ascii="楷体" w:hAnsi="楷体" w:eastAsia="楷体" w:cs="楷体"/>
                <w:color w:val="000000" w:themeColor="text1"/>
                <w:sz w:val="32"/>
                <w:szCs w:val="32"/>
                <w:lang w:val="en-US" w:eastAsia="zh-CN"/>
              </w:rPr>
            </w:pPr>
            <w:r>
              <w:rPr>
                <w:rFonts w:hint="eastAsia" w:ascii="楷体" w:hAnsi="楷体" w:eastAsia="楷体" w:cs="楷体"/>
                <w:color w:val="000000" w:themeColor="text1"/>
                <w:sz w:val="32"/>
                <w:szCs w:val="32"/>
                <w:lang w:val="en-US" w:eastAsia="zh-CN"/>
              </w:rPr>
              <w:t>2209050042</w:t>
            </w:r>
          </w:p>
        </w:tc>
      </w:tr>
      <w:tr w14:paraId="02F7A214">
        <w:tblPrEx>
          <w:tblCellMar>
            <w:top w:w="0" w:type="dxa"/>
            <w:left w:w="108" w:type="dxa"/>
            <w:bottom w:w="0" w:type="dxa"/>
            <w:right w:w="108" w:type="dxa"/>
          </w:tblCellMar>
        </w:tblPrEx>
        <w:trPr>
          <w:trHeight w:val="454" w:hRule="atLeast"/>
          <w:jc w:val="center"/>
        </w:trPr>
        <w:tc>
          <w:tcPr>
            <w:tcW w:w="1538" w:type="dxa"/>
            <w:vMerge w:val="restart"/>
            <w:tcBorders>
              <w:top w:val="nil"/>
              <w:left w:val="nil"/>
              <w:right w:val="nil"/>
            </w:tcBorders>
            <w:vAlign w:val="center"/>
          </w:tcPr>
          <w:p w14:paraId="17F436B0">
            <w:pPr>
              <w:jc w:val="center"/>
              <w:rPr>
                <w:rFonts w:ascii="楷体" w:hAnsi="楷体" w:eastAsia="楷体" w:cs="楷体"/>
                <w:b/>
                <w:bCs/>
                <w:color w:val="000000" w:themeColor="text1"/>
                <w:sz w:val="32"/>
                <w:szCs w:val="32"/>
              </w:rPr>
            </w:pPr>
            <w:r>
              <w:rPr>
                <w:rFonts w:hint="eastAsia" w:ascii="楷体" w:hAnsi="楷体" w:eastAsia="楷体" w:cs="楷体"/>
                <w:b/>
                <w:bCs/>
                <w:color w:val="000000" w:themeColor="text1"/>
                <w:sz w:val="32"/>
                <w:szCs w:val="32"/>
              </w:rPr>
              <w:t>专    业</w:t>
            </w:r>
          </w:p>
          <w:p w14:paraId="72FFF760">
            <w:pPr>
              <w:jc w:val="center"/>
              <w:rPr>
                <w:rFonts w:ascii="楷体" w:hAnsi="楷体" w:eastAsia="楷体" w:cs="楷体"/>
                <w:b/>
                <w:bCs/>
                <w:color w:val="000000" w:themeColor="text1"/>
                <w:sz w:val="32"/>
                <w:szCs w:val="32"/>
              </w:rPr>
            </w:pPr>
            <w:r>
              <w:rPr>
                <w:rFonts w:hint="eastAsia" w:ascii="楷体" w:hAnsi="楷体" w:eastAsia="楷体" w:cs="楷体"/>
                <w:b/>
                <w:bCs/>
                <w:color w:val="000000" w:themeColor="text1"/>
                <w:sz w:val="32"/>
                <w:szCs w:val="32"/>
              </w:rPr>
              <w:t>班    级</w:t>
            </w:r>
          </w:p>
        </w:tc>
        <w:tc>
          <w:tcPr>
            <w:tcW w:w="4761" w:type="dxa"/>
            <w:tcBorders>
              <w:top w:val="dashed" w:color="auto" w:sz="4" w:space="0"/>
              <w:left w:val="nil"/>
              <w:bottom w:val="dashed" w:color="auto" w:sz="4" w:space="0"/>
              <w:right w:val="nil"/>
            </w:tcBorders>
            <w:vAlign w:val="center"/>
          </w:tcPr>
          <w:p w14:paraId="052A03D7">
            <w:pPr>
              <w:jc w:val="center"/>
              <w:rPr>
                <w:rFonts w:hint="default" w:ascii="楷体" w:hAnsi="楷体" w:eastAsia="楷体" w:cs="楷体"/>
                <w:color w:val="000000" w:themeColor="text1"/>
                <w:sz w:val="32"/>
                <w:szCs w:val="32"/>
                <w:lang w:val="en-US" w:eastAsia="zh-CN"/>
              </w:rPr>
            </w:pPr>
            <w:r>
              <w:rPr>
                <w:rFonts w:hint="eastAsia" w:ascii="楷体" w:hAnsi="楷体" w:eastAsia="楷体" w:cs="楷体"/>
                <w:color w:val="000000" w:themeColor="text1"/>
                <w:sz w:val="32"/>
                <w:szCs w:val="32"/>
                <w:lang w:val="en-US" w:eastAsia="zh-CN"/>
              </w:rPr>
              <w:t>网络空间安全</w:t>
            </w:r>
          </w:p>
        </w:tc>
      </w:tr>
      <w:tr w14:paraId="66DBE08E">
        <w:tblPrEx>
          <w:tblCellMar>
            <w:top w:w="0" w:type="dxa"/>
            <w:left w:w="108" w:type="dxa"/>
            <w:bottom w:w="0" w:type="dxa"/>
            <w:right w:w="108" w:type="dxa"/>
          </w:tblCellMar>
        </w:tblPrEx>
        <w:trPr>
          <w:trHeight w:val="454" w:hRule="atLeast"/>
          <w:jc w:val="center"/>
        </w:trPr>
        <w:tc>
          <w:tcPr>
            <w:tcW w:w="1538" w:type="dxa"/>
            <w:vMerge w:val="continue"/>
            <w:tcBorders>
              <w:left w:val="nil"/>
              <w:right w:val="nil"/>
            </w:tcBorders>
            <w:vAlign w:val="center"/>
          </w:tcPr>
          <w:p w14:paraId="4837726D">
            <w:pPr>
              <w:jc w:val="center"/>
              <w:rPr>
                <w:rFonts w:ascii="楷体" w:hAnsi="楷体" w:eastAsia="楷体" w:cs="楷体"/>
                <w:b/>
                <w:bCs/>
                <w:color w:val="000000" w:themeColor="text1"/>
                <w:sz w:val="32"/>
                <w:szCs w:val="32"/>
              </w:rPr>
            </w:pPr>
          </w:p>
        </w:tc>
        <w:tc>
          <w:tcPr>
            <w:tcW w:w="4761" w:type="dxa"/>
            <w:tcBorders>
              <w:top w:val="dashed" w:color="auto" w:sz="4" w:space="0"/>
              <w:left w:val="nil"/>
              <w:right w:val="nil"/>
            </w:tcBorders>
            <w:vAlign w:val="center"/>
          </w:tcPr>
          <w:p w14:paraId="2F837CAA">
            <w:pPr>
              <w:jc w:val="center"/>
              <w:rPr>
                <w:rFonts w:hint="default" w:ascii="楷体" w:hAnsi="楷体" w:eastAsia="楷体" w:cs="楷体"/>
                <w:color w:val="000000" w:themeColor="text1"/>
                <w:sz w:val="32"/>
                <w:szCs w:val="32"/>
                <w:lang w:val="en-US" w:eastAsia="zh-CN"/>
              </w:rPr>
            </w:pPr>
            <w:r>
              <w:rPr>
                <w:rFonts w:hint="eastAsia" w:ascii="楷体" w:hAnsi="楷体" w:eastAsia="楷体" w:cs="楷体"/>
                <w:color w:val="000000" w:themeColor="text1"/>
                <w:sz w:val="32"/>
                <w:szCs w:val="32"/>
                <w:lang w:val="en-US" w:eastAsia="zh-CN"/>
              </w:rPr>
              <w:t>2202班</w:t>
            </w:r>
          </w:p>
        </w:tc>
      </w:tr>
      <w:tr w14:paraId="4716BED2">
        <w:tblPrEx>
          <w:tblCellMar>
            <w:top w:w="0" w:type="dxa"/>
            <w:left w:w="108" w:type="dxa"/>
            <w:bottom w:w="0" w:type="dxa"/>
            <w:right w:w="108" w:type="dxa"/>
          </w:tblCellMar>
        </w:tblPrEx>
        <w:trPr>
          <w:trHeight w:val="454" w:hRule="atLeast"/>
          <w:jc w:val="center"/>
        </w:trPr>
        <w:tc>
          <w:tcPr>
            <w:tcW w:w="1538" w:type="dxa"/>
            <w:tcBorders>
              <w:top w:val="nil"/>
              <w:left w:val="nil"/>
              <w:bottom w:val="nil"/>
              <w:right w:val="nil"/>
            </w:tcBorders>
            <w:vAlign w:val="center"/>
          </w:tcPr>
          <w:p w14:paraId="51628842">
            <w:pPr>
              <w:jc w:val="center"/>
              <w:rPr>
                <w:rFonts w:ascii="楷体" w:hAnsi="楷体" w:eastAsia="楷体" w:cs="楷体"/>
                <w:color w:val="000000" w:themeColor="text1"/>
                <w:sz w:val="32"/>
                <w:szCs w:val="32"/>
              </w:rPr>
            </w:pPr>
            <w:r>
              <w:rPr>
                <w:rFonts w:hint="eastAsia" w:ascii="楷体" w:hAnsi="楷体" w:eastAsia="楷体" w:cs="楷体"/>
                <w:b/>
                <w:bCs/>
                <w:color w:val="000000" w:themeColor="text1"/>
                <w:sz w:val="32"/>
                <w:szCs w:val="32"/>
              </w:rPr>
              <w:t>指导教师</w:t>
            </w:r>
          </w:p>
        </w:tc>
        <w:tc>
          <w:tcPr>
            <w:tcW w:w="4761" w:type="dxa"/>
            <w:tcBorders>
              <w:top w:val="dashed" w:color="auto" w:sz="4" w:space="0"/>
              <w:left w:val="nil"/>
              <w:bottom w:val="dashed" w:color="auto" w:sz="4" w:space="0"/>
              <w:right w:val="nil"/>
            </w:tcBorders>
            <w:vAlign w:val="center"/>
          </w:tcPr>
          <w:p w14:paraId="33D93DCA">
            <w:pPr>
              <w:jc w:val="center"/>
              <w:rPr>
                <w:rFonts w:hint="default" w:ascii="楷体" w:hAnsi="楷体" w:eastAsia="楷体" w:cs="楷体"/>
                <w:color w:val="000000" w:themeColor="text1"/>
                <w:sz w:val="32"/>
                <w:szCs w:val="32"/>
                <w:lang w:val="en-US" w:eastAsia="zh-CN"/>
              </w:rPr>
            </w:pPr>
            <w:r>
              <w:rPr>
                <w:rFonts w:hint="eastAsia" w:ascii="楷体" w:hAnsi="楷体" w:eastAsia="楷体" w:cs="楷体"/>
                <w:color w:val="000000" w:themeColor="text1"/>
                <w:sz w:val="32"/>
                <w:szCs w:val="32"/>
                <w:lang w:val="en-US" w:eastAsia="zh-CN"/>
              </w:rPr>
              <w:t>谭利娜</w:t>
            </w:r>
          </w:p>
        </w:tc>
      </w:tr>
      <w:tr w14:paraId="3BF535CA">
        <w:tblPrEx>
          <w:tblCellMar>
            <w:top w:w="0" w:type="dxa"/>
            <w:left w:w="108" w:type="dxa"/>
            <w:bottom w:w="0" w:type="dxa"/>
            <w:right w:w="108" w:type="dxa"/>
          </w:tblCellMar>
        </w:tblPrEx>
        <w:trPr>
          <w:trHeight w:val="454" w:hRule="atLeast"/>
          <w:jc w:val="center"/>
        </w:trPr>
        <w:tc>
          <w:tcPr>
            <w:tcW w:w="1538" w:type="dxa"/>
            <w:tcBorders>
              <w:top w:val="nil"/>
              <w:left w:val="nil"/>
              <w:bottom w:val="nil"/>
              <w:right w:val="nil"/>
            </w:tcBorders>
            <w:vAlign w:val="center"/>
          </w:tcPr>
          <w:p w14:paraId="6346E4AA">
            <w:pPr>
              <w:jc w:val="center"/>
              <w:rPr>
                <w:rFonts w:ascii="楷体" w:hAnsi="楷体" w:eastAsia="楷体" w:cs="楷体"/>
                <w:b/>
                <w:bCs/>
                <w:color w:val="000000" w:themeColor="text1"/>
                <w:sz w:val="32"/>
                <w:szCs w:val="32"/>
              </w:rPr>
            </w:pPr>
            <w:r>
              <w:rPr>
                <w:rFonts w:hint="eastAsia" w:ascii="楷体" w:hAnsi="楷体" w:eastAsia="楷体" w:cs="楷体"/>
                <w:b/>
                <w:bCs/>
                <w:color w:val="000000" w:themeColor="text1"/>
                <w:sz w:val="32"/>
                <w:szCs w:val="32"/>
              </w:rPr>
              <w:t>职    称</w:t>
            </w:r>
          </w:p>
        </w:tc>
        <w:tc>
          <w:tcPr>
            <w:tcW w:w="4761" w:type="dxa"/>
            <w:tcBorders>
              <w:top w:val="dashed" w:color="auto" w:sz="4" w:space="0"/>
              <w:left w:val="nil"/>
              <w:bottom w:val="dashed" w:color="auto" w:sz="4" w:space="0"/>
              <w:right w:val="nil"/>
            </w:tcBorders>
            <w:vAlign w:val="center"/>
          </w:tcPr>
          <w:p w14:paraId="66EC7EAB">
            <w:pPr>
              <w:jc w:val="center"/>
              <w:rPr>
                <w:rFonts w:hint="eastAsia" w:ascii="楷体" w:hAnsi="楷体" w:eastAsia="楷体" w:cs="楷体"/>
                <w:color w:val="000000" w:themeColor="text1"/>
                <w:sz w:val="32"/>
                <w:szCs w:val="32"/>
                <w:lang w:val="en-US" w:eastAsia="zh-CN"/>
              </w:rPr>
            </w:pPr>
            <w:r>
              <w:rPr>
                <w:rFonts w:hint="eastAsia" w:ascii="楷体" w:hAnsi="楷体" w:eastAsia="楷体" w:cs="楷体"/>
                <w:color w:val="000000" w:themeColor="text1"/>
                <w:sz w:val="32"/>
                <w:szCs w:val="32"/>
                <w:lang w:val="en-US" w:eastAsia="zh-CN"/>
              </w:rPr>
              <w:t>讲师</w:t>
            </w:r>
          </w:p>
        </w:tc>
      </w:tr>
    </w:tbl>
    <w:p w14:paraId="3F75B503">
      <w:pPr>
        <w:rPr>
          <w:rFonts w:ascii="宋体" w:hAnsi="宋体"/>
          <w:b/>
          <w:bCs/>
          <w:color w:val="000000" w:themeColor="text1"/>
          <w:sz w:val="32"/>
          <w:szCs w:val="32"/>
        </w:rPr>
      </w:pPr>
    </w:p>
    <w:p w14:paraId="72A0FB8B">
      <w:pPr>
        <w:jc w:val="center"/>
        <w:rPr>
          <w:rFonts w:ascii="宋体" w:hAnsi="宋体"/>
          <w:b/>
          <w:bCs/>
          <w:color w:val="000000" w:themeColor="text1"/>
          <w:sz w:val="32"/>
          <w:szCs w:val="32"/>
        </w:rPr>
      </w:pPr>
      <w:r>
        <w:rPr>
          <w:rFonts w:hint="eastAsia" w:ascii="宋体" w:hAnsi="宋体"/>
          <w:b/>
          <w:bCs/>
          <w:color w:val="000000" w:themeColor="text1"/>
          <w:sz w:val="32"/>
          <w:szCs w:val="32"/>
        </w:rPr>
        <w:t>计算机学院</w:t>
      </w:r>
    </w:p>
    <w:p w14:paraId="1EAE251B">
      <w:pPr>
        <w:jc w:val="center"/>
        <w:rPr>
          <w:rFonts w:hint="eastAsia" w:ascii="宋体" w:hAnsi="宋体"/>
          <w:b/>
          <w:bCs/>
          <w:color w:val="000000" w:themeColor="text1"/>
          <w:sz w:val="32"/>
          <w:szCs w:val="32"/>
        </w:rPr>
        <w:sectPr>
          <w:pgSz w:w="11906" w:h="16838"/>
          <w:pgMar w:top="1440" w:right="1800" w:bottom="1440" w:left="1800" w:header="851" w:footer="992" w:gutter="0"/>
          <w:cols w:space="425" w:num="1"/>
          <w:docGrid w:type="lines" w:linePitch="312" w:charSpace="0"/>
        </w:sectPr>
      </w:pPr>
      <w:r>
        <w:rPr>
          <w:rFonts w:hint="eastAsia" w:ascii="宋体" w:hAnsi="宋体"/>
          <w:b/>
          <w:bCs/>
          <w:color w:val="000000" w:themeColor="text1"/>
          <w:sz w:val="32"/>
          <w:szCs w:val="32"/>
          <w:lang w:val="en-US" w:eastAsia="zh-CN"/>
        </w:rPr>
        <w:t>2024</w:t>
      </w:r>
      <w:r>
        <w:rPr>
          <w:rFonts w:hint="eastAsia" w:ascii="宋体" w:hAnsi="宋体"/>
          <w:b/>
          <w:bCs/>
          <w:color w:val="000000" w:themeColor="text1"/>
          <w:sz w:val="32"/>
          <w:szCs w:val="32"/>
        </w:rPr>
        <w:t xml:space="preserve">年    </w:t>
      </w:r>
      <w:r>
        <w:rPr>
          <w:rFonts w:hint="eastAsia" w:ascii="宋体" w:hAnsi="宋体"/>
          <w:b/>
          <w:bCs/>
          <w:color w:val="000000" w:themeColor="text1"/>
          <w:sz w:val="32"/>
          <w:szCs w:val="32"/>
          <w:lang w:val="en-US" w:eastAsia="zh-CN"/>
        </w:rPr>
        <w:t>4</w:t>
      </w:r>
      <w:r>
        <w:rPr>
          <w:rFonts w:hint="eastAsia" w:ascii="宋体" w:hAnsi="宋体"/>
          <w:b/>
          <w:bCs/>
          <w:color w:val="000000" w:themeColor="text1"/>
          <w:sz w:val="32"/>
          <w:szCs w:val="32"/>
        </w:rPr>
        <w:t>月</w:t>
      </w:r>
    </w:p>
    <w:p w14:paraId="34A2020D">
      <w:pPr>
        <w:pStyle w:val="14"/>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摘要</w:t>
      </w:r>
    </w:p>
    <w:p w14:paraId="345A7A68">
      <w:pPr>
        <w:pStyle w:val="14"/>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p>
    <w:p w14:paraId="14DCB74E">
      <w:pPr>
        <w:pStyle w:val="16"/>
        <w:bidi w:val="0"/>
        <w:rPr>
          <w:rFonts w:hint="eastAsia"/>
          <w:lang w:val="en-US" w:eastAsia="zh-CN"/>
        </w:rPr>
      </w:pPr>
      <w:r>
        <w:rPr>
          <w:rFonts w:hint="eastAsia"/>
          <w:lang w:val="en-US" w:eastAsia="zh-CN"/>
        </w:rPr>
        <w:t>随着网络攻击技术的不断演进，钓鱼邮件已成为企业网络安全的主要威胁之一。据统计，超过90%的网络攻击始于钓鱼邮件，而中小型企业由于缺乏专业安全团队和预算支持，往往成为攻击者的首选目标。传统商业邮件安全产品价格高昂、部署复杂，中小企业难以承受。本文设计并实现了一个面向中小型企业的轻量化钓鱼邮件检测与溯源系统。系统采用分层架构设计，集成了邮件解析、特征提取、机器学习检测、AI语义分析、威胁情报查询和溯源分析六大核心模块。在检测能力方面，系统创新性地提出了Kill Switch一票否决机制，结合随机森林、XGBoost和IsolationForest三种机器学习模型的多维度融合检测策略，实现了35维语义特征与26维统计特征的协同分析。在溯源能力方面，系统从攻击目标、IP来源、传播链、社会工程学特征和攻击载体五个维度进行深度溯源，支持DNSBL黑名单查询、WHOIS注册信息查询和IP地理位置追踪。系统基于Python和Flask框架开发，使用SQLite数据库存储告警数据，模型文件总大小仅45MB，可适配2核4G普通办公硬件。实验结果表明，系统检测准确率达到94.4%，F1值达到93.8%，单封邮件平均检测时间3-5秒，误报率控制在3.2%以内。系统主要创新点包括：Kill Switch一票否决机制将漏检率降至0.1%以下；多模型融合架构使AUC-ROC指标提升1.5个百分点；本地优先IOC策略减少70%云端API调用；完整的五维度溯源分析功能为安全事件应急响应提供决策支持。</w:t>
      </w:r>
    </w:p>
    <w:p w14:paraId="3E1F06CD">
      <w:pPr>
        <w:pStyle w:val="15"/>
        <w:bidi w:val="0"/>
        <w:rPr>
          <w:rFonts w:hint="eastAsia"/>
          <w:lang w:val="en-US" w:eastAsia="zh-CN"/>
        </w:rPr>
      </w:pPr>
    </w:p>
    <w:p w14:paraId="1BBD0D13">
      <w:pPr>
        <w:pStyle w:val="15"/>
        <w:bidi w:val="0"/>
        <w:ind w:left="0" w:leftChars="0" w:firstLine="0" w:firstLineChars="0"/>
        <w:rPr>
          <w:rFonts w:hint="eastAsia"/>
          <w:sz w:val="24"/>
          <w:szCs w:val="24"/>
          <w:lang w:val="en-US" w:eastAsia="zh-CN"/>
        </w:rPr>
        <w:sectPr>
          <w:footerReference r:id="rId3" w:type="default"/>
          <w:pgSz w:w="11906" w:h="16838"/>
          <w:pgMar w:top="1701" w:right="1134" w:bottom="1417" w:left="1701" w:header="851" w:footer="992" w:gutter="0"/>
          <w:pgNumType w:fmt="upperRoman" w:start="1"/>
          <w:cols w:space="425" w:num="1"/>
          <w:docGrid w:type="lines" w:linePitch="312" w:charSpace="0"/>
        </w:sectPr>
      </w:pPr>
      <w:r>
        <w:rPr>
          <w:rFonts w:hint="eastAsia" w:ascii="黑体" w:hAnsi="黑体" w:eastAsia="黑体" w:cs="黑体"/>
          <w:b/>
          <w:bCs w:val="0"/>
          <w:sz w:val="28"/>
          <w:szCs w:val="28"/>
          <w:lang w:val="en-US" w:eastAsia="zh-CN"/>
        </w:rPr>
        <w:t>关键词 ：</w:t>
      </w:r>
      <w:r>
        <w:rPr>
          <w:rFonts w:hint="eastAsia"/>
          <w:sz w:val="24"/>
          <w:szCs w:val="24"/>
          <w:lang w:val="en-US" w:eastAsia="zh-CN"/>
        </w:rPr>
        <w:t>钓鱼邮件检测；机器学习；融合模型；溯源分析；中小企业</w:t>
      </w:r>
    </w:p>
    <w:p w14:paraId="2A43106D">
      <w:pPr>
        <w:pStyle w:val="14"/>
        <w:bidi w:val="0"/>
        <w:rPr>
          <w:rFonts w:hint="eastAsia"/>
          <w:lang w:val="en-US" w:eastAsia="zh-CN"/>
        </w:rPr>
      </w:pPr>
      <w:r>
        <w:rPr>
          <w:rFonts w:hint="eastAsia"/>
          <w:lang w:val="en-US" w:eastAsia="zh-CN"/>
        </w:rPr>
        <w:t>ABSTRACT</w:t>
      </w:r>
    </w:p>
    <w:p w14:paraId="4C84EED1">
      <w:pPr>
        <w:pStyle w:val="14"/>
        <w:bidi w:val="0"/>
        <w:rPr>
          <w:rFonts w:hint="eastAsia"/>
          <w:lang w:val="en-US" w:eastAsia="zh-CN"/>
        </w:rPr>
      </w:pPr>
    </w:p>
    <w:p w14:paraId="2F340996">
      <w:pPr>
        <w:pStyle w:val="15"/>
        <w:bidi w:val="0"/>
        <w:ind w:left="0" w:leftChars="0" w:firstLine="480" w:firstLineChars="200"/>
        <w:rPr>
          <w:rFonts w:hint="default"/>
          <w:lang w:val="en-US" w:eastAsia="zh-CN"/>
        </w:rPr>
      </w:pPr>
      <w:r>
        <w:rPr>
          <w:rFonts w:hint="default"/>
          <w:lang w:val="en-US" w:eastAsia="zh-CN"/>
        </w:rPr>
        <w:t>With the continuous evolution of cyber attack techniques, phishing emails have become one of the primary threats to enterprise network security. Statistics show that over 90% of cyberattacks originate from phishing emails, and small and medium-sized enterprises (SMEs) often become the preferred targets for attackers due to their lack of professional security teams and budget support. Traditional commercial email security products are expensive and complex to deploy, making them unaffordable for SMEs. This paper designs and implements a lightweight phishing email detection and traceback system for SMEs. The system adopts a layered architecture design, integrating six core modules: email parsing, feature extraction, machine learning detection, AI semantic analysis, threat intelligence query, and traceback analysis. In terms of detection capability, the system innovatively proposes a Kill Switch one-vote veto mechanism, combined with a multi-dimensional fusion detection strategy using three machine learning models (Random Forest, XGBoost, and IsolationForest), achieving collaborative analysis of 35-dimensional semantic features and 26-dimensional statistical features. For traceback capability, the system performs in-depth traceback from five dimensions: attack targets, IP sources, propagation chains, social engineering features, and attack vectors, supporting DNSBL blacklist queries, WHOIS registration information queries, and IP geolocation tracking. Developed based on Python and Flask framework, the system uses SQLite for alert data storage, with a total model file size of only 45MB, adaptable to 2-core 4GB general office hardware. Experimental results show that the system achieves a detection accuracy of 94.4%, F1-score of 93.8%, average detection time per email of 3-5 seconds, and false positive rate controlled within 3.2%. Key innovations of the system include: the Kill Switch one-vote veto mechanism reduces false negative rate to below 0.1%; the multi-model fusion architecture increases AUC-ROC metric by 1.5 percentage points; the local-first IOC strategy reduces cloud API calls by 70%; and the complete five-dimensional traceback analysis provides decision support for security incident response.</w:t>
      </w:r>
    </w:p>
    <w:p w14:paraId="46ABCF3F">
      <w:pPr>
        <w:pStyle w:val="15"/>
        <w:bidi w:val="0"/>
        <w:ind w:left="0" w:leftChars="0" w:firstLine="480" w:firstLineChars="200"/>
        <w:rPr>
          <w:rFonts w:hint="default"/>
          <w:lang w:val="en-US" w:eastAsia="zh-CN"/>
        </w:rPr>
      </w:pPr>
    </w:p>
    <w:p w14:paraId="1A49D48A">
      <w:pPr>
        <w:pStyle w:val="15"/>
        <w:bidi w:val="0"/>
        <w:ind w:left="0" w:leftChars="0" w:firstLine="0" w:firstLineChars="0"/>
        <w:rPr>
          <w:rFonts w:hint="default"/>
          <w:lang w:val="en-US" w:eastAsia="zh-CN"/>
        </w:rPr>
        <w:sectPr>
          <w:pgSz w:w="11906" w:h="16838"/>
          <w:pgMar w:top="1701" w:right="1134" w:bottom="1417" w:left="1701" w:header="851" w:footer="992" w:gutter="0"/>
          <w:pgNumType w:fmt="upperRoman"/>
          <w:cols w:space="425" w:num="1"/>
          <w:docGrid w:type="lines" w:linePitch="312" w:charSpace="0"/>
        </w:sectPr>
      </w:pPr>
      <w:r>
        <w:rPr>
          <w:rFonts w:hint="default"/>
          <w:b/>
          <w:bCs w:val="0"/>
          <w:sz w:val="28"/>
          <w:szCs w:val="28"/>
          <w:lang w:val="en-US" w:eastAsia="zh-CN"/>
        </w:rPr>
        <w:t>Keywords :</w:t>
      </w:r>
      <w:r>
        <w:rPr>
          <w:rFonts w:hint="default"/>
          <w:lang w:val="en-US" w:eastAsia="zh-CN"/>
        </w:rPr>
        <w:t xml:space="preserve"> phishing email detection; machine learning; fusion model; traceback analysis; small and medium-sized enterprises</w:t>
      </w:r>
    </w:p>
    <w:sdt>
      <w:sdtPr>
        <w:rPr>
          <w:rFonts w:ascii="宋体" w:hAnsi="宋体" w:eastAsia="宋体" w:cs="Times New Roman"/>
          <w:kern w:val="2"/>
          <w:sz w:val="21"/>
          <w:szCs w:val="21"/>
          <w:lang w:val="en-US" w:eastAsia="zh-CN" w:bidi="ar-SA"/>
        </w:rPr>
        <w:id w:val="147469935"/>
        <w15:color w:val="DBDBDB"/>
        <w:docPartObj>
          <w:docPartGallery w:val="Table of Contents"/>
          <w:docPartUnique/>
        </w:docPartObj>
      </w:sdtPr>
      <w:sdtEndPr>
        <w:rPr>
          <w:rFonts w:hint="eastAsia" w:ascii="Times New Roman" w:hAnsi="Times New Roman" w:eastAsia="宋体" w:cs="黑体"/>
          <w:bCs/>
          <w:color w:val="000000" w:themeColor="text1"/>
          <w:kern w:val="2"/>
          <w:sz w:val="24"/>
          <w:szCs w:val="28"/>
          <w:lang w:val="en-US" w:eastAsia="zh-CN" w:bidi="ar-SA"/>
        </w:rPr>
      </w:sdtEndPr>
      <w:sdtContent>
        <w:p w14:paraId="7065C38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E34A314">
          <w:pPr>
            <w:pStyle w:val="15"/>
            <w:bidi w:val="0"/>
            <w:ind w:left="0" w:leftChars="0" w:firstLine="0" w:firstLineChars="0"/>
            <w:rPr>
              <w:rFonts w:hint="eastAsia" w:ascii="Times New Roman" w:hAnsi="Times New Roman" w:eastAsia="宋体" w:cs="黑体"/>
              <w:bCs/>
              <w:color w:val="000000" w:themeColor="text1"/>
              <w:kern w:val="2"/>
              <w:sz w:val="24"/>
              <w:szCs w:val="28"/>
              <w:lang w:val="en-US" w:eastAsia="zh-CN" w:bidi="ar-SA"/>
            </w:rPr>
          </w:pPr>
          <w:r>
            <w:rPr>
              <w:rFonts w:hint="eastAsia" w:eastAsia="宋体"/>
              <w:lang w:val="en-US" w:eastAsia="zh-CN"/>
            </w:rPr>
            <w:fldChar w:fldCharType="begin"/>
          </w:r>
          <w:r>
            <w:rPr>
              <w:rFonts w:hint="eastAsia" w:eastAsia="宋体"/>
              <w:lang w:val="en-US" w:eastAsia="zh-CN"/>
            </w:rPr>
            <w:instrText xml:space="preserve">TOC \o "1-1" \h \u </w:instrText>
          </w:r>
          <w:r>
            <w:rPr>
              <w:rFonts w:hint="eastAsia" w:eastAsia="宋体"/>
              <w:lang w:val="en-US" w:eastAsia="zh-CN"/>
            </w:rPr>
            <w:fldChar w:fldCharType="separate"/>
          </w:r>
          <w:r>
            <w:rPr>
              <w:b/>
            </w:rPr>
            <w:t>错误！未找到目录项。</w:t>
          </w:r>
          <w:r>
            <w:rPr>
              <w:rFonts w:hint="eastAsia" w:eastAsia="宋体"/>
              <w:lang w:val="en-US" w:eastAsia="zh-CN"/>
            </w:rPr>
            <w:fldChar w:fldCharType="end"/>
          </w:r>
        </w:p>
      </w:sdtContent>
    </w:sdt>
    <w:p w14:paraId="1F97963F">
      <w:pPr>
        <w:rPr>
          <w:rFonts w:hint="eastAsia" w:ascii="Times New Roman" w:hAnsi="Times New Roman" w:eastAsia="宋体" w:cs="黑体"/>
          <w:bCs/>
          <w:color w:val="000000" w:themeColor="text1"/>
          <w:kern w:val="2"/>
          <w:sz w:val="24"/>
          <w:szCs w:val="28"/>
          <w:lang w:val="en-US" w:eastAsia="zh-CN" w:bidi="ar-SA"/>
        </w:rPr>
      </w:pPr>
      <w:r>
        <w:rPr>
          <w:rFonts w:hint="eastAsia" w:ascii="Times New Roman" w:hAnsi="Times New Roman" w:eastAsia="宋体" w:cs="黑体"/>
          <w:bCs/>
          <w:color w:val="000000" w:themeColor="text1"/>
          <w:kern w:val="2"/>
          <w:sz w:val="24"/>
          <w:szCs w:val="28"/>
          <w:lang w:val="en-US" w:eastAsia="zh-CN" w:bidi="ar-SA"/>
        </w:rPr>
        <w:br w:type="page"/>
      </w:r>
    </w:p>
    <w:p w14:paraId="15067B2C">
      <w:pPr>
        <w:pStyle w:val="2"/>
        <w:numPr>
          <w:ilvl w:val="0"/>
          <w:numId w:val="1"/>
        </w:numPr>
        <w:bidi w:val="0"/>
        <w:rPr>
          <w:rFonts w:hint="default"/>
        </w:rPr>
      </w:pPr>
      <w:r>
        <w:rPr>
          <w:rFonts w:hint="default"/>
        </w:rPr>
        <w:t>绪论</w:t>
      </w:r>
    </w:p>
    <w:p w14:paraId="6996C9EC">
      <w:pPr>
        <w:pStyle w:val="3"/>
        <w:bidi w:val="0"/>
        <w:rPr>
          <w:rFonts w:hint="default"/>
          <w:lang w:val="en-US" w:eastAsia="zh-CN"/>
        </w:rPr>
      </w:pPr>
      <w:r>
        <w:rPr>
          <w:rFonts w:hint="default"/>
        </w:rPr>
        <w:t>1.1 研究背景与意义</w:t>
      </w:r>
    </w:p>
    <w:p w14:paraId="7AD0CA02">
      <w:pPr>
        <w:pStyle w:val="4"/>
        <w:bidi w:val="0"/>
        <w:rPr>
          <w:rFonts w:hint="default"/>
        </w:rPr>
      </w:pPr>
      <w:r>
        <w:rPr>
          <w:rFonts w:hint="default"/>
        </w:rPr>
        <w:t>1.1.1 网络安全现状与钓鱼邮件威胁</w:t>
      </w:r>
    </w:p>
    <w:p w14:paraId="1C457D93">
      <w:pPr>
        <w:pStyle w:val="16"/>
        <w:bidi w:val="0"/>
        <w:rPr>
          <w:rFonts w:hint="default"/>
        </w:rPr>
      </w:pPr>
      <w:r>
        <w:rPr>
          <w:rFonts w:hint="default"/>
        </w:rPr>
        <w:t>随着云计算、物联网、移动办公等技术的快速发展，网络攻击手段日益复杂化、多样化，网络安全威胁已成为制约企业数字化转型的重要因素。根据 Verizon 公司发布的《2024年数据泄露调查报告》（Data Breach Investigations Report, DBIR）显示，钓鱼邮件仍是导致数据泄露的主要原因攻击向量，占比高达32.3%，相较于上一年度呈现显著上升趋势。更为严峻的是，据统计超过90%的网络攻击始于钓鱼邮件，攻击者通过伪造可信来源、构造社会工程学话术等手段，诱骗受害者点击恶意链接或下载带毒附件，从而实现凭证窃取、横向渗透、数据勒索等恶意目的。</w:t>
      </w:r>
    </w:p>
    <w:p w14:paraId="0408386C">
      <w:pPr>
        <w:pStyle w:val="16"/>
        <w:bidi w:val="0"/>
        <w:rPr>
          <w:rFonts w:hint="default"/>
        </w:rPr>
      </w:pPr>
      <w:r>
        <w:rPr>
          <w:rFonts w:hint="default"/>
        </w:rPr>
        <w:t>从攻击形式来看，钓鱼邮件已从早期简单的垃圾邮件演变为高度定制化的定向攻击。鱼叉式钓鱼（Spear Phishing）针对特定目标精心构造邮件内容，成功率可达60%以上；商务邮件 compromise（BEC）攻击伪装成企业高管或合作伙伴，2024年上半年造成的全球经济损失已超过60亿美元。此外，随着大语言模型（LLM）技术的快速发展，攻击者可利用AI批量生成语法规范、内容逼真的钓鱼邮件，极大降低了攻击门槛，提升了检测难度。</w:t>
      </w:r>
    </w:p>
    <w:p w14:paraId="1968C312">
      <w:pPr>
        <w:pStyle w:val="16"/>
        <w:bidi w:val="0"/>
        <w:rPr>
          <w:rFonts w:hint="default"/>
        </w:rPr>
      </w:pPr>
      <w:r>
        <w:rPr>
          <w:rFonts w:hint="default"/>
        </w:rPr>
        <w:t>在攻击目标选择方面，中小型企业正逐渐成为网络攻击者的首选目标。这一现象的形成有多方面原因：首先，中小企业通常掌握着上下游大型企业的商业信息或供应链数据，攻击其可间接获取高价值资源；其次，中小企业的安全防护能力普遍薄弱，缺乏专业的安全运维人员和完善的安全管理制度，成为攻击者突破大企业防线的“软柿子”；最后，相较于大型企业，中小企业更倾向于使用个人邮箱或老旧的邮件系统，为攻击者提供了更多可乘之机。</w:t>
      </w:r>
      <w:bookmarkStart w:id="1" w:name="_GoBack"/>
      <w:bookmarkEnd w:id="1"/>
    </w:p>
    <w:p w14:paraId="156A9842">
      <w:pPr>
        <w:pStyle w:val="4"/>
        <w:bidi w:val="0"/>
        <w:rPr>
          <w:rFonts w:hint="default"/>
          <w:lang w:val="en-US" w:eastAsia="zh-CN"/>
        </w:rPr>
      </w:pPr>
      <w:r>
        <w:rPr>
          <w:rFonts w:hint="default"/>
          <w:lang w:val="en-US" w:eastAsia="zh-CN"/>
        </w:rPr>
        <w:t>1.1.2 中小企业邮件安全面临的挑战</w:t>
      </w:r>
    </w:p>
    <w:p w14:paraId="2E91921E">
      <w:pPr>
        <w:pStyle w:val="16"/>
        <w:bidi w:val="0"/>
        <w:rPr>
          <w:rFonts w:hint="default"/>
          <w:lang w:val="en-US" w:eastAsia="zh-CN"/>
        </w:rPr>
      </w:pPr>
      <w:r>
        <w:rPr>
          <w:rFonts w:hint="default"/>
          <w:lang w:val="en-US" w:eastAsia="zh-CN"/>
        </w:rPr>
        <w:t>当前，中小企业在邮件安全领域面临着前所未有的严峻挑战，主要体现在资金、技术、人才三个核心层面。</w:t>
      </w:r>
    </w:p>
    <w:p w14:paraId="2C9B32B6">
      <w:pPr>
        <w:pStyle w:val="16"/>
        <w:bidi w:val="0"/>
        <w:rPr>
          <w:rFonts w:hint="default"/>
          <w:lang w:val="en-US" w:eastAsia="zh-CN"/>
        </w:rPr>
      </w:pPr>
      <w:r>
        <w:rPr>
          <w:rFonts w:hint="default"/>
          <w:lang w:val="en-US" w:eastAsia="zh-CN"/>
        </w:rPr>
        <w:t>从资金层面而言，商业邮件安全解决方案的价格往往令中小企业望而却步。以国际市场主流的邮件安全网关为例，单用户年度授权费用通常在50至200美元之间，对于拥有数百名员工的中小企业而言，仅邮件安全一项支出即可能超过年度IT预算的30%。此外，商业解决方案通常需要配套的专业运维服务和硬件基础设施，进一步推高了总体拥有成本（Total Cost of Ownership, TCO）。在国内市场，钉钉、企业微信等办公协作平台的企业版邮件安全附加服务同样价格不菲，中小企业难以承担。</w:t>
      </w:r>
    </w:p>
    <w:p w14:paraId="53B9D52E">
      <w:pPr>
        <w:pStyle w:val="16"/>
        <w:bidi w:val="0"/>
        <w:rPr>
          <w:rFonts w:hint="default"/>
          <w:lang w:val="en-US" w:eastAsia="zh-CN"/>
        </w:rPr>
      </w:pPr>
      <w:r>
        <w:rPr>
          <w:rFonts w:hint="default"/>
          <w:lang w:val="en-US" w:eastAsia="zh-CN"/>
        </w:rPr>
        <w:t>从技术层面而言，邮件安全防护涉及复杂的协议理解、特征分析和行为检测等技术栈。SPF、DKIM、DMARC 等邮件认证协议的正确配置需要专业的 DNS 知识；钓鱼邮件的特征提取和模式识别需要机器学习和自然语言处理技术储备；恶意附件的沙箱动态分析需要虚拟化和行为监控能力。这些技术要求对于缺乏专业安全团队的中小企业而言，无疑是难以逾越的鸿沟。同时，随着攻击技术的不断演进，传统的基于特征码或黑名单的检测方法已难以应对零日钓鱼攻击和加密通道内的恶意流量，中小企业更无力投入资源进行前沿安全技术的研发。</w:t>
      </w:r>
    </w:p>
    <w:p w14:paraId="2757F8F7">
      <w:pPr>
        <w:pStyle w:val="16"/>
        <w:bidi w:val="0"/>
        <w:rPr>
          <w:rFonts w:hint="default"/>
          <w:lang w:val="en-US" w:eastAsia="zh-CN"/>
        </w:rPr>
      </w:pPr>
      <w:r>
        <w:rPr>
          <w:rFonts w:hint="default"/>
          <w:lang w:val="en-US" w:eastAsia="zh-CN"/>
        </w:rPr>
        <w:t>从人才层面而言，网络安全人才短缺已成为全球性问题。根据 ISC² 国际信息系统安全认证联盟的调查数据显示，2024年全球网络安全人才缺口已达400万人，而合格的安全人才普遍倾向于选择薪酬待遇优厚、职业发展前景广阔的大型企业和专业安全公司。中小型企业由于品牌吸引力不足、薪酬竞争力有限，很难招募到具备邮件安全专业技能的安全工程师，导致安全防护工作只能由缺乏专业背景的 IT 运维人员兼任，安全防护效果大打折扣。</w:t>
      </w:r>
    </w:p>
    <w:p w14:paraId="432477F8">
      <w:pPr>
        <w:pStyle w:val="4"/>
        <w:bidi w:val="0"/>
        <w:rPr>
          <w:rFonts w:hint="default"/>
          <w:lang w:val="en-US" w:eastAsia="zh-CN"/>
        </w:rPr>
      </w:pPr>
      <w:r>
        <w:rPr>
          <w:rFonts w:hint="default"/>
          <w:lang w:val="en-US" w:eastAsia="zh-CN"/>
        </w:rPr>
        <w:t>1.1.3 研究意义</w:t>
      </w:r>
    </w:p>
    <w:p w14:paraId="137CB915">
      <w:pPr>
        <w:pStyle w:val="16"/>
        <w:bidi w:val="0"/>
        <w:rPr>
          <w:rFonts w:hint="default"/>
          <w:lang w:val="en-US" w:eastAsia="zh-CN"/>
        </w:rPr>
      </w:pPr>
      <w:r>
        <w:rPr>
          <w:rFonts w:hint="default"/>
          <w:lang w:val="en-US" w:eastAsia="zh-CN"/>
        </w:rPr>
        <w:t>针对上述挑战，本研究具有重要的理论价值和实际应用意义。</w:t>
      </w:r>
    </w:p>
    <w:p w14:paraId="12669605">
      <w:pPr>
        <w:pStyle w:val="16"/>
        <w:bidi w:val="0"/>
        <w:rPr>
          <w:rFonts w:hint="default"/>
          <w:lang w:val="en-US" w:eastAsia="zh-CN"/>
        </w:rPr>
      </w:pPr>
      <w:r>
        <w:rPr>
          <w:rFonts w:hint="default"/>
          <w:lang w:val="en-US" w:eastAsia="zh-CN"/>
        </w:rPr>
        <w:t>首先，本研究为中小企业提供了轻量化、低成本的钓鱼邮件检测解决方案。不同于价格高昂的商业产品，本系统采用开源技术栈构建，基于 Python 和 Flask 框架开发，选用 SQLite 作为数据存储，机器学习模型文件总大小仅45MB，可成功运行于 2 核 4GB 普通办公硬件环境。这一设计理念大幅降低了邮件安全的准入门槛，使中小企业能够在有限预算内获得可靠的钓鱼邮件检测能力，有效缓解了其资金困境。</w:t>
      </w:r>
    </w:p>
    <w:p w14:paraId="7E19D63D">
      <w:pPr>
        <w:pStyle w:val="16"/>
        <w:bidi w:val="0"/>
        <w:rPr>
          <w:rFonts w:hint="default"/>
          <w:lang w:val="en-US" w:eastAsia="zh-CN"/>
        </w:rPr>
      </w:pPr>
      <w:r>
        <w:rPr>
          <w:rFonts w:hint="default"/>
          <w:lang w:val="en-US" w:eastAsia="zh-CN"/>
        </w:rPr>
        <w:t>其次，本研究填补了学术研究与实际应用之间的空白。现有学术文献中的钓鱼邮件检测研究大多基于公开数据集进行算法验证，所使用的特征维度和检测方法往往脱离实际生产环境的复杂性。本研究紧密结合真实业务场景，综合考虑检测准确率、误报率、响应时延、资源占用等多维指标，提出了包括 Kill Switch 一票否决机制、多模型融合评分、本地优先 IOC 策略等在内的一系列实用化技术方案。这些方案经过实际邮件数据的验证，可直接应用于中小企业的邮件安全防护，具有较强的可操作性。</w:t>
      </w:r>
    </w:p>
    <w:p w14:paraId="71A5355B">
      <w:pPr>
        <w:pStyle w:val="16"/>
        <w:bidi w:val="0"/>
        <w:rPr>
          <w:rFonts w:hint="default"/>
          <w:lang w:val="en-US" w:eastAsia="zh-CN"/>
        </w:rPr>
      </w:pPr>
      <w:r>
        <w:rPr>
          <w:rFonts w:hint="default"/>
          <w:lang w:val="en-US" w:eastAsia="zh-CN"/>
        </w:rPr>
        <w:t>最后，本研究推动了钓鱼邮件检测技术的实用化进程。本系统集成了传统机器学习、有监督深度学习、异常检测、大语言模型语义分析等多种检测手段，并通过加权融合策略实现不同模块的优势互补。实验结果表明，融合模型的 AUC-ROC 指标达到 0.967，相较于单一模型提升约1.5个百分点，验证了多技术融合路线在邮件安全领域的有效性。同时，系统完整实现了五维度溯源分析功能，支持攻击链还原和威胁情报关联，为安全事件的应急响应提供了有力技术支撑。</w:t>
      </w:r>
    </w:p>
    <w:p w14:paraId="05F04B69">
      <w:pPr>
        <w:pStyle w:val="3"/>
        <w:bidi w:val="0"/>
        <w:rPr>
          <w:rFonts w:hint="default"/>
          <w:lang w:val="en-US" w:eastAsia="zh-CN"/>
        </w:rPr>
      </w:pPr>
      <w:r>
        <w:rPr>
          <w:rFonts w:hint="default"/>
          <w:lang w:val="en-US" w:eastAsia="zh-CN"/>
        </w:rPr>
        <w:t>1.2 国内外研究现状</w:t>
      </w:r>
    </w:p>
    <w:p w14:paraId="2680CE32">
      <w:pPr>
        <w:pStyle w:val="4"/>
        <w:bidi w:val="0"/>
        <w:rPr>
          <w:rFonts w:hint="default"/>
          <w:lang w:val="en-US" w:eastAsia="zh-CN"/>
        </w:rPr>
      </w:pPr>
      <w:r>
        <w:rPr>
          <w:rFonts w:hint="default"/>
          <w:lang w:val="en-US" w:eastAsia="zh-CN"/>
        </w:rPr>
        <w:t>1.2.1 传统钓鱼邮件检测方法</w:t>
      </w:r>
    </w:p>
    <w:p w14:paraId="2DF3DDE8">
      <w:pPr>
        <w:pStyle w:val="4"/>
        <w:bidi w:val="0"/>
        <w:rPr>
          <w:rFonts w:hint="default"/>
          <w:lang w:val="en-US" w:eastAsia="zh-CN"/>
        </w:rPr>
      </w:pPr>
      <w:r>
        <w:rPr>
          <w:rFonts w:hint="default"/>
          <w:lang w:val="en-US" w:eastAsia="zh-CN"/>
        </w:rPr>
        <w:t>1.2.2 基于机器学习的检测方法</w:t>
      </w:r>
    </w:p>
    <w:p w14:paraId="78BA29FE">
      <w:pPr>
        <w:pStyle w:val="4"/>
        <w:bidi w:val="0"/>
        <w:rPr>
          <w:rFonts w:hint="default"/>
        </w:rPr>
      </w:pPr>
      <w:r>
        <w:rPr>
          <w:rFonts w:hint="default"/>
        </w:rPr>
        <w:t>1.2.3 现有方法的局限性</w:t>
      </w:r>
    </w:p>
    <w:p w14:paraId="32CC6598">
      <w:pPr>
        <w:pStyle w:val="3"/>
        <w:bidi w:val="0"/>
        <w:rPr>
          <w:rFonts w:hint="default"/>
        </w:rPr>
      </w:pPr>
      <w:r>
        <w:rPr>
          <w:rFonts w:hint="default"/>
        </w:rPr>
        <w:t>1.3 研究目标与内容</w:t>
      </w:r>
    </w:p>
    <w:p w14:paraId="2395884B">
      <w:pPr>
        <w:pStyle w:val="4"/>
        <w:bidi w:val="0"/>
        <w:rPr>
          <w:rFonts w:hint="default"/>
        </w:rPr>
      </w:pPr>
      <w:r>
        <w:rPr>
          <w:rFonts w:hint="default"/>
        </w:rPr>
        <w:t>1.3.1 研究目标</w:t>
      </w:r>
    </w:p>
    <w:p w14:paraId="6987CE50">
      <w:pPr>
        <w:pStyle w:val="4"/>
        <w:bidi w:val="0"/>
        <w:rPr>
          <w:rFonts w:hint="default"/>
        </w:rPr>
      </w:pPr>
      <w:r>
        <w:rPr>
          <w:rFonts w:hint="default"/>
        </w:rPr>
        <w:t>1.3.2 主要研究内容</w:t>
      </w:r>
    </w:p>
    <w:p w14:paraId="4876CC7C">
      <w:pPr>
        <w:pStyle w:val="3"/>
        <w:bidi w:val="0"/>
        <w:rPr>
          <w:rFonts w:hint="eastAsia"/>
          <w:lang w:eastAsia="zh-CN"/>
        </w:rPr>
      </w:pPr>
      <w:r>
        <w:rPr>
          <w:rFonts w:hint="default"/>
        </w:rPr>
        <w:t>1.4 论文组织结构</w:t>
      </w:r>
    </w:p>
    <w:p w14:paraId="44EE716F">
      <w:pPr>
        <w:pStyle w:val="15"/>
        <w:bidi w:val="0"/>
        <w:ind w:left="0" w:leftChars="0" w:firstLine="0" w:firstLineChars="0"/>
        <w:rPr>
          <w:rFonts w:hint="default" w:ascii="黑体" w:hAnsi="黑体" w:eastAsia="黑体" w:cs="黑体"/>
          <w:bCs/>
          <w:color w:val="000000" w:themeColor="text1"/>
          <w:kern w:val="2"/>
          <w:sz w:val="24"/>
          <w:szCs w:val="28"/>
          <w:lang w:val="en-US" w:eastAsia="zh-CN" w:bidi="ar-SA"/>
        </w:rPr>
      </w:pPr>
    </w:p>
    <w:sectPr>
      <w:footerReference r:id="rId4" w:type="default"/>
      <w:pgSz w:w="11906" w:h="16838"/>
      <w:pgMar w:top="1701" w:right="1134" w:bottom="1417" w:left="1701" w:header="851" w:footer="992" w:gutter="0"/>
      <w:pgNumType w:fmt="upperRoma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Calibri Light">
    <w:panose1 w:val="020F0302020204030204"/>
    <w:charset w:val="00"/>
    <w:family w:val="auto"/>
    <w:pitch w:val="default"/>
    <w:sig w:usb0="E4002EFF" w:usb1="C200247B" w:usb2="00000009" w:usb3="00000000" w:csb0="200001FF" w:csb1="00000000"/>
  </w:font>
  <w:font w:name="黑">
    <w:altName w:val="黑体"/>
    <w:panose1 w:val="00000000000000000000"/>
    <w:charset w:val="00"/>
    <w:family w:val="auto"/>
    <w:pitch w:val="default"/>
    <w:sig w:usb0="00000000" w:usb1="00000000" w:usb2="00000000" w:usb3="00000000" w:csb0="00000000" w:csb1="00000000"/>
  </w:font>
  <w:font w:name="new">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Times new Rome">
    <w:altName w:val="FFont-Family"/>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timw">
    <w:altName w:val="FFont-Family"/>
    <w:panose1 w:val="00000000000000000000"/>
    <w:charset w:val="00"/>
    <w:family w:val="auto"/>
    <w:pitch w:val="default"/>
    <w:sig w:usb0="00000000" w:usb1="00000000" w:usb2="00000000" w:usb3="00000000" w:csb0="00000000" w:csb1="00000000"/>
  </w:font>
  <w:font w:name="tim">
    <w:altName w:val="FFont-Family"/>
    <w:panose1 w:val="00000000000000000000"/>
    <w:charset w:val="00"/>
    <w:family w:val="auto"/>
    <w:pitch w:val="default"/>
    <w:sig w:usb0="00000000" w:usb1="00000000" w:usb2="00000000" w:usb3="00000000" w:csb0="00000000" w:csb1="00000000"/>
  </w:font>
  <w:font w:name="time">
    <w:altName w:val="FFont-Family"/>
    <w:panose1 w:val="00000000000000000000"/>
    <w:charset w:val="00"/>
    <w:family w:val="auto"/>
    <w:pitch w:val="default"/>
    <w:sig w:usb0="00000000" w:usb1="00000000" w:usb2="00000000" w:usb3="00000000" w:csb0="00000000" w:csb1="00000000"/>
  </w:font>
  <w:font w:name="宋">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7B218">
    <w:pPr>
      <w:pStyle w:val="7"/>
    </w:pPr>
    <w:r>
      <w:rPr>
        <w:sz w:val="18"/>
      </w:rPr>
      <w:pict>
        <v:shape id="_x0000_s3073" o:spid="_x0000_s3073"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0F58D3F">
                <w:pPr>
                  <w:pStyle w:val="7"/>
                </w:pPr>
                <w:r>
                  <w:fldChar w:fldCharType="begin"/>
                </w:r>
                <w:r>
                  <w:instrText xml:space="preserve"> PAGE  \* MERGEFORMAT </w:instrText>
                </w:r>
                <w:r>
                  <w:fldChar w:fldCharType="separate"/>
                </w:r>
                <w:r>
                  <w:t>2</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B41B0">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CA399C"/>
    <w:multiLevelType w:val="multilevel"/>
    <w:tmpl w:val="A7CA399C"/>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NDg5MWUyZmZkNjhmMzI1NWM0NzAwOGVlZjkzYzY3MTYifQ=="/>
  </w:docVars>
  <w:rsids>
    <w:rsidRoot w:val="00CE0FB7"/>
    <w:rsid w:val="008F433C"/>
    <w:rsid w:val="009E23DC"/>
    <w:rsid w:val="00A429C3"/>
    <w:rsid w:val="00CE0FB7"/>
    <w:rsid w:val="03222CFC"/>
    <w:rsid w:val="04354A1B"/>
    <w:rsid w:val="07B66982"/>
    <w:rsid w:val="081465CD"/>
    <w:rsid w:val="0BED7182"/>
    <w:rsid w:val="0CCD3CE8"/>
    <w:rsid w:val="15171E3E"/>
    <w:rsid w:val="17845DA0"/>
    <w:rsid w:val="195C5947"/>
    <w:rsid w:val="1A431F25"/>
    <w:rsid w:val="21283337"/>
    <w:rsid w:val="21380225"/>
    <w:rsid w:val="25B34D67"/>
    <w:rsid w:val="276F6341"/>
    <w:rsid w:val="28005C30"/>
    <w:rsid w:val="2CBA55C3"/>
    <w:rsid w:val="2E1F60AD"/>
    <w:rsid w:val="2E3D56EB"/>
    <w:rsid w:val="2EB2312B"/>
    <w:rsid w:val="2F981BC4"/>
    <w:rsid w:val="33093FF2"/>
    <w:rsid w:val="348722BC"/>
    <w:rsid w:val="35153BB4"/>
    <w:rsid w:val="38BC19A2"/>
    <w:rsid w:val="3CC571DC"/>
    <w:rsid w:val="40562A1D"/>
    <w:rsid w:val="43FA3C0F"/>
    <w:rsid w:val="44BE6C7B"/>
    <w:rsid w:val="462A00B0"/>
    <w:rsid w:val="466A6574"/>
    <w:rsid w:val="4E400EEF"/>
    <w:rsid w:val="50CF3D2E"/>
    <w:rsid w:val="51AD3DBE"/>
    <w:rsid w:val="537B5D88"/>
    <w:rsid w:val="57E035B9"/>
    <w:rsid w:val="59754CD5"/>
    <w:rsid w:val="5AAD0254"/>
    <w:rsid w:val="5D99669E"/>
    <w:rsid w:val="62A0794C"/>
    <w:rsid w:val="67703441"/>
    <w:rsid w:val="68C34FEC"/>
    <w:rsid w:val="69293A97"/>
    <w:rsid w:val="6BAC4F3F"/>
    <w:rsid w:val="6FF46638"/>
    <w:rsid w:val="711C2B67"/>
    <w:rsid w:val="75A0047D"/>
    <w:rsid w:val="7A096743"/>
    <w:rsid w:val="7E6913D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440" w:lineRule="exact"/>
      <w:ind w:firstLine="0" w:firstLineChars="0"/>
      <w:outlineLvl w:val="0"/>
    </w:pPr>
    <w:rPr>
      <w:rFonts w:eastAsia="黑体"/>
      <w:b/>
      <w:kern w:val="44"/>
      <w:sz w:val="28"/>
    </w:rPr>
  </w:style>
  <w:style w:type="paragraph" w:styleId="3">
    <w:name w:val="heading 2"/>
    <w:basedOn w:val="1"/>
    <w:next w:val="1"/>
    <w:unhideWhenUsed/>
    <w:qFormat/>
    <w:uiPriority w:val="0"/>
    <w:pPr>
      <w:spacing w:before="0" w:beforeAutospacing="1" w:after="0" w:afterAutospacing="1" w:line="440" w:lineRule="exact"/>
      <w:ind w:firstLine="480" w:firstLineChars="200"/>
      <w:jc w:val="left"/>
      <w:outlineLvl w:val="1"/>
    </w:pPr>
    <w:rPr>
      <w:rFonts w:cs="宋体"/>
      <w:b/>
      <w:bCs/>
      <w:kern w:val="0"/>
      <w:sz w:val="28"/>
      <w:szCs w:val="36"/>
      <w:lang w:bidi="ar"/>
    </w:rPr>
  </w:style>
  <w:style w:type="paragraph" w:styleId="4">
    <w:name w:val="heading 3"/>
    <w:basedOn w:val="1"/>
    <w:next w:val="1"/>
    <w:unhideWhenUsed/>
    <w:qFormat/>
    <w:uiPriority w:val="0"/>
    <w:pPr>
      <w:spacing w:before="0" w:beforeAutospacing="1" w:after="0" w:afterAutospacing="1" w:line="440" w:lineRule="exact"/>
      <w:ind w:firstLine="480" w:firstLineChars="200"/>
      <w:jc w:val="left"/>
      <w:outlineLvl w:val="2"/>
    </w:pPr>
    <w:rPr>
      <w:rFonts w:cs="宋体"/>
      <w:bCs/>
      <w:kern w:val="0"/>
      <w:szCs w:val="27"/>
      <w:lang w:bidi="ar"/>
    </w:rPr>
  </w:style>
  <w:style w:type="paragraph" w:styleId="5">
    <w:name w:val="heading 4"/>
    <w:basedOn w:val="1"/>
    <w:next w:val="1"/>
    <w:semiHidden/>
    <w:unhideWhenUsed/>
    <w:qFormat/>
    <w:uiPriority w:val="0"/>
    <w:pPr>
      <w:keepNext/>
      <w:keepLines/>
      <w:spacing w:beforeLines="0" w:beforeAutospacing="0" w:afterLines="0" w:afterAutospacing="0" w:line="440" w:lineRule="exact"/>
      <w:ind w:firstLine="480" w:firstLineChars="200"/>
      <w:outlineLvl w:val="3"/>
    </w:pPr>
    <w:rPr>
      <w:rFonts w:ascii="Arial" w:hAnsi="Arial"/>
      <w:sz w:val="24"/>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1"/>
    <w:uiPriority w:val="0"/>
    <w:rPr>
      <w:sz w:val="18"/>
      <w:szCs w:val="18"/>
    </w:rPr>
  </w:style>
  <w:style w:type="paragraph" w:styleId="7">
    <w:name w:val="footer"/>
    <w:basedOn w:val="1"/>
    <w:link w:val="13"/>
    <w:uiPriority w:val="0"/>
    <w:pPr>
      <w:tabs>
        <w:tab w:val="center" w:pos="4153"/>
        <w:tab w:val="right" w:pos="8306"/>
      </w:tabs>
      <w:snapToGrid w:val="0"/>
      <w:jc w:val="left"/>
    </w:pPr>
    <w:rPr>
      <w:sz w:val="18"/>
      <w:szCs w:val="18"/>
    </w:rPr>
  </w:style>
  <w:style w:type="paragraph" w:styleId="8">
    <w:name w:val="header"/>
    <w:basedOn w:val="1"/>
    <w:link w:val="12"/>
    <w:uiPriority w:val="0"/>
    <w:pPr>
      <w:pBdr>
        <w:bottom w:val="single" w:color="auto" w:sz="6" w:space="1"/>
      </w:pBdr>
      <w:tabs>
        <w:tab w:val="center" w:pos="4153"/>
        <w:tab w:val="right" w:pos="8306"/>
      </w:tabs>
      <w:snapToGrid w:val="0"/>
      <w:jc w:val="center"/>
    </w:pPr>
    <w:rPr>
      <w:sz w:val="18"/>
      <w:szCs w:val="18"/>
    </w:rPr>
  </w:style>
  <w:style w:type="character" w:customStyle="1" w:styleId="11">
    <w:name w:val="批注框文本 Char"/>
    <w:basedOn w:val="10"/>
    <w:link w:val="6"/>
    <w:uiPriority w:val="0"/>
    <w:rPr>
      <w:rFonts w:ascii="Times New Roman" w:hAnsi="Times New Roman" w:eastAsia="宋体" w:cs="Times New Roman"/>
      <w:kern w:val="2"/>
      <w:sz w:val="18"/>
      <w:szCs w:val="18"/>
    </w:rPr>
  </w:style>
  <w:style w:type="character" w:customStyle="1" w:styleId="12">
    <w:name w:val="页眉 Char"/>
    <w:basedOn w:val="10"/>
    <w:link w:val="8"/>
    <w:uiPriority w:val="0"/>
    <w:rPr>
      <w:rFonts w:ascii="Times New Roman" w:hAnsi="Times New Roman" w:eastAsia="宋体" w:cs="Times New Roman"/>
      <w:kern w:val="2"/>
      <w:sz w:val="18"/>
      <w:szCs w:val="18"/>
    </w:rPr>
  </w:style>
  <w:style w:type="character" w:customStyle="1" w:styleId="13">
    <w:name w:val="页脚 Char"/>
    <w:basedOn w:val="10"/>
    <w:link w:val="7"/>
    <w:uiPriority w:val="0"/>
    <w:rPr>
      <w:rFonts w:ascii="Times New Roman" w:hAnsi="Times New Roman" w:eastAsia="宋体" w:cs="Times New Roman"/>
      <w:kern w:val="2"/>
      <w:sz w:val="18"/>
      <w:szCs w:val="18"/>
    </w:rPr>
  </w:style>
  <w:style w:type="paragraph" w:customStyle="1" w:styleId="14">
    <w:name w:val="摘要标题"/>
    <w:basedOn w:val="1"/>
    <w:uiPriority w:val="0"/>
    <w:pPr>
      <w:spacing w:line="440" w:lineRule="exact"/>
      <w:ind w:firstLine="0" w:firstLineChars="0"/>
      <w:jc w:val="center"/>
    </w:pPr>
    <w:rPr>
      <w:rFonts w:hint="eastAsia" w:ascii="黑体" w:hAnsi="黑体" w:eastAsia="黑体" w:cs="黑体"/>
      <w:b/>
      <w:bCs/>
      <w:color w:val="000000" w:themeColor="text1"/>
      <w:sz w:val="28"/>
      <w:szCs w:val="28"/>
    </w:rPr>
  </w:style>
  <w:style w:type="paragraph" w:customStyle="1" w:styleId="15">
    <w:name w:val="摘要正文"/>
    <w:basedOn w:val="1"/>
    <w:uiPriority w:val="0"/>
    <w:pPr>
      <w:spacing w:line="440" w:lineRule="exact"/>
      <w:ind w:firstLine="480" w:firstLineChars="200"/>
      <w:jc w:val="both"/>
    </w:pPr>
    <w:rPr>
      <w:rFonts w:cs="黑体"/>
      <w:bCs/>
      <w:color w:val="000000" w:themeColor="text1"/>
      <w:szCs w:val="28"/>
    </w:rPr>
  </w:style>
  <w:style w:type="paragraph" w:customStyle="1" w:styleId="16">
    <w:name w:val="论文正文"/>
    <w:basedOn w:val="1"/>
    <w:uiPriority w:val="0"/>
    <w:pPr>
      <w:spacing w:line="440" w:lineRule="exact"/>
      <w:ind w:firstLine="480" w:firstLineChars="200"/>
    </w:pPr>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3"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33</Words>
  <Characters>33</Characters>
  <Lines>1</Lines>
  <Paragraphs>1</Paragraphs>
  <TotalTime>3</TotalTime>
  <ScaleCrop>false</ScaleCrop>
  <LinksUpToDate>false</LinksUpToDate>
  <CharactersWithSpaces>57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2023-10-20T01:12:00Z</dcterms:created>
  <dc:creator>Administrator</dc:creator>
  <cp:lastModifiedBy>陌晨.</cp:lastModifiedBy>
  <dcterms:modified xsi:type="dcterms:W3CDTF">2026-04-24T12:15:37Z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CF9FD0FA18DF405AA83A00532D9796F7_12</vt:lpwstr>
  </property>
  <property fmtid="{D5CDD505-2E9C-101B-9397-08002B2CF9AE}" pid="4" name="KSOTemplateDocerSaveRecord">
    <vt:lpwstr>eyJoZGlkIjoiNzFmNWI5YzY5MTViY2ZhN2ViYjQxOWZhMjg3ODI3NjAiLCJ1c2VySWQiOiI3OTM2MzY0MjMifQ==</vt:lpwstr>
  </property>
</Properties>
</file>