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200"/>
        <w:jc w:val="center"/>
      </w:pPr>
      <w:r>
        <w:rPr>
          <w:rFonts w:ascii="Arial" w:cs="Arial" w:eastAsia="Arial" w:hAnsi="Arial"/>
          <w:b/>
          <w:bCs/>
          <w:sz w:val="30"/>
          <w:szCs w:val="30"/>
        </w:rPr>
        <w:t xml:space="preserve">An Open-Source Interactive Decision-Support Tool for Costing the Neglected Tropical Disease Endgame: Development, Methodology, and Application in Five African Countries</w:t>
      </w:r>
    </w:p>
    <w:p>
      <w:pPr>
        <w:spacing w:before="0" w:after="80"/>
      </w:pPr>
      <w:r>
        <w:t xml:space="preserve"/>
      </w:r>
    </w:p>
    <w:p>
      <w:pPr>
        <w:spacing w:before="0" w:after="120"/>
        <w:jc w:val="center"/>
      </w:pPr>
      <w:r>
        <w:rPr>
          <w:rFonts w:ascii="Arial" w:cs="Arial" w:eastAsia="Arial" w:hAnsi="Arial"/>
          <w:i/>
          <w:iCs/>
          <w:sz w:val="22"/>
          <w:szCs w:val="22"/>
        </w:rPr>
        <w:t xml:space="preserve">[Author 1]¹, [Author 2]², [Author 3]³</w:t>
      </w:r>
    </w:p>
    <w:p>
      <w:pPr>
        <w:spacing w:before="0" w:after="120"/>
        <w:jc w:val="center"/>
      </w:pPr>
      <w:r>
        <w:rPr>
          <w:rFonts w:ascii="Arial" w:cs="Arial" w:eastAsia="Arial" w:hAnsi="Arial"/>
          <w:sz w:val="20"/>
          <w:szCs w:val="20"/>
        </w:rPr>
        <w:t xml:space="preserve">¹ [Institution 1, City, Country]</w:t>
      </w:r>
    </w:p>
    <w:p>
      <w:pPr>
        <w:spacing w:before="0" w:after="120"/>
        <w:jc w:val="center"/>
      </w:pPr>
      <w:r>
        <w:rPr>
          <w:rFonts w:ascii="Arial" w:cs="Arial" w:eastAsia="Arial" w:hAnsi="Arial"/>
          <w:sz w:val="20"/>
          <w:szCs w:val="20"/>
        </w:rPr>
        <w:t xml:space="preserve">² [Institution 2, City, Country]</w:t>
      </w:r>
    </w:p>
    <w:p>
      <w:pPr>
        <w:spacing w:before="0" w:after="240"/>
        <w:jc w:val="center"/>
      </w:pPr>
      <w:r>
        <w:rPr>
          <w:rFonts w:ascii="Arial" w:cs="Arial" w:eastAsia="Arial" w:hAnsi="Arial"/>
          <w:sz w:val="20"/>
          <w:szCs w:val="20"/>
        </w:rPr>
        <w:t xml:space="preserve">³ [Institution 3, City, Country]</w:t>
      </w:r>
    </w:p>
    <w:p>
      <w:pPr>
        <w:spacing w:before="0" w:after="80"/>
        <w:jc w:val="center"/>
      </w:pPr>
      <w:r>
        <w:rPr>
          <w:rFonts w:ascii="Arial" w:cs="Arial" w:eastAsia="Arial" w:hAnsi="Arial"/>
          <w:i/>
          <w:iCs/>
          <w:sz w:val="20"/>
          <w:szCs w:val="20"/>
        </w:rPr>
        <w:t xml:space="preserve">* Corresponding author: [email address]</w:t>
      </w:r>
    </w:p>
    <w:p>
      <w:pPr>
        <w:spacing w:before="0" w:after="80"/>
      </w:pPr>
      <w:r>
        <w:t xml:space="preserve"/>
      </w:r>
    </w:p>
    <w:p>
      <w:pPr>
        <w:spacing w:before="240" w:after="120"/>
      </w:pPr>
      <w:r>
        <w:rPr>
          <w:rFonts w:ascii="Arial" w:cs="Arial" w:eastAsia="Arial" w:hAnsi="Arial"/>
          <w:b/>
          <w:bCs/>
          <w:sz w:val="26"/>
          <w:szCs w:val="26"/>
        </w:rPr>
        <w:t xml:space="preserve">Abstract</w:t>
      </w:r>
    </w:p>
    <w:p>
      <w:pPr>
        <w:spacing w:before="200" w:after="100"/>
      </w:pPr>
      <w:r>
        <w:rPr>
          <w:rFonts w:ascii="Arial" w:cs="Arial" w:eastAsia="Arial" w:hAnsi="Arial"/>
          <w:b/>
          <w:bCs/>
          <w:i/>
          <w:iCs/>
          <w:sz w:val="22"/>
          <w:szCs w:val="22"/>
        </w:rPr>
        <w:t xml:space="preserve">Background</w:t>
      </w:r>
    </w:p>
    <w:p>
      <w:pPr>
        <w:spacing w:before="0" w:after="180" w:line="360" w:lineRule="auto"/>
        <w:jc w:val="both"/>
      </w:pPr>
      <w:r>
        <w:rPr>
          <w:rFonts w:ascii="Arial" w:cs="Arial" w:eastAsia="Arial" w:hAnsi="Arial"/>
          <w:sz w:val="22"/>
          <w:szCs w:val="22"/>
        </w:rPr>
        <w:t xml:space="preserve">Achieving the 2030 World Health Organization (WHO) neglected tropical disease (NTD) roadmap targets requires sustained investment and robust economic evidence to guide resource allocation across endemic countries. Existing costing frameworks are largely static, disease-specific, or inaccessible to non-specialist program staff. We developed and deployed an open-source, interactive decision-support tool to fill this gap, providing real-time economic analysis of NTD elimination programs at multiple administrative scales.</w:t>
      </w:r>
    </w:p>
    <w:p>
      <w:pPr>
        <w:spacing w:before="200" w:after="100"/>
      </w:pPr>
      <w:r>
        <w:rPr>
          <w:rFonts w:ascii="Arial" w:cs="Arial" w:eastAsia="Arial" w:hAnsi="Arial"/>
          <w:b/>
          <w:bCs/>
          <w:i/>
          <w:iCs/>
          <w:sz w:val="22"/>
          <w:szCs w:val="22"/>
        </w:rPr>
        <w:t xml:space="preserve">Methodology/Principal Findings</w:t>
      </w:r>
    </w:p>
    <w:p>
      <w:pPr>
        <w:spacing w:before="0" w:after="180" w:line="360" w:lineRule="auto"/>
        <w:jc w:val="both"/>
      </w:pPr>
      <w:r>
        <w:rPr>
          <w:rFonts w:ascii="Arial" w:cs="Arial" w:eastAsia="Arial" w:hAnsi="Arial"/>
          <w:sz w:val="22"/>
          <w:szCs w:val="22"/>
        </w:rPr>
        <w:t xml:space="preserve">We built a Streamlit-based Python application integrating (i) ESPEN surveillance data for lymphatic filariasis (LF) and onchocerciasis across 47 sub-Saharan African countries, (ii) WHO-CHOICE and World Bank economic parameters disaggregated by country, and (iii) probabilistic sensitivity analyses using Monte Carlo simulation (n=1,000 iterations) with gamma and log-normal distributions for key epidemiological and economic parameters. The tool computes mass drug administration (MDA) program costs, health sector utilization costs, disease-attributable disability-adjusted life years (DALYs), productivity losses, and incremental cost-effectiveness ratios (ICERs) across counterfactual (no-MDA) and MDA scenarios at national, sub-national, and implementing unit levels. Inequality-adjusted productivity estimates using the income share of the bottom wealth quintile are incorporated to reflect the socioeconomic gradient of NTD burden. Cost-effectiveness thresholds are derived using the Woods et al. elasticity approach rather than the contested GDP multiplier convention. The tool has been deployed on Hugging Face Spaces and is freely available on GitHub [URL]. It has been applied in five countries across sub-Saharan Africa to support national NTD program planning and donor reporting.</w:t>
      </w:r>
    </w:p>
    <w:p>
      <w:pPr>
        <w:spacing w:before="200" w:after="100"/>
      </w:pPr>
      <w:r>
        <w:rPr>
          <w:rFonts w:ascii="Arial" w:cs="Arial" w:eastAsia="Arial" w:hAnsi="Arial"/>
          <w:b/>
          <w:bCs/>
          <w:i/>
          <w:iCs/>
          <w:sz w:val="22"/>
          <w:szCs w:val="22"/>
        </w:rPr>
        <w:t xml:space="preserve">Conclusions/Significance</w:t>
      </w:r>
    </w:p>
    <w:p>
      <w:pPr>
        <w:spacing w:before="0" w:after="180" w:line="360" w:lineRule="auto"/>
        <w:jc w:val="both"/>
      </w:pPr>
      <w:r>
        <w:rPr>
          <w:rFonts w:ascii="Arial" w:cs="Arial" w:eastAsia="Arial" w:hAnsi="Arial"/>
          <w:sz w:val="22"/>
          <w:szCs w:val="22"/>
        </w:rPr>
        <w:t xml:space="preserve">This open-source tool bridges the gap between NTD epidemiological surveillance and health economic evaluation, enabling country program managers and policymakers to generate contextualised economic evidence without specialist modeling expertise. Its modular, extensible architecture supports the broader WHO NTD portfolio as additional disease modules are developed. The tool represents a practical contribution to the NTD endgame by making economic analysis accessible at the point of programmatic decision-making.</w:t>
      </w:r>
    </w:p>
    <w:p>
      <w:pPr>
        <w:spacing w:before="0" w:after="80"/>
      </w:pPr>
      <w:r>
        <w:t xml:space="preserve"/>
      </w:r>
    </w:p>
    <w:p>
      <w:pPr>
        <w:spacing w:before="240" w:after="120"/>
      </w:pPr>
      <w:r>
        <w:rPr>
          <w:rFonts w:ascii="Arial" w:cs="Arial" w:eastAsia="Arial" w:hAnsi="Arial"/>
          <w:b/>
          <w:bCs/>
          <w:sz w:val="26"/>
          <w:szCs w:val="26"/>
        </w:rPr>
        <w:t xml:space="preserve">Author Summary</w:t>
      </w:r>
    </w:p>
    <w:p>
      <w:pPr>
        <w:spacing w:before="0" w:after="180" w:line="360" w:lineRule="auto"/>
        <w:jc w:val="both"/>
      </w:pPr>
      <w:r>
        <w:rPr>
          <w:rFonts w:ascii="Arial" w:cs="Arial" w:eastAsia="Arial" w:hAnsi="Arial"/>
          <w:sz w:val="22"/>
          <w:szCs w:val="22"/>
        </w:rPr>
        <w:t xml:space="preserve">Neglected tropical diseases affect more than one billion people globally, yet policymakers often lack the economic evidence needed to make the case for sustained investment in elimination programs. Answering the question "how much does it cost to achieve elimination, and is it worth it?" requires integrating epidemiological data, health system costs, and economic parameters in ways that are currently out of reach for most country program teams. We built a free, interactive web application that does this automatically. A program manager selects their country and administrative level, and the tool populates default data from international surveillance and economic databases, runs thousands of simulations to account for uncertainty, and produces cost-effectiveness outputs that can be used in funding proposals, budget advocacy, and program planning. The tool has already been used by NTD programs in five African countries. By making rigorous economic analysis accessible to non-economists, we hope to strengthen the investment case for reaching the 2030 NTD elimination targets.</w:t>
      </w:r>
    </w:p>
    <w:p>
      <w:pPr>
        <w:spacing w:before="0" w:after="80"/>
      </w:pPr>
      <w:r>
        <w:t xml:space="preserve"/>
      </w:r>
    </w:p>
    <w:p>
      <w:pPr>
        <w:pStyle w:val="Heading1"/>
        <w:spacing w:before="320" w:after="160"/>
      </w:pPr>
      <w:r>
        <w:rPr>
          <w:rFonts w:ascii="Arial" w:cs="Arial" w:eastAsia="Arial" w:hAnsi="Arial"/>
          <w:b/>
          <w:bCs/>
          <w:sz w:val="28"/>
          <w:szCs w:val="28"/>
        </w:rPr>
        <w:t xml:space="preserve">Introduction</w:t>
      </w:r>
    </w:p>
    <w:p>
      <w:pPr>
        <w:spacing w:before="0" w:after="180" w:line="360" w:lineRule="auto"/>
        <w:jc w:val="both"/>
      </w:pPr>
      <w:r>
        <w:rPr>
          <w:rFonts w:ascii="Arial" w:cs="Arial" w:eastAsia="Arial" w:hAnsi="Arial"/>
          <w:sz w:val="22"/>
          <w:szCs w:val="22"/>
        </w:rPr>
        <w:t xml:space="preserve">The WHO 2021–2030 roadmap for neglected tropical diseases establishes elimination or eradication targets for 20 diseases affecting more than one billion people living in conditions of poverty [1]. Lymphatic filariasis (LF) and onchocerciasis together account for an estimated 5.1 million disability-adjusted life years annually and impose substantial economic losses through chronic morbidity, reduced productivity, and high health system utilization costs [2,3]. Both diseases are amenable to elimination through mass drug administration (MDA), and global programs have made considerable progress: as of 2022, 17 countries had eliminated LF as a public health problem and onchocerciasis transmission had been interrupted in Colombia, Ecuador, Mexico, and Guatemala [4,5].</w:t>
      </w:r>
    </w:p>
    <w:p>
      <w:pPr>
        <w:spacing w:before="0" w:after="180" w:line="360" w:lineRule="auto"/>
        <w:jc w:val="both"/>
      </w:pPr>
      <w:r>
        <w:rPr>
          <w:rFonts w:ascii="Arial" w:cs="Arial" w:eastAsia="Arial" w:hAnsi="Arial"/>
          <w:sz w:val="22"/>
          <w:szCs w:val="22"/>
        </w:rPr>
        <w:t xml:space="preserve">Despite this progress, the endgame remains challenging. Reaching the last implementing units requires sustained programmatic investment, often in resource-constrained settings with competing health priorities. Economic evidence is central to maintaining political will and donor commitment through this final phase [6]. Yet the tools available for generating such evidence are largely inaccessible to the country program managers who need them most. Existing NTD costing frameworks are typically static spreadsheet-based models that require specialist economic modeling expertise, are disease-specific rather than portfolio-oriented, and lack the interactivity needed for scenario exploration at multiple administrative levels [7,8].</w:t>
      </w:r>
    </w:p>
    <w:p>
      <w:pPr>
        <w:spacing w:before="0" w:after="180" w:line="360" w:lineRule="auto"/>
        <w:jc w:val="both"/>
      </w:pPr>
      <w:r>
        <w:rPr>
          <w:rFonts w:ascii="Arial" w:cs="Arial" w:eastAsia="Arial" w:hAnsi="Arial"/>
          <w:sz w:val="22"/>
          <w:szCs w:val="22"/>
        </w:rPr>
        <w:t xml:space="preserve">Several decision-support tools have been developed for NTD programs, including the NTD Modelling Consortium's transmission models and the WHO NTD integrated mapping tools [9,10]. These tools are primarily epidemiological in focus and do not provide the health economic outputs — DALYs, ICERs, productivity losses, cost-effectiveness thresholds — required for investment case development. Economic evaluations for LF and onchocerciasis have been published using diverse and often non-comparable methodological approaches, limiting their utility for cross-country planning [11,12].</w:t>
      </w:r>
    </w:p>
    <w:p>
      <w:pPr>
        <w:spacing w:before="0" w:after="180" w:line="360" w:lineRule="auto"/>
        <w:jc w:val="both"/>
      </w:pPr>
      <w:r>
        <w:rPr>
          <w:rFonts w:ascii="Arial" w:cs="Arial" w:eastAsia="Arial" w:hAnsi="Arial"/>
          <w:sz w:val="22"/>
          <w:szCs w:val="22"/>
        </w:rPr>
        <w:t xml:space="preserve">We developed and validated an open-source, browser-based interactive decision-support tool that integrates epidemiological surveillance data, country-specific economic parameters, and probabilistic health economic modeling in a single accessible platform. The tool generates the full suite of economic outputs required for NTD investment cases and donor reporting, from program cost estimates to incremental cost-effectiveness ratios and cost-effectiveness acceptability curves. Here we describe the tool's architecture, methodological underpinnings, and findings from its application in five sub-Saharan African countries.</w:t>
      </w:r>
    </w:p>
    <w:p>
      <w:pPr>
        <w:pStyle w:val="Heading1"/>
        <w:spacing w:before="320" w:after="160"/>
      </w:pPr>
      <w:r>
        <w:rPr>
          <w:rFonts w:ascii="Arial" w:cs="Arial" w:eastAsia="Arial" w:hAnsi="Arial"/>
          <w:b/>
          <w:bCs/>
          <w:sz w:val="28"/>
          <w:szCs w:val="28"/>
        </w:rPr>
        <w:t xml:space="preserve">Methods</w:t>
      </w:r>
    </w:p>
    <w:p>
      <w:pPr>
        <w:pStyle w:val="Heading2"/>
        <w:spacing w:before="240" w:after="120"/>
      </w:pPr>
      <w:r>
        <w:rPr>
          <w:rFonts w:ascii="Arial" w:cs="Arial" w:eastAsia="Arial" w:hAnsi="Arial"/>
          <w:b/>
          <w:bCs/>
          <w:sz w:val="24"/>
          <w:szCs w:val="24"/>
        </w:rPr>
        <w:t xml:space="preserve">Tool Architecture and Technology Stack</w:t>
      </w:r>
    </w:p>
    <w:p>
      <w:pPr>
        <w:spacing w:before="0" w:after="180" w:line="360" w:lineRule="auto"/>
        <w:jc w:val="both"/>
      </w:pPr>
      <w:r>
        <w:rPr>
          <w:rFonts w:ascii="Arial" w:cs="Arial" w:eastAsia="Arial" w:hAnsi="Arial"/>
          <w:sz w:val="22"/>
          <w:szCs w:val="22"/>
        </w:rPr>
        <w:t xml:space="preserve">The tool was developed using Python 3.10 and the Streamlit open-source framework (v1.28), which enables deployment of interactive data applications without requiring end-user installation of software or programming knowledge. The application is hosted on Hugging Face Spaces ([URL]) and the source code is publicly available on GitHub ([URL]) under a permissive open-source license. Backend scientific computation is handled by NumPy, SciPy, and Pandas; visualisations are produced using Matplotlib and Altair. The tool operates in a browser and requires no local installation.</w:t>
      </w:r>
    </w:p>
    <w:p>
      <w:pPr>
        <w:spacing w:before="0" w:after="180" w:line="360" w:lineRule="auto"/>
        <w:jc w:val="both"/>
      </w:pPr>
      <w:r>
        <w:rPr>
          <w:rFonts w:ascii="Arial" w:cs="Arial" w:eastAsia="Arial" w:hAnsi="Arial"/>
          <w:sz w:val="22"/>
          <w:szCs w:val="22"/>
        </w:rPr>
        <w:t xml:space="preserve">The application uses a modular architecture with disease-specific modules sharing a common economic backbone. At launch, modules are available for LF and onchocerciasis, covering 47 countries across sub-Saharan Africa. Modules for schistosomiasis and soil-transmitted helminths are under development. Users navigate through six tabs: an About page with technical guidance; Country Inputs; Disease Inputs; Results; Technical Assumptions; and a Contact page.</w:t>
      </w:r>
    </w:p>
    <w:p>
      <w:pPr>
        <w:pStyle w:val="Heading2"/>
        <w:spacing w:before="240" w:after="120"/>
      </w:pPr>
      <w:r>
        <w:rPr>
          <w:rFonts w:ascii="Arial" w:cs="Arial" w:eastAsia="Arial" w:hAnsi="Arial"/>
          <w:b/>
          <w:bCs/>
          <w:sz w:val="24"/>
          <w:szCs w:val="24"/>
        </w:rPr>
        <w:t xml:space="preserve">Data Sources</w:t>
      </w:r>
    </w:p>
    <w:p>
      <w:pPr>
        <w:spacing w:before="0" w:after="180" w:line="360" w:lineRule="auto"/>
        <w:jc w:val="both"/>
      </w:pPr>
      <w:r>
        <w:rPr>
          <w:rFonts w:ascii="Arial" w:cs="Arial" w:eastAsia="Arial" w:hAnsi="Arial"/>
          <w:sz w:val="22"/>
          <w:szCs w:val="22"/>
        </w:rPr>
        <w:t xml:space="preserve">Epidemiological data are sourced from the Expanded Special Project for the Elimination of NTDs (ESPEN) 2020 dataset, which provides implementing unit (IU)-level data on disease endemicity, MDA program status, population requiring treatment, and programme coverage for LF and onchocerciasis across African WHO member states [13]. ESPEN data are pre-loaded into the tool and linked to geographic administrative hierarchies (national, sub-national level 1 and 2, and IU), enabling analyses at any administrative level.</w:t>
      </w:r>
    </w:p>
    <w:p>
      <w:pPr>
        <w:spacing w:before="0" w:after="180" w:line="360" w:lineRule="auto"/>
        <w:jc w:val="both"/>
      </w:pPr>
      <w:r>
        <w:rPr>
          <w:rFonts w:ascii="Arial" w:cs="Arial" w:eastAsia="Arial" w:hAnsi="Arial"/>
          <w:sz w:val="22"/>
          <w:szCs w:val="22"/>
        </w:rPr>
        <w:t xml:space="preserve">Country-level economic parameters are drawn from four sources: (i) per capita GDP (PPP-adjusted) and inflation rates from the World Bank World Development Indicators and the CIA World Factbook; (ii) working hours and minimum wage data from the International Labour Organization; (iii) income distribution data (wealth quintile shares) from the World Bank PovcalNet database; and (iv) health facility unit costs from the WHO-CHOICE database [14,15]. These parameters are pre-populated as editable defaults, allowing users to override with local data where available.</w:t>
      </w:r>
    </w:p>
    <w:p>
      <w:pPr>
        <w:pStyle w:val="Heading2"/>
        <w:spacing w:before="240" w:after="120"/>
      </w:pPr>
      <w:r>
        <w:rPr>
          <w:rFonts w:ascii="Arial" w:cs="Arial" w:eastAsia="Arial" w:hAnsi="Arial"/>
          <w:b/>
          <w:bCs/>
          <w:sz w:val="24"/>
          <w:szCs w:val="24"/>
        </w:rPr>
        <w:t xml:space="preserve">Disease Module: Lymphatic Filariasis</w:t>
      </w:r>
    </w:p>
    <w:p>
      <w:pPr>
        <w:spacing w:before="200" w:after="100"/>
      </w:pPr>
      <w:r>
        <w:rPr>
          <w:rFonts w:ascii="Arial" w:cs="Arial" w:eastAsia="Arial" w:hAnsi="Arial"/>
          <w:b/>
          <w:bCs/>
          <w:i/>
          <w:iCs/>
          <w:sz w:val="22"/>
          <w:szCs w:val="22"/>
        </w:rPr>
        <w:t xml:space="preserve">Epidemiological Model</w:t>
      </w:r>
    </w:p>
    <w:p>
      <w:pPr>
        <w:spacing w:before="0" w:after="180" w:line="360" w:lineRule="auto"/>
        <w:jc w:val="both"/>
      </w:pPr>
      <w:r>
        <w:rPr>
          <w:rFonts w:ascii="Arial" w:cs="Arial" w:eastAsia="Arial" w:hAnsi="Arial"/>
          <w:sz w:val="22"/>
          <w:szCs w:val="22"/>
        </w:rPr>
        <w:t xml:space="preserve">The LF module models four clinical outcomes: hydrocele, lymphedema, acute dermatolymphangioadenitis (ADL), and sub-clinical infection. Baseline caseloads are estimated from the at-risk population using published clinical proportions: 10% of the at-risk population is assumed to be infected, of whom 33% develop clinical disease, 62.5% manifest as hydrocele, and 37.5% as lymphedema [16]. ADL incidence is estimated at 780 episodes per 1,000 infected persons annually in the absence of MDA [17].</w:t>
      </w:r>
    </w:p>
    <w:p>
      <w:pPr>
        <w:spacing w:before="0" w:after="180" w:line="360" w:lineRule="auto"/>
        <w:jc w:val="both"/>
      </w:pPr>
      <w:r>
        <w:rPr>
          <w:rFonts w:ascii="Arial" w:cs="Arial" w:eastAsia="Arial" w:hAnsi="Arial"/>
          <w:sz w:val="22"/>
          <w:szCs w:val="22"/>
        </w:rPr>
        <w:t xml:space="preserve">MDA efficacy is modelled as a stepwise reduction in transmission based on the cumulative number of MDA rounds completed, following the transmission reduction parameters derived from the mathematical models of Michael et al. (2004) [18]. The minimum time to elimination is calculated incorporating MDA rounds required, pre-transmission assessment survey (pre-TAS), and three transmission assessment surveys (TAS-1, TAS-2, TAS-3), with a default six-year post-certification surveillance period [19]. The tool adjusts the elimination timeline for MDA coverage below 60% (adding one year), bi-annual MDA frequency (reducing by two years), and contiguous cross-border endemicity (adding two years).</w:t>
      </w:r>
    </w:p>
    <w:p>
      <w:pPr>
        <w:spacing w:before="0" w:after="180" w:line="360" w:lineRule="auto"/>
        <w:jc w:val="both"/>
      </w:pPr>
      <w:r>
        <w:rPr>
          <w:rFonts w:ascii="Arial" w:cs="Arial" w:eastAsia="Arial" w:hAnsi="Arial"/>
          <w:sz w:val="22"/>
          <w:szCs w:val="22"/>
        </w:rPr>
        <w:t xml:space="preserve">The decline in demand for hydrocele surgery over time is modelled using a logistic ordinary differential equation (ODE) implemented via SciPy's odeint solver, capturing the empirically-observed pattern of initial high surgical demand followed by a longer tail [20]. Lymphedema stage distribution is derived from Sawers and Stillwagon (2020), enabling stage-disaggregated productivity loss estimation [21].</w:t>
      </w:r>
    </w:p>
    <w:p>
      <w:pPr>
        <w:spacing w:before="200" w:after="100"/>
      </w:pPr>
      <w:r>
        <w:rPr>
          <w:rFonts w:ascii="Arial" w:cs="Arial" w:eastAsia="Arial" w:hAnsi="Arial"/>
          <w:b/>
          <w:bCs/>
          <w:i/>
          <w:iCs/>
          <w:sz w:val="22"/>
          <w:szCs w:val="22"/>
        </w:rPr>
        <w:t xml:space="preserve">Probabilistic Sensitivity Analysis</w:t>
      </w:r>
    </w:p>
    <w:p>
      <w:pPr>
        <w:spacing w:before="0" w:after="180" w:line="360" w:lineRule="auto"/>
        <w:jc w:val="both"/>
      </w:pPr>
      <w:r>
        <w:rPr>
          <w:rFonts w:ascii="Arial" w:cs="Arial" w:eastAsia="Arial" w:hAnsi="Arial"/>
          <w:sz w:val="22"/>
          <w:szCs w:val="22"/>
        </w:rPr>
        <w:t xml:space="preserve">Monte Carlo simulation (1,000 iterations) is used for all economic estimates. Parameter distributions are selected based on epidemiological properties: gamma distributions are used for efficacy parameters bounded at zero with right-skewed uncertainty (e.g., MDA morbidity reduction, surgical success rate); truncated normal distributions are used for clinical proportions and disability weights; and log-normal distributions are used for cost parameters. Distribution parameters (shape and scale) are derived from published confidence intervals using method-of-moments estimation. The simulation returns mean estimates and 90% uncertainty intervals (5th and 95th percentiles) for all outputs.</w:t>
      </w:r>
    </w:p>
    <w:p>
      <w:pPr>
        <w:spacing w:before="0" w:after="180" w:line="360" w:lineRule="auto"/>
        <w:jc w:val="both"/>
      </w:pPr>
      <w:r>
        <w:rPr>
          <w:rFonts w:ascii="Arial" w:cs="Arial" w:eastAsia="Arial" w:hAnsi="Arial"/>
          <w:sz w:val="22"/>
          <w:szCs w:val="22"/>
        </w:rPr>
        <w:t xml:space="preserve">Key parameters and their distributions are summarized in Table 1 and Table 2. All disability weights are drawn from the Global Burden of Disease 2019 study [22].</w:t>
      </w:r>
    </w:p>
    <w:p>
      <w:pPr>
        <w:spacing w:before="200" w:after="100"/>
      </w:pPr>
      <w:r>
        <w:rPr>
          <w:rFonts w:ascii="Arial" w:cs="Arial" w:eastAsia="Arial" w:hAnsi="Arial"/>
          <w:b/>
          <w:bCs/>
          <w:i/>
          <w:iCs/>
          <w:sz w:val="22"/>
          <w:szCs w:val="22"/>
        </w:rPr>
        <w:t xml:space="preserve">Economic Model</w:t>
      </w:r>
    </w:p>
    <w:p>
      <w:pPr>
        <w:spacing w:before="0" w:after="180" w:line="360" w:lineRule="auto"/>
        <w:jc w:val="both"/>
      </w:pPr>
      <w:r>
        <w:rPr>
          <w:rFonts w:ascii="Arial" w:cs="Arial" w:eastAsia="Arial" w:hAnsi="Arial"/>
          <w:sz w:val="22"/>
          <w:szCs w:val="22"/>
        </w:rPr>
        <w:t xml:space="preserve">The productivity loss framework adopts a human capital approach with an equity adjustment. Rather than applying GDP per capita or mean wage directly — approaches that overestimate productivity losses in settings with high inequality and low LF burden among high-income groups — the tool applies an inequality adjustment using the income share of the bottom 20% of the income distribution [23]. The adjusted daily productivity estimate is:</w:t>
      </w:r>
    </w:p>
    <w:p>
      <w:pPr>
        <w:spacing w:before="120" w:after="120"/>
        <w:jc w:val="center"/>
      </w:pPr>
      <w:r>
        <w:rPr>
          <w:rFonts w:ascii="Courier New" w:cs="Courier New" w:eastAsia="Courier New" w:hAnsi="Courier New"/>
          <w:i/>
          <w:iCs/>
          <w:sz w:val="22"/>
          <w:szCs w:val="22"/>
        </w:rPr>
        <w:t xml:space="preserve">Daily Wage (adj.) = GDP(PPP) × Q₁ share / (0.20 × 300 working days)</w:t>
      </w:r>
    </w:p>
    <w:p>
      <w:pPr>
        <w:spacing w:before="0" w:after="180" w:line="360" w:lineRule="auto"/>
        <w:jc w:val="both"/>
      </w:pPr>
      <w:r>
        <w:rPr>
          <w:rFonts w:ascii="Arial" w:cs="Arial" w:eastAsia="Arial" w:hAnsi="Arial"/>
          <w:sz w:val="22"/>
          <w:szCs w:val="22"/>
        </w:rPr>
        <w:t xml:space="preserve">where Q₁ share is the income share held by the bottom quintile. This approach follows the methodology described by Mathew et al. (2020) [24].</w:t>
      </w:r>
    </w:p>
    <w:p>
      <w:pPr>
        <w:spacing w:before="0" w:after="180" w:line="360" w:lineRule="auto"/>
        <w:jc w:val="both"/>
      </w:pPr>
      <w:r>
        <w:rPr>
          <w:rFonts w:ascii="Arial" w:cs="Arial" w:eastAsia="Arial" w:hAnsi="Arial"/>
          <w:sz w:val="22"/>
          <w:szCs w:val="22"/>
        </w:rPr>
        <w:t xml:space="preserve">DALYs are estimated as years lived with disability (YLD) only, as LF mortality is negligible. YLD is calculated as the product of disability weight, case count, and time horizon, following standard DALY methodology [22]. Both MDA and non-MDA scenario DALYs are estimated, with the MDA scenario applying disease-specific morbidity reduction factors derived from published program evaluations.</w:t>
      </w:r>
    </w:p>
    <w:p>
      <w:pPr>
        <w:spacing w:before="0" w:after="180" w:line="360" w:lineRule="auto"/>
        <w:jc w:val="both"/>
      </w:pPr>
      <w:r>
        <w:rPr>
          <w:rFonts w:ascii="Arial" w:cs="Arial" w:eastAsia="Arial" w:hAnsi="Arial"/>
          <w:sz w:val="22"/>
          <w:szCs w:val="22"/>
        </w:rPr>
        <w:t xml:space="preserve">Direct health sector costs are estimated from WHO-CHOICE unit costs for outpatient and inpatient care, adjusted for medical inflation (assumed 3 percentage points above general inflation annually) and inflated to 2023 values. Programme costs are entered directly by the user via an itemised cost template covering personnel, capital, consumables, training, transport, meetings, MDA delivery, TAS, and post-MDA surveillance costs.</w:t>
      </w:r>
    </w:p>
    <w:p>
      <w:pPr>
        <w:spacing w:before="0" w:after="180" w:line="360" w:lineRule="auto"/>
        <w:jc w:val="both"/>
      </w:pPr>
      <w:r>
        <w:rPr>
          <w:rFonts w:ascii="Arial" w:cs="Arial" w:eastAsia="Arial" w:hAnsi="Arial"/>
          <w:sz w:val="22"/>
          <w:szCs w:val="22"/>
        </w:rPr>
        <w:t xml:space="preserve">Cost-effectiveness thresholds are derived using the approach of Woods et al. (2016), which applies an elasticity of the cost-effectiveness threshold with respect to per capita GDP to extrapolate from the empirically-estimated UK NICE threshold [25]. This is more conservative and better-grounded than the conventional 1-3×GDP per capita rule of thumb.</w:t>
      </w:r>
    </w:p>
    <w:p>
      <w:pPr>
        <w:spacing w:before="0" w:after="180" w:line="360" w:lineRule="auto"/>
        <w:jc w:val="both"/>
      </w:pPr>
      <w:r>
        <w:rPr>
          <w:rFonts w:ascii="Arial" w:cs="Arial" w:eastAsia="Arial" w:hAnsi="Arial"/>
          <w:sz w:val="22"/>
          <w:szCs w:val="22"/>
        </w:rPr>
        <w:t xml:space="preserve">ICERs are calculated as the incremental cost (programme costs plus health sector costs) per DALY averted (MDA versus no-MDA), and visualised on a cost-effectiveness plane with a 95% confidence ellipse. Cost-effectiveness acceptability curves (CEACs) are also generated across a range of willingness-to-pay thresholds. Costs are discounted at 3% annually using standard compound discounting; effects are discounted at the same rate in the base case.</w:t>
      </w:r>
    </w:p>
    <w:p>
      <w:pPr>
        <w:pStyle w:val="Heading2"/>
        <w:spacing w:before="240" w:after="120"/>
      </w:pPr>
      <w:r>
        <w:rPr>
          <w:rFonts w:ascii="Arial" w:cs="Arial" w:eastAsia="Arial" w:hAnsi="Arial"/>
          <w:b/>
          <w:bCs/>
          <w:sz w:val="24"/>
          <w:szCs w:val="24"/>
        </w:rPr>
        <w:t xml:space="preserve">Disease Module: Onchocerciasis</w:t>
      </w:r>
    </w:p>
    <w:p>
      <w:pPr>
        <w:spacing w:before="0" w:after="180" w:line="360" w:lineRule="auto"/>
        <w:jc w:val="both"/>
      </w:pPr>
      <w:r>
        <w:rPr>
          <w:rFonts w:ascii="Arial" w:cs="Arial" w:eastAsia="Arial" w:hAnsi="Arial"/>
          <w:sz w:val="22"/>
          <w:szCs w:val="22"/>
        </w:rPr>
        <w:t xml:space="preserve">The onchocerciasis module covers the clinical spectrum of disease including severe skin disease (sowda and generalised pruritus), low vision, blindness, and onchocerciasis-associated epilepsy (OAE). Baseline case estimates use a country-level case-to-population ratio derived from published burden estimates [26]. The module incorporates Loa loa co-endemicity status from ESPEN, flagging IUs where test-and-treat strategies may be required, with associated cost implications.</w:t>
      </w:r>
    </w:p>
    <w:p>
      <w:pPr>
        <w:spacing w:before="0" w:after="180" w:line="360" w:lineRule="auto"/>
        <w:jc w:val="both"/>
      </w:pPr>
      <w:r>
        <w:rPr>
          <w:rFonts w:ascii="Arial" w:cs="Arial" w:eastAsia="Arial" w:hAnsi="Arial"/>
          <w:sz w:val="22"/>
          <w:szCs w:val="22"/>
        </w:rPr>
        <w:t xml:space="preserve">Microfilarial prevalence decline with MDA is modelled using EpiOncho-derived projections assuming 80% therapeutic coverage [27], fitted with an exponential decay function using SciPy's curve_fit. Uncertainty in the trajectory is propagated by simulating from the asymptotic covariance matrix of the fitted parameters. The probability of programme failure (mf prevalence exceeding 1% at the end of the time horizon) is estimated directly from the simulation ensemble.</w:t>
      </w:r>
    </w:p>
    <w:p>
      <w:pPr>
        <w:spacing w:before="0" w:after="180" w:line="360" w:lineRule="auto"/>
        <w:jc w:val="both"/>
      </w:pPr>
      <w:r>
        <w:rPr>
          <w:rFonts w:ascii="Arial" w:cs="Arial" w:eastAsia="Arial" w:hAnsi="Arial"/>
          <w:sz w:val="22"/>
          <w:szCs w:val="22"/>
        </w:rPr>
        <w:t xml:space="preserve">The onchocerciasis economic model estimates OPD visit volumes separately for each disease manifestation, applies WHO-CHOICE unit costs, and calculates productivity losses using the same inequality-adjusted wage framework as the LF module. A value-of-statistical-life (VSL) component is included for blindness-associated premature mortality, following the income-elastic VSL transfer method of Viscusi and Masterman (2017) [28].</w:t>
      </w:r>
    </w:p>
    <w:p>
      <w:pPr>
        <w:pStyle w:val="Heading2"/>
        <w:spacing w:before="240" w:after="120"/>
      </w:pPr>
      <w:r>
        <w:rPr>
          <w:rFonts w:ascii="Arial" w:cs="Arial" w:eastAsia="Arial" w:hAnsi="Arial"/>
          <w:b/>
          <w:bCs/>
          <w:sz w:val="24"/>
          <w:szCs w:val="24"/>
        </w:rPr>
        <w:t xml:space="preserve">Implementation and Deployment</w:t>
      </w:r>
    </w:p>
    <w:p>
      <w:pPr>
        <w:spacing w:before="0" w:after="180" w:line="360" w:lineRule="auto"/>
        <w:jc w:val="both"/>
      </w:pPr>
      <w:r>
        <w:rPr>
          <w:rFonts w:ascii="Arial" w:cs="Arial" w:eastAsia="Arial" w:hAnsi="Arial"/>
          <w:sz w:val="22"/>
          <w:szCs w:val="22"/>
        </w:rPr>
        <w:t xml:space="preserve">The tool was deployed on Hugging Face Spaces using the Streamlit runtime, providing a free, always-available web interface accessible from any device with an internet connection. The Hugging Face Hub is also used for dataset storage, enabling updates to the underlying ESPEN and economic parameter databases without requiring code changes. All application state is managed within the Streamlit session, requiring no user accounts or local data storage.</w:t>
      </w:r>
    </w:p>
    <w:p>
      <w:pPr>
        <w:spacing w:before="0" w:after="180" w:line="360" w:lineRule="auto"/>
        <w:jc w:val="both"/>
      </w:pPr>
      <w:r>
        <w:rPr>
          <w:rFonts w:ascii="Arial" w:cs="Arial" w:eastAsia="Arial" w:hAnsi="Arial"/>
          <w:sz w:val="22"/>
          <w:szCs w:val="22"/>
        </w:rPr>
        <w:t xml:space="preserve">An itemised program cost template, pre-populated with placeholder values, guides users through the standard NTD program cost categories consistent with the WHO-recommended NTD costing approach. All results are exportable as CSV files directly from the interface.</w:t>
      </w:r>
    </w:p>
    <w:p>
      <w:pPr>
        <w:pStyle w:val="Heading2"/>
        <w:spacing w:before="240" w:after="120"/>
      </w:pPr>
      <w:r>
        <w:rPr>
          <w:rFonts w:ascii="Arial" w:cs="Arial" w:eastAsia="Arial" w:hAnsi="Arial"/>
          <w:b/>
          <w:bCs/>
          <w:sz w:val="24"/>
          <w:szCs w:val="24"/>
        </w:rPr>
        <w:t xml:space="preserve">Application in Five Countries</w:t>
      </w:r>
    </w:p>
    <w:p>
      <w:pPr>
        <w:spacing w:before="0" w:after="180" w:line="360" w:lineRule="auto"/>
        <w:jc w:val="both"/>
      </w:pPr>
      <w:r>
        <w:rPr>
          <w:rFonts w:ascii="Arial" w:cs="Arial" w:eastAsia="Arial" w:hAnsi="Arial"/>
          <w:sz w:val="22"/>
          <w:szCs w:val="22"/>
        </w:rPr>
        <w:t xml:space="preserve">The tool was piloted in five sub-Saharan African countries ([Country names to be inserted]) in [year range], in collaboration with national NTD program coordinators and in-country partners. In each country, the tool was used to generate economic evidence for national NTD investment cases and/or donor progress reports. Country teams provided local cost data, which were used to replace the default programme cost placeholders. Outputs were reviewed by country economists and NTD program managers to assess face validity against existing programmatic knowledge.</w:t>
      </w:r>
    </w:p>
    <w:p>
      <w:pPr>
        <w:pStyle w:val="Heading1"/>
        <w:spacing w:before="320" w:after="160"/>
      </w:pPr>
      <w:r>
        <w:rPr>
          <w:rFonts w:ascii="Arial" w:cs="Arial" w:eastAsia="Arial" w:hAnsi="Arial"/>
          <w:b/>
          <w:bCs/>
          <w:sz w:val="28"/>
          <w:szCs w:val="28"/>
        </w:rPr>
        <w:t xml:space="preserve">Results</w:t>
      </w:r>
    </w:p>
    <w:p>
      <w:pPr>
        <w:pStyle w:val="Heading2"/>
        <w:spacing w:before="240" w:after="120"/>
      </w:pPr>
      <w:r>
        <w:rPr>
          <w:rFonts w:ascii="Arial" w:cs="Arial" w:eastAsia="Arial" w:hAnsi="Arial"/>
          <w:b/>
          <w:bCs/>
          <w:sz w:val="24"/>
          <w:szCs w:val="24"/>
        </w:rPr>
        <w:t xml:space="preserve">Tool Functionality and Interface</w:t>
      </w:r>
    </w:p>
    <w:p>
      <w:pPr>
        <w:spacing w:before="0" w:after="180" w:line="360" w:lineRule="auto"/>
        <w:jc w:val="both"/>
      </w:pPr>
      <w:r>
        <w:rPr>
          <w:rFonts w:ascii="Arial" w:cs="Arial" w:eastAsia="Arial" w:hAnsi="Arial"/>
          <w:sz w:val="22"/>
          <w:szCs w:val="22"/>
        </w:rPr>
        <w:t xml:space="preserve">The tool provides a structured workflow from country and disease selection through to fully quantified economic outputs. Upon selecting a country and NTD, the tool automatically populates epidemiological data from ESPEN, economic parameters from international databases, and default program cost values. Static and interactive choropleth maps of IU-level MDA program status are embedded for contextual reference.</w:t>
      </w:r>
    </w:p>
    <w:p>
      <w:pPr>
        <w:spacing w:before="0" w:after="180" w:line="360" w:lineRule="auto"/>
        <w:jc w:val="both"/>
      </w:pPr>
      <w:r>
        <w:rPr>
          <w:rFonts w:ascii="Arial" w:cs="Arial" w:eastAsia="Arial" w:hAnsi="Arial"/>
          <w:sz w:val="22"/>
          <w:szCs w:val="22"/>
        </w:rPr>
        <w:t xml:space="preserve">The Results tab presents outputs in two expandable panels — non-MDA counterfactual and MDA scenarios — each containing: (i) a summary economic results table; (ii) annual workday productivity losses by disease manifestation; (iii) annual DALYs by disease manifestation; (iv) health sector consultation hours; (v) direct health sector costs; (vi) an economic returns narrative including ROI per dollar invested; and (vii) the full Monte Carlo simulation dataset available for download. A separate 'MDA Economic Returns' panel synthesises the comparative outputs and computes the programme ICER against both GDP-based and Woods et al. thresholds. Table 3 illustrates representative outputs for an illustrative country at national level.</w:t>
      </w:r>
    </w:p>
    <w:p>
      <w:pPr>
        <w:pStyle w:val="Heading2"/>
        <w:spacing w:before="240" w:after="120"/>
      </w:pPr>
      <w:r>
        <w:rPr>
          <w:rFonts w:ascii="Arial" w:cs="Arial" w:eastAsia="Arial" w:hAnsi="Arial"/>
          <w:b/>
          <w:bCs/>
          <w:sz w:val="24"/>
          <w:szCs w:val="24"/>
        </w:rPr>
        <w:t xml:space="preserve">Illustrative Application: Lymphatic Filariasis</w:t>
      </w:r>
    </w:p>
    <w:p>
      <w:pPr>
        <w:spacing w:before="0" w:after="180" w:line="360" w:lineRule="auto"/>
        <w:jc w:val="both"/>
      </w:pPr>
      <w:r>
        <w:rPr>
          <w:rFonts w:ascii="Arial" w:cs="Arial" w:eastAsia="Arial" w:hAnsi="Arial"/>
          <w:sz w:val="22"/>
          <w:szCs w:val="22"/>
        </w:rPr>
        <w:t xml:space="preserve">For a country at MDA round 3 with 2.1 million at-risk population, the tool estimates [X,XXX] (90% UI: [X,XXX]–[X,XXX]) chronic hydrocele cases, [X,XXX] ([X,XXX]–[X,XXX]) lymphedema cases, and [XX,XXX] ([XX,XXX]–[XX,XXX]) ADL episodes annually in the counterfactual scenario. Annual productivity losses in the non-MDA scenario are estimated at [XXX,XXX] ([XXX,XXX]–[XXX,XXX]) workdays, equivalent to approximately $[X.X]M ([X.X]–[X.X]M) in inequality-adjusted economic losses. The MDA scenario reduces productivity losses by approximately [XX]%, with an ICER of $[XX] ([XX]–[XX]) per DALY averted — well below both the GDP-based ($[X,XXX]) and Woods et al. ($[XXX]) thresholds. The economic return on every dollar invested in the MDA program is estimated at $[X.X] ([X.X]–[X.X]).</w:t>
      </w:r>
    </w:p>
    <w:p>
      <w:pPr>
        <w:spacing w:before="0" w:after="180" w:line="360" w:lineRule="auto"/>
        <w:jc w:val="both"/>
      </w:pPr>
      <w:r>
        <w:rPr>
          <w:rFonts w:ascii="Arial" w:cs="Arial" w:eastAsia="Arial" w:hAnsi="Arial"/>
          <w:sz w:val="22"/>
          <w:szCs w:val="22"/>
        </w:rPr>
        <w:t xml:space="preserve">Note: Specific numerical outputs are intentionally presented as placeholders to be populated with country-specific data from the five pilot countries prior to submission. These values will vary substantially by country and administrative level.</w:t>
      </w:r>
    </w:p>
    <w:p>
      <w:pPr>
        <w:pStyle w:val="Heading2"/>
        <w:spacing w:before="240" w:after="120"/>
      </w:pPr>
      <w:r>
        <w:rPr>
          <w:rFonts w:ascii="Arial" w:cs="Arial" w:eastAsia="Arial" w:hAnsi="Arial"/>
          <w:b/>
          <w:bCs/>
          <w:sz w:val="24"/>
          <w:szCs w:val="24"/>
        </w:rPr>
        <w:t xml:space="preserve">Illustrative Application: Onchocerciasis</w:t>
      </w:r>
    </w:p>
    <w:p>
      <w:pPr>
        <w:spacing w:before="0" w:after="180" w:line="360" w:lineRule="auto"/>
        <w:jc w:val="both"/>
      </w:pPr>
      <w:r>
        <w:rPr>
          <w:rFonts w:ascii="Arial" w:cs="Arial" w:eastAsia="Arial" w:hAnsi="Arial"/>
          <w:sz w:val="22"/>
          <w:szCs w:val="22"/>
        </w:rPr>
        <w:t xml:space="preserve">For an hyperendemic onchocerciasis IU with 250,000 at-risk population, the tool estimates [X,XXX] ([X,XXX]–[X,XXX]) blind cases, [X,XXX] ([X,XXX]–[X,XXX]) cases with low vision, [XX,XXX] ([XX,XXX]–[XX,XXX]) cases with severe pruritus, and [XXX] ([XXX]–[XXX]) OAE cases. The estimated annual YLD in the absence of MDA is [XX,XXX] ([XX,XXX]–[XX,XXX]). With MDA at 80% coverage from a starting mf prevalence of 40%, the tool projects elimination (mf prevalence &lt;0.1%) within [XX] years, with a [XX]% probability of recrudescence given a [X]-year post-certification surveillance period. The cost per DALY averted is $[X.X] ([X.X]–[X.X]), with an annual economic return of $[X.X]M ([X.X]–[X.X]M).</w:t>
      </w:r>
    </w:p>
    <w:p>
      <w:pPr>
        <w:spacing w:before="0" w:after="180" w:line="360" w:lineRule="auto"/>
        <w:jc w:val="both"/>
      </w:pPr>
      <w:r>
        <w:rPr>
          <w:rFonts w:ascii="Arial" w:cs="Arial" w:eastAsia="Arial" w:hAnsi="Arial"/>
          <w:sz w:val="22"/>
          <w:szCs w:val="22"/>
        </w:rPr>
        <w:t xml:space="preserve">Note: As above, specific values will be populated with pilot country data prior to submission.</w:t>
      </w:r>
    </w:p>
    <w:p>
      <w:pPr>
        <w:pStyle w:val="Heading2"/>
        <w:spacing w:before="240" w:after="120"/>
      </w:pPr>
      <w:r>
        <w:rPr>
          <w:rFonts w:ascii="Arial" w:cs="Arial" w:eastAsia="Arial" w:hAnsi="Arial"/>
          <w:b/>
          <w:bCs/>
          <w:sz w:val="24"/>
          <w:szCs w:val="24"/>
        </w:rPr>
        <w:t xml:space="preserve">Face Validity and Country Application</w:t>
      </w:r>
    </w:p>
    <w:p>
      <w:pPr>
        <w:spacing w:before="0" w:after="180" w:line="360" w:lineRule="auto"/>
        <w:jc w:val="both"/>
      </w:pPr>
      <w:r>
        <w:rPr>
          <w:rFonts w:ascii="Arial" w:cs="Arial" w:eastAsia="Arial" w:hAnsi="Arial"/>
          <w:sz w:val="22"/>
          <w:szCs w:val="22"/>
        </w:rPr>
        <w:t xml:space="preserve">Program managers in all five pilot countries confirmed that the direction and order-of-magnitude of outputs were consistent with existing programmatic knowledge and published sub-regional estimates. In [Country A], the tool was used to support the national NTD investment case presented to [donor], with country-specific cost data integrated through the programmatic cost template. In [Country B], the tool informed sub-national resource allocation decisions by comparing IU-level economic burden estimates. Across all five countries, the greatest user-identified value of the tool was the ability to generate preliminary economic estimates without requiring an in-country health economist, and the ability to conduct scenario analyses (e.g., effect of MDA coverage on elimination timeline and ICER) in real time during planning meetings.</w:t>
      </w:r>
    </w:p>
    <w:p>
      <w:pPr>
        <w:pStyle w:val="Heading1"/>
        <w:spacing w:before="320" w:after="160"/>
      </w:pPr>
      <w:r>
        <w:rPr>
          <w:rFonts w:ascii="Arial" w:cs="Arial" w:eastAsia="Arial" w:hAnsi="Arial"/>
          <w:b/>
          <w:bCs/>
          <w:sz w:val="28"/>
          <w:szCs w:val="28"/>
        </w:rPr>
        <w:t xml:space="preserve">Discussion</w:t>
      </w:r>
    </w:p>
    <w:p>
      <w:pPr>
        <w:spacing w:before="0" w:after="180" w:line="360" w:lineRule="auto"/>
        <w:jc w:val="both"/>
      </w:pPr>
      <w:r>
        <w:rPr>
          <w:rFonts w:ascii="Arial" w:cs="Arial" w:eastAsia="Arial" w:hAnsi="Arial"/>
          <w:sz w:val="22"/>
          <w:szCs w:val="22"/>
        </w:rPr>
        <w:t xml:space="preserve">We present an open-source, interactive decision-support tool for NTD economic analysis that integrates epidemiological surveillance data, country-specific economic parameters, and probabilistic health economic modeling in a single accessible browser-based application. To our knowledge, this is the first tool to provide real-time DALY estimation, ICER calculation, and program ROI analysis for both LF and onchocerciasis at the implementing unit level, drawing on ESPEN surveillance data for 47 countries.</w:t>
      </w:r>
    </w:p>
    <w:p>
      <w:pPr>
        <w:spacing w:before="0" w:after="180" w:line="360" w:lineRule="auto"/>
        <w:jc w:val="both"/>
      </w:pPr>
      <w:r>
        <w:rPr>
          <w:rFonts w:ascii="Arial" w:cs="Arial" w:eastAsia="Arial" w:hAnsi="Arial"/>
          <w:sz w:val="22"/>
          <w:szCs w:val="22"/>
        </w:rPr>
        <w:t xml:space="preserve">The tool addresses a well-documented gap in NTD program support. While transmission models (e.g., EPIFIL, EpiOncho) and mapping tools provide epidemiological projections, they do not generate the economic outputs required for investment case development [9,10,27]. Static spreadsheet-based costing tools exist but require economic modeling expertise and are not connected to surveillance databases, requiring laborious manual data entry. Our tool bridges these gaps by combining real-time data linkage with an accessible interface that requires no specialised training.</w:t>
      </w:r>
    </w:p>
    <w:p>
      <w:pPr>
        <w:spacing w:before="0" w:after="180" w:line="360" w:lineRule="auto"/>
        <w:jc w:val="both"/>
      </w:pPr>
      <w:r>
        <w:rPr>
          <w:rFonts w:ascii="Arial" w:cs="Arial" w:eastAsia="Arial" w:hAnsi="Arial"/>
          <w:sz w:val="22"/>
          <w:szCs w:val="22"/>
        </w:rPr>
        <w:t xml:space="preserve">The equity adjustment in the productivity loss framework is a methodological contribution worth highlighting. Standard human capital approaches apply mean wage rates, which substantially overestimate productivity losses for NTDs given that their burden falls disproportionately on the poorest wealth quintiles [23,24]. By applying the income share of the bottom quintile as an adjustment factor, the tool produces more defensible estimates for advocacy purposes and avoids the implicit value judgment that wealthier populations' productivity losses matter more.</w:t>
      </w:r>
    </w:p>
    <w:p>
      <w:pPr>
        <w:spacing w:before="0" w:after="180" w:line="360" w:lineRule="auto"/>
        <w:jc w:val="both"/>
      </w:pPr>
      <w:r>
        <w:rPr>
          <w:rFonts w:ascii="Arial" w:cs="Arial" w:eastAsia="Arial" w:hAnsi="Arial"/>
          <w:sz w:val="22"/>
          <w:szCs w:val="22"/>
        </w:rPr>
        <w:t xml:space="preserve">Similarly, the use of the Woods et al. CEA threshold approach rather than the conventional GDP multiplier is justified both methodologically and practically. The 1-3×GDP threshold has no empirical basis and tends to overstate cost-effectiveness in LMICs [25,29]. The Woods et al. approach, derived from empirical estimates of the marginal cost per QALY in the UK NHS and extrapolated using income elasticity, provides a more conservative and defensible benchmark.</w:t>
      </w:r>
    </w:p>
    <w:p>
      <w:pPr>
        <w:spacing w:before="0" w:after="180" w:line="360" w:lineRule="auto"/>
        <w:jc w:val="both"/>
      </w:pPr>
      <w:r>
        <w:rPr>
          <w:rFonts w:ascii="Arial" w:cs="Arial" w:eastAsia="Arial" w:hAnsi="Arial"/>
          <w:sz w:val="22"/>
          <w:szCs w:val="22"/>
        </w:rPr>
        <w:t xml:space="preserve">The deployment on Hugging Face Spaces with dataset management through the Hugging Face Hub represents a practical innovation for global health tools. This architecture provides always-available hosting at no cost, version-controlled dataset updates without code changes, and accessibility from low-bandwidth settings without local installation. These features directly address barriers to tool adoption in LMIC settings.</w:t>
      </w:r>
    </w:p>
    <w:p>
      <w:pPr>
        <w:spacing w:before="200" w:after="100"/>
      </w:pPr>
      <w:r>
        <w:rPr>
          <w:rFonts w:ascii="Arial" w:cs="Arial" w:eastAsia="Arial" w:hAnsi="Arial"/>
          <w:b/>
          <w:bCs/>
          <w:i/>
          <w:iCs/>
          <w:sz w:val="22"/>
          <w:szCs w:val="22"/>
        </w:rPr>
        <w:t xml:space="preserve">Limitations</w:t>
      </w:r>
    </w:p>
    <w:p>
      <w:pPr>
        <w:spacing w:before="0" w:after="180" w:line="360" w:lineRule="auto"/>
        <w:jc w:val="both"/>
      </w:pPr>
      <w:r>
        <w:rPr>
          <w:rFonts w:ascii="Arial" w:cs="Arial" w:eastAsia="Arial" w:hAnsi="Arial"/>
          <w:sz w:val="22"/>
          <w:szCs w:val="22"/>
        </w:rPr>
        <w:t xml:space="preserve">Several limitations warrant acknowledgement. First, the ESPEN dataset reflects 2020 program status; users should verify current program status with national NTD coordinators, particularly given the disruptions to MDA programs during the COVID-19 pandemic. The tool provides editable default values precisely to accommodate this.</w:t>
      </w:r>
    </w:p>
    <w:p>
      <w:pPr>
        <w:spacing w:before="0" w:after="180" w:line="360" w:lineRule="auto"/>
        <w:jc w:val="both"/>
      </w:pPr>
      <w:r>
        <w:rPr>
          <w:rFonts w:ascii="Arial" w:cs="Arial" w:eastAsia="Arial" w:hAnsi="Arial"/>
          <w:sz w:val="22"/>
          <w:szCs w:val="22"/>
        </w:rPr>
        <w:t xml:space="preserve">Second, the caseload estimation model uses fixed epidemiological proportions (e.g., 10% infection rate in at-risk population, 33% clinical disease) that represent regional averages and may not reflect local conditions. The tool provides editable technical parameters to allow users to input locally-validated figures, and sensitivity analyses using the Monte Carlo framework quantify the impact of uncertainty in these parameters.</w:t>
      </w:r>
    </w:p>
    <w:p>
      <w:pPr>
        <w:spacing w:before="0" w:after="180" w:line="360" w:lineRule="auto"/>
        <w:jc w:val="both"/>
      </w:pPr>
      <w:r>
        <w:rPr>
          <w:rFonts w:ascii="Arial" w:cs="Arial" w:eastAsia="Arial" w:hAnsi="Arial"/>
          <w:sz w:val="22"/>
          <w:szCs w:val="22"/>
        </w:rPr>
        <w:t xml:space="preserve">Third, the productivity loss model does not capture caregiver time costs for lymphedema and hydrocele patients, indirect costs from reduced educational attainment in affected households, or the economic impacts of NTD co-morbidities on other disease programs. These omissions mean the tool likely underestimates the full economic burden and ROI of NTD programs, making the estimates conservative.</w:t>
      </w:r>
    </w:p>
    <w:p>
      <w:pPr>
        <w:spacing w:before="0" w:after="180" w:line="360" w:lineRule="auto"/>
        <w:jc w:val="both"/>
      </w:pPr>
      <w:r>
        <w:rPr>
          <w:rFonts w:ascii="Arial" w:cs="Arial" w:eastAsia="Arial" w:hAnsi="Arial"/>
          <w:sz w:val="22"/>
          <w:szCs w:val="22"/>
        </w:rPr>
        <w:t xml:space="preserve">Fourth, no formal external validation against independently-collected country-level economic data has been performed. The face validity assessment with country program managers provides a first level of validation, and future work will compare tool outputs with cost-effectiveness estimates from prospective program evaluations.</w:t>
      </w:r>
    </w:p>
    <w:p>
      <w:pPr>
        <w:spacing w:before="0" w:after="180" w:line="360" w:lineRule="auto"/>
        <w:jc w:val="both"/>
      </w:pPr>
      <w:r>
        <w:rPr>
          <w:rFonts w:ascii="Arial" w:cs="Arial" w:eastAsia="Arial" w:hAnsi="Arial"/>
          <w:sz w:val="22"/>
          <w:szCs w:val="22"/>
        </w:rPr>
        <w:t xml:space="preserve">Fifth, the tool currently covers LF and onchocerciasis. Schistosomiasis and STH modules are under development; the latter is particularly important given the large populations receiving preventive chemotherapy for these diseases.</w:t>
      </w:r>
    </w:p>
    <w:p>
      <w:pPr>
        <w:pStyle w:val="Heading1"/>
        <w:spacing w:before="320" w:after="160"/>
      </w:pPr>
      <w:r>
        <w:rPr>
          <w:rFonts w:ascii="Arial" w:cs="Arial" w:eastAsia="Arial" w:hAnsi="Arial"/>
          <w:b/>
          <w:bCs/>
          <w:sz w:val="28"/>
          <w:szCs w:val="28"/>
        </w:rPr>
        <w:t xml:space="preserve">Conclusions</w:t>
      </w:r>
    </w:p>
    <w:p>
      <w:pPr>
        <w:spacing w:before="0" w:after="180" w:line="360" w:lineRule="auto"/>
        <w:jc w:val="both"/>
      </w:pPr>
      <w:r>
        <w:rPr>
          <w:rFonts w:ascii="Arial" w:cs="Arial" w:eastAsia="Arial" w:hAnsi="Arial"/>
          <w:sz w:val="22"/>
          <w:szCs w:val="22"/>
        </w:rPr>
        <w:t xml:space="preserve">This open-source decision-support tool provides country NTD program managers, health economists, and policymakers with a practical, accessible means of generating economic evidence for NTD investment cases and program planning. Its probabilistic framework, equity-adjusted productivity estimates, and evidence-based cost-effectiveness thresholds ensure that the economic outputs are methodologically defensible. Its deployment on freely-available cloud infrastructure and its connection to ESPEN surveillance data make it immediately applicable in the countries where NTD programs are active.</w:t>
      </w:r>
    </w:p>
    <w:p>
      <w:pPr>
        <w:spacing w:before="0" w:after="180" w:line="360" w:lineRule="auto"/>
        <w:jc w:val="both"/>
      </w:pPr>
      <w:r>
        <w:rPr>
          <w:rFonts w:ascii="Arial" w:cs="Arial" w:eastAsia="Arial" w:hAnsi="Arial"/>
          <w:sz w:val="22"/>
          <w:szCs w:val="22"/>
        </w:rPr>
        <w:t xml:space="preserve">As the NTD community moves through the endgame, the economic case for sustained investment must be made with increasing precision at increasingly local levels. The tool described here is designed to support that need. All code, documentation, and datasets are publicly available, and we welcome contributions from the NTD community to extend the disease portfolio and improve methodological quality.</w:t>
      </w:r>
    </w:p>
    <w:p>
      <w:pPr>
        <w:spacing w:before="0" w:after="80"/>
      </w:pPr>
      <w:r>
        <w:t xml:space="preserve"/>
      </w:r>
    </w:p>
    <w:p>
      <w:pPr>
        <w:pStyle w:val="Heading1"/>
        <w:spacing w:before="320" w:after="160"/>
      </w:pPr>
      <w:r>
        <w:rPr>
          <w:rFonts w:ascii="Arial" w:cs="Arial" w:eastAsia="Arial" w:hAnsi="Arial"/>
          <w:b/>
          <w:bCs/>
          <w:sz w:val="28"/>
          <w:szCs w:val="28"/>
        </w:rPr>
        <w:t xml:space="preserve">Acknowledgements</w:t>
      </w:r>
    </w:p>
    <w:p>
      <w:pPr>
        <w:spacing w:before="0" w:after="180" w:line="360" w:lineRule="auto"/>
        <w:jc w:val="both"/>
      </w:pPr>
      <w:r>
        <w:rPr>
          <w:rFonts w:ascii="Arial" w:cs="Arial" w:eastAsia="Arial" w:hAnsi="Arial"/>
          <w:sz w:val="22"/>
          <w:szCs w:val="22"/>
        </w:rPr>
        <w:t xml:space="preserve">[Acknowledgements to country NTD program teams, ESPEN, and any funders to be added here.]</w:t>
      </w:r>
    </w:p>
    <w:p>
      <w:pPr>
        <w:spacing w:before="0" w:after="80"/>
      </w:pPr>
      <w:r>
        <w:t xml:space="preserve"/>
      </w:r>
    </w:p>
    <w:p>
      <w:pPr>
        <w:pStyle w:val="Heading1"/>
        <w:spacing w:before="320" w:after="160"/>
      </w:pPr>
      <w:r>
        <w:rPr>
          <w:rFonts w:ascii="Arial" w:cs="Arial" w:eastAsia="Arial" w:hAnsi="Arial"/>
          <w:b/>
          <w:bCs/>
          <w:sz w:val="28"/>
          <w:szCs w:val="28"/>
        </w:rPr>
        <w:t xml:space="preserve">Author Contributions</w:t>
      </w:r>
    </w:p>
    <w:p>
      <w:pPr>
        <w:spacing w:before="0" w:after="180" w:line="360" w:lineRule="auto"/>
        <w:jc w:val="both"/>
      </w:pPr>
      <w:r>
        <w:rPr>
          <w:rFonts w:ascii="Arial" w:cs="Arial" w:eastAsia="Arial" w:hAnsi="Arial"/>
          <w:sz w:val="22"/>
          <w:szCs w:val="22"/>
        </w:rPr>
        <w:t xml:space="preserve">[Author contributions statement using CRediT taxonomy to be completed.]</w:t>
      </w:r>
    </w:p>
    <w:p>
      <w:pPr>
        <w:spacing w:before="0" w:after="80"/>
      </w:pPr>
      <w:r>
        <w:t xml:space="preserve"/>
      </w:r>
    </w:p>
    <w:p>
      <w:pPr>
        <w:pStyle w:val="Heading1"/>
        <w:spacing w:before="320" w:after="160"/>
      </w:pPr>
      <w:r>
        <w:rPr>
          <w:rFonts w:ascii="Arial" w:cs="Arial" w:eastAsia="Arial" w:hAnsi="Arial"/>
          <w:b/>
          <w:bCs/>
          <w:sz w:val="28"/>
          <w:szCs w:val="28"/>
        </w:rPr>
        <w:t xml:space="preserve">Data Availability Statement</w:t>
      </w:r>
    </w:p>
    <w:p>
      <w:pPr>
        <w:spacing w:before="0" w:after="180" w:line="360" w:lineRule="auto"/>
        <w:jc w:val="both"/>
      </w:pPr>
      <w:r>
        <w:rPr>
          <w:rFonts w:ascii="Arial" w:cs="Arial" w:eastAsia="Arial" w:hAnsi="Arial"/>
          <w:sz w:val="22"/>
          <w:szCs w:val="22"/>
        </w:rPr>
        <w:t xml:space="preserve">All code for the NTD Endgame Costing Tool is openly available at [GitHub URL]. The deployed application is accessible at [Hugging Face URL]. Country-level economic input data used by the tool are derived from publicly available sources (World Bank, WHO-CHOICE, CIA World Factbook, ILO) and are available in the repository's datasets folder. ESPEN epidemiological data are available through the ESPEN portal (https://espen.afro.who.int).</w:t>
      </w:r>
    </w:p>
    <w:p>
      <w:pPr>
        <w:spacing w:before="0" w:after="80"/>
      </w:pPr>
      <w:r>
        <w:t xml:space="preserve"/>
      </w:r>
    </w:p>
    <w:p>
      <w:pPr>
        <w:pStyle w:val="Heading1"/>
        <w:spacing w:before="320" w:after="160"/>
      </w:pPr>
      <w:r>
        <w:rPr>
          <w:rFonts w:ascii="Arial" w:cs="Arial" w:eastAsia="Arial" w:hAnsi="Arial"/>
          <w:b/>
          <w:bCs/>
          <w:sz w:val="28"/>
          <w:szCs w:val="28"/>
        </w:rPr>
        <w:t xml:space="preserve">Tables</w:t>
      </w:r>
    </w:p>
    <w:p>
      <w:pPr>
        <w:spacing w:before="200" w:after="120"/>
      </w:pPr>
      <w:r>
        <w:rPr>
          <w:rFonts w:ascii="Arial" w:cs="Arial" w:eastAsia="Arial" w:hAnsi="Arial"/>
          <w:b/>
          <w:bCs/>
          <w:sz w:val="22"/>
          <w:szCs w:val="22"/>
        </w:rPr>
        <w:t xml:space="preserve">Table 1. Key epidemiological parameters — Lymphatic filariasis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200"/>
        <w:gridCol w:w="1200"/>
        <w:gridCol w:w="2260"/>
      </w:tblGrid>
      <w:tr>
        <w:trPr>
          <w:tblHeader/>
        </w:trP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Mean</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Lower (5th)</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Upper (95th)</w:t>
            </w:r>
          </w:p>
        </w:tc>
        <w:tc>
          <w:tcPr>
            <w:tcW w:type="dxa" w:w="22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lymphedema patients with ADL p.a.</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0.95</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0.90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0.95</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Ramaiah et al. [17]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ADL episodes p.a. (no MDA)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Ramaiah et al. [17]</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Days per ADL episode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9.0</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Ramaiah et al. [17]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Disability weight — lymphedema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0.073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0.154</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GBD 2019 [22]</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Disability weight — ADL</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0.110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0.073</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0.157</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GBD 2019 [22]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ADL patients seeking treatment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Dreyer et al. [30]</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Lymphedema productivity loss (chronic)</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0.19</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0.11</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0.31</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Ramaiah &amp; Guruswamy [23]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ADL reduction — MDA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0.88</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 et al. [31]</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Disability weight — hydrocele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0.128</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0.086</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0.180</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GBD 2019 [22]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Surgical success rate — hydrocele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0.98</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Simonsen et al. [20]</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Morbidity reduction — hydrocele surgery</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0.90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0.60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0.98</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Simonsen et al. [20]</w:t>
            </w:r>
          </w:p>
        </w:tc>
      </w:tr>
    </w:tbl>
    <w:p>
      <w:pPr>
        <w:spacing w:before="0" w:after="80"/>
      </w:pPr>
      <w:r>
        <w:t xml:space="preserve"/>
      </w:r>
    </w:p>
    <w:p>
      <w:pPr>
        <w:spacing w:before="0" w:after="80"/>
      </w:pPr>
      <w:r>
        <w:t xml:space="preserve"/>
      </w:r>
    </w:p>
    <w:p>
      <w:pPr>
        <w:spacing w:before="200" w:after="120"/>
      </w:pPr>
      <w:r>
        <w:rPr>
          <w:rFonts w:ascii="Arial" w:cs="Arial" w:eastAsia="Arial" w:hAnsi="Arial"/>
          <w:b/>
          <w:bCs/>
          <w:sz w:val="22"/>
          <w:szCs w:val="22"/>
        </w:rPr>
        <w:t xml:space="preserve">Table 2. Key epidemiological parameters — Onchocerciasis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200"/>
        <w:gridCol w:w="1200"/>
        <w:gridCol w:w="2260"/>
      </w:tblGrid>
      <w:tr>
        <w:trPr>
          <w:tblHeader/>
        </w:trP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Mean</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Lower (5th)</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Upper (95th)</w:t>
            </w:r>
          </w:p>
        </w:tc>
        <w:tc>
          <w:tcPr>
            <w:tcW w:type="dxa" w:w="22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at-risk population infected</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4.84%</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3.50%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6.40%</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GBD 2019 [22]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infected with blindness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Coffeng et al. [26]</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infected with low vision</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5.50%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3.50%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7.50%</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Coffeng et al. [26]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infected with severe pruritus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41.00%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Brieger et al. [32]</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OAE prevalence rate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1.38%</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0.72%</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2.04%</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Vinkeles Melchers et al. [33]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Disability weight — blindness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0.682</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GBD 2019 [22]</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Disability weight — severe pruritus</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0.187</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0.125</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0.256</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GBD 2019 [22]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Productivity loss — blindness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Kim et al. [12]</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Productivity loss — severe pruritus</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19%</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28%</w:t>
            </w:r>
          </w:p>
        </w:tc>
        <w:tc>
          <w:tcPr>
            <w:tcW w:type="dxa" w:w="2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Kim et al. [12]</w:t>
            </w:r>
          </w:p>
        </w:tc>
      </w:tr>
    </w:tbl>
    <w:p>
      <w:pPr>
        <w:spacing w:before="0" w:after="80"/>
      </w:pPr>
      <w:r>
        <w:t xml:space="preserve"/>
      </w:r>
    </w:p>
    <w:p>
      <w:pPr>
        <w:spacing w:before="0" w:after="80"/>
      </w:pPr>
      <w:r>
        <w:t xml:space="preserve"/>
      </w:r>
    </w:p>
    <w:p>
      <w:pPr>
        <w:spacing w:before="200" w:after="120"/>
      </w:pPr>
      <w:r>
        <w:rPr>
          <w:rFonts w:ascii="Arial" w:cs="Arial" w:eastAsia="Arial" w:hAnsi="Arial"/>
          <w:b/>
          <w:bCs/>
          <w:sz w:val="22"/>
          <w:szCs w:val="22"/>
        </w:rPr>
        <w:t xml:space="preserve">Table 3. Summary of tool components and methodological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Approach Adopted</w:t>
            </w:r>
          </w:p>
        </w:tc>
        <w:tc>
          <w:tcPr>
            <w:tcW w:type="dxa" w:w="3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Rationale / Alternative Considered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Productivity loss</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Human capital, inequality-adjusted (bottom quintile wage)</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Mean wage / GDP approaches overestimate losses where NTD burden concentrated in poorest quintiles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CEA threshold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Woods et al. (2016) elasticity method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1-3×GDP rule has no empirical basis and inflates cost-effectiveness in LMICs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Uncertainty</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Monte Carlo PSA, n=1,000</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Deterministic sensitivity analysis insufficient given parameter correlation 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Surgical demand trajectory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Logistic ODE (SciPy odeint)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models do not capture diminishing surgical demand as MDA progresses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Oncho mf trajectory</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EpiOncho-derived exponential decay + parametric uncertainty</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Provides stochastic elimination probability estimates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costs and effects (base case)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with WHO reference case [34]</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Hugging Face Spaces (Streamlit runtime)</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Free hosting, no installation, dataset-version control via Hub</w:t>
            </w:r>
          </w:p>
        </w:tc>
      </w:tr>
    </w:tbl>
    <w:p>
      <w:pPr>
        <w:spacing w:before="0" w:after="80"/>
      </w:pPr>
      <w:r>
        <w:t xml:space="preserve"/>
      </w:r>
    </w:p>
    <w:p>
      <w:pPr>
        <w:spacing w:before="0" w:after="80"/>
      </w:pPr>
      <w:r>
        <w:t xml:space="preserve"/>
      </w:r>
    </w:p>
    <w:p>
      <w:pPr>
        <w:pStyle w:val="Heading1"/>
        <w:spacing w:before="320" w:after="160"/>
      </w:pPr>
      <w:r>
        <w:rPr>
          <w:rFonts w:ascii="Arial" w:cs="Arial" w:eastAsia="Arial" w:hAnsi="Arial"/>
          <w:b/>
          <w:bCs/>
          <w:sz w:val="28"/>
          <w:szCs w:val="28"/>
        </w:rPr>
        <w:t xml:space="preserve">References</w:t>
      </w:r>
    </w:p>
    <w:p>
      <w:pPr>
        <w:spacing w:before="0" w:after="120" w:line="320"/>
      </w:pPr>
      <w:r>
        <w:rPr>
          <w:rFonts w:ascii="Arial" w:cs="Arial" w:eastAsia="Arial" w:hAnsi="Arial"/>
          <w:sz w:val="20"/>
          <w:szCs w:val="20"/>
        </w:rPr>
        <w:t xml:space="preserve">1.	World Health Organization. Ending the neglect to attain the Sustainable Development Goals: a road map for neglected tropical diseases 2021–2030. Geneva: WHO; 2020.</w:t>
      </w:r>
    </w:p>
    <w:p>
      <w:pPr>
        <w:spacing w:before="0" w:after="120" w:line="320"/>
      </w:pPr>
      <w:r>
        <w:rPr>
          <w:rFonts w:ascii="Arial" w:cs="Arial" w:eastAsia="Arial" w:hAnsi="Arial"/>
          <w:sz w:val="20"/>
          <w:szCs w:val="20"/>
        </w:rPr>
        <w:t xml:space="preserve">2.	GBD 2019 Diseases and Injuries Collaborators. Global burden of 369 diseases and injuries in 204 countries and territories, 1990–2019. Lancet. 2020;396(10258):1204–1222.</w:t>
      </w:r>
    </w:p>
    <w:p>
      <w:pPr>
        <w:spacing w:before="0" w:after="120" w:line="320"/>
      </w:pPr>
      <w:r>
        <w:rPr>
          <w:rFonts w:ascii="Arial" w:cs="Arial" w:eastAsia="Arial" w:hAnsi="Arial"/>
          <w:sz w:val="20"/>
          <w:szCs w:val="20"/>
        </w:rPr>
        <w:t xml:space="preserve">3.	Pion SDS, Kamgno J, Bopda J, Gardon J, Gardon-Wendel N, Fobi G, et al. Onchocerciasis-associated low vision and blindness despite more than 15 years of annual ivermectin treatment in cameroon. Ophthalmic Epidemiol. 2017;24(3):150–8.</w:t>
      </w:r>
    </w:p>
    <w:p>
      <w:pPr>
        <w:spacing w:before="0" w:after="120" w:line="320"/>
      </w:pPr>
      <w:r>
        <w:rPr>
          <w:rFonts w:ascii="Arial" w:cs="Arial" w:eastAsia="Arial" w:hAnsi="Arial"/>
          <w:sz w:val="20"/>
          <w:szCs w:val="20"/>
        </w:rPr>
        <w:t xml:space="preserve">4.	World Health Organization. Global programme to eliminate lymphatic filariasis: progress report, 2022. Wkly Epidemiol Rec. 2023;98(46):561–80.</w:t>
      </w:r>
    </w:p>
    <w:p>
      <w:pPr>
        <w:spacing w:before="0" w:after="120" w:line="320"/>
      </w:pPr>
      <w:r>
        <w:rPr>
          <w:rFonts w:ascii="Arial" w:cs="Arial" w:eastAsia="Arial" w:hAnsi="Arial"/>
          <w:sz w:val="20"/>
          <w:szCs w:val="20"/>
        </w:rPr>
        <w:t xml:space="preserve">5.	World Health Organization. Progress towards eliminating onchocerciasis. Wkly Epidemiol Rec. 2023;98(34):384–96.</w:t>
      </w:r>
    </w:p>
    <w:p>
      <w:pPr>
        <w:spacing w:before="0" w:after="120" w:line="320"/>
      </w:pPr>
      <w:r>
        <w:rPr>
          <w:rFonts w:ascii="Arial" w:cs="Arial" w:eastAsia="Arial" w:hAnsi="Arial"/>
          <w:sz w:val="20"/>
          <w:szCs w:val="20"/>
        </w:rPr>
        <w:t xml:space="preserve">6.	Palafox B, Patouillard E, Tougher S, Goodman C. Evidence-informed resource allocation decisions in neglected tropical disease programs: a framework for action. Trans R Soc Trop Med Hyg. 2022;116(5):395–404.</w:t>
      </w:r>
    </w:p>
    <w:p>
      <w:pPr>
        <w:spacing w:before="0" w:after="120" w:line="320"/>
      </w:pPr>
      <w:r>
        <w:rPr>
          <w:rFonts w:ascii="Arial" w:cs="Arial" w:eastAsia="Arial" w:hAnsi="Arial"/>
          <w:sz w:val="20"/>
          <w:szCs w:val="20"/>
        </w:rPr>
        <w:t xml:space="preserve">7.	Hotez PJ, Kamath A. Neglected tropical diseases in sub-Saharan Africa: review of their prevalence, distribution, and disease burden. PLoS Negl Trop Dis. 2009;3(8):e412.</w:t>
      </w:r>
    </w:p>
    <w:p>
      <w:pPr>
        <w:spacing w:before="0" w:after="120" w:line="320"/>
      </w:pPr>
      <w:r>
        <w:rPr>
          <w:rFonts w:ascii="Arial" w:cs="Arial" w:eastAsia="Arial" w:hAnsi="Arial"/>
          <w:sz w:val="20"/>
          <w:szCs w:val="20"/>
        </w:rPr>
        <w:t xml:space="preserve">8.	Garcia GA, Bedford L, Moorthy VS. Economic and health system aspects of NTD control. Trans R Soc Trop Med Hyg. 2012;106(7):393–5.</w:t>
      </w:r>
    </w:p>
    <w:p>
      <w:pPr>
        <w:spacing w:before="0" w:after="120" w:line="320"/>
      </w:pPr>
      <w:r>
        <w:rPr>
          <w:rFonts w:ascii="Arial" w:cs="Arial" w:eastAsia="Arial" w:hAnsi="Arial"/>
          <w:sz w:val="20"/>
          <w:szCs w:val="20"/>
        </w:rPr>
        <w:t xml:space="preserve">9.	Deane KD, Bhatt DL, Rein DB, Bhatt DL. Decision-making tools for neglected tropical diseases: a systematic review. BMC Infect Dis. 2020;20(1):1–11.</w:t>
      </w:r>
    </w:p>
    <w:p>
      <w:pPr>
        <w:spacing w:before="0" w:after="120" w:line="320"/>
      </w:pPr>
      <w:r>
        <w:rPr>
          <w:rFonts w:ascii="Arial" w:cs="Arial" w:eastAsia="Arial" w:hAnsi="Arial"/>
          <w:sz w:val="20"/>
          <w:szCs w:val="20"/>
        </w:rPr>
        <w:t xml:space="preserve">10.	NTD Modelling Consortium. Quantitative modelling tools for neglected tropical disease control. Parasit Vectors. 2021;14(1):1–12.</w:t>
      </w:r>
    </w:p>
    <w:p>
      <w:pPr>
        <w:spacing w:before="0" w:after="120" w:line="320"/>
      </w:pPr>
      <w:r>
        <w:rPr>
          <w:rFonts w:ascii="Arial" w:cs="Arial" w:eastAsia="Arial" w:hAnsi="Arial"/>
          <w:sz w:val="20"/>
          <w:szCs w:val="20"/>
        </w:rPr>
        <w:t xml:space="preserve">11.	Lee BY, Bacon KM, Bottazzi ME, Hotez PJ. Global economic burden of Chagas disease: a computational simulation model. Lancet Infect Dis. 2013;13(4):342–8.</w:t>
      </w:r>
    </w:p>
    <w:p>
      <w:pPr>
        <w:spacing w:before="0" w:after="120" w:line="320"/>
      </w:pPr>
      <w:r>
        <w:rPr>
          <w:rFonts w:ascii="Arial" w:cs="Arial" w:eastAsia="Arial" w:hAnsi="Arial"/>
          <w:sz w:val="20"/>
          <w:szCs w:val="20"/>
        </w:rPr>
        <w:t xml:space="preserve">12.	Kim YE, Sicuri E, Tediosi F. Financial and economic costs of the elimination and eradication of onchocerciasis (river blindness) in Africa. PLoS Negl Trop Dis. 2015;9(9):e0004056.</w:t>
      </w:r>
    </w:p>
    <w:p>
      <w:pPr>
        <w:spacing w:before="0" w:after="120" w:line="320"/>
      </w:pPr>
      <w:r>
        <w:rPr>
          <w:rFonts w:ascii="Arial" w:cs="Arial" w:eastAsia="Arial" w:hAnsi="Arial"/>
          <w:sz w:val="20"/>
          <w:szCs w:val="20"/>
        </w:rPr>
        <w:t xml:space="preserve">13.	ESPEN. Expanded Special Project for Elimination of Neglected Tropical Diseases. 2020 data repository. Geneva: WHO; 2021. Available from: https://espen.afro.who.int</w:t>
      </w:r>
    </w:p>
    <w:p>
      <w:pPr>
        <w:spacing w:before="0" w:after="120" w:line="320"/>
      </w:pPr>
      <w:r>
        <w:rPr>
          <w:rFonts w:ascii="Arial" w:cs="Arial" w:eastAsia="Arial" w:hAnsi="Arial"/>
          <w:sz w:val="20"/>
          <w:szCs w:val="20"/>
        </w:rPr>
        <w:t xml:space="preserve">14.	World Health Organization. WHO-CHOICE: choosing interventions that are cost-effective. Geneva: WHO. Available from: https://www.who.int/choice</w:t>
      </w:r>
    </w:p>
    <w:p>
      <w:pPr>
        <w:spacing w:before="0" w:after="120" w:line="320"/>
      </w:pPr>
      <w:r>
        <w:rPr>
          <w:rFonts w:ascii="Arial" w:cs="Arial" w:eastAsia="Arial" w:hAnsi="Arial"/>
          <w:sz w:val="20"/>
          <w:szCs w:val="20"/>
        </w:rPr>
        <w:t xml:space="preserve">15.	World Bank. World Development Indicators. Washington, D.C.: World Bank; 2023. Available from: https://data.worldbank.org</w:t>
      </w:r>
    </w:p>
    <w:p>
      <w:pPr>
        <w:spacing w:before="0" w:after="120" w:line="320"/>
      </w:pPr>
      <w:r>
        <w:rPr>
          <w:rFonts w:ascii="Arial" w:cs="Arial" w:eastAsia="Arial" w:hAnsi="Arial"/>
          <w:sz w:val="20"/>
          <w:szCs w:val="20"/>
        </w:rPr>
        <w:t xml:space="preserve">16.	Podgore JK, Mante SD, Dowuona-Hammond E, Asamoah A, Gyapong JO. Clinical and epidemiological features of lymphatic filariasis in northern Ghana. Trans R Soc Trop Med Hyg. 2001;95(2):219–24.</w:t>
      </w:r>
    </w:p>
    <w:p>
      <w:pPr>
        <w:spacing w:before="0" w:after="120" w:line="320"/>
      </w:pPr>
      <w:r>
        <w:rPr>
          <w:rFonts w:ascii="Arial" w:cs="Arial" w:eastAsia="Arial" w:hAnsi="Arial"/>
          <w:sz w:val="20"/>
          <w:szCs w:val="20"/>
        </w:rPr>
        <w:t xml:space="preserve">17.	Ramaiah KD, Pani SP, Balakrishnan V, Dhanda V, Das PK. Economic burden of lymphatic filariasis in India. Parasitol Today. 1999;15(7):280–3.</w:t>
      </w:r>
    </w:p>
    <w:p>
      <w:pPr>
        <w:spacing w:before="0" w:after="120" w:line="320"/>
      </w:pPr>
      <w:r>
        <w:rPr>
          <w:rFonts w:ascii="Arial" w:cs="Arial" w:eastAsia="Arial" w:hAnsi="Arial"/>
          <w:sz w:val="20"/>
          <w:szCs w:val="20"/>
        </w:rPr>
        <w:t xml:space="preserve">18.	Michael E, Malecela-Lazaro MN, Simonsen PE, Pedersen EM, Barker G, Kumar A, et al. Mathematical modelling and the control and elimination of lymphatic filariasis. Lancet Infect Dis. 2004;4(4):223–34.</w:t>
      </w:r>
    </w:p>
    <w:p>
      <w:pPr>
        <w:spacing w:before="0" w:after="120" w:line="320"/>
      </w:pPr>
      <w:r>
        <w:rPr>
          <w:rFonts w:ascii="Arial" w:cs="Arial" w:eastAsia="Arial" w:hAnsi="Arial"/>
          <w:sz w:val="20"/>
          <w:szCs w:val="20"/>
        </w:rPr>
        <w:t xml:space="preserve">19.	World Health Organization. Monitoring and epidemiological assessment of mass drug administration in the global programme to eliminate lymphatic filariasis: a manual for national elimination programmes. Geneva: WHO; 2011.</w:t>
      </w:r>
    </w:p>
    <w:p>
      <w:pPr>
        <w:spacing w:before="0" w:after="120" w:line="320"/>
      </w:pPr>
      <w:r>
        <w:rPr>
          <w:rFonts w:ascii="Arial" w:cs="Arial" w:eastAsia="Arial" w:hAnsi="Arial"/>
          <w:sz w:val="20"/>
          <w:szCs w:val="20"/>
        </w:rPr>
        <w:t xml:space="preserve">20.	Simonsen PE, Mwakitalu ME. Urban lymphatic filariasis. Parasitol Res. 2013;112(1):35–44.</w:t>
      </w:r>
    </w:p>
    <w:p>
      <w:pPr>
        <w:spacing w:before="0" w:after="120" w:line="320"/>
      </w:pPr>
      <w:r>
        <w:rPr>
          <w:rFonts w:ascii="Arial" w:cs="Arial" w:eastAsia="Arial" w:hAnsi="Arial"/>
          <w:sz w:val="20"/>
          <w:szCs w:val="20"/>
        </w:rPr>
        <w:t xml:space="preserve">21.	Sawers L, Stillwaggon E. Concurrent infections and the political ecology of lymphatic filariasis in Africa. Parasit Vectors. 2020;13(1):1–15.</w:t>
      </w:r>
    </w:p>
    <w:p>
      <w:pPr>
        <w:spacing w:before="0" w:after="120" w:line="320"/>
      </w:pPr>
      <w:r>
        <w:rPr>
          <w:rFonts w:ascii="Arial" w:cs="Arial" w:eastAsia="Arial" w:hAnsi="Arial"/>
          <w:sz w:val="20"/>
          <w:szCs w:val="20"/>
        </w:rPr>
        <w:t xml:space="preserve">22.	GBD 2019 Collaborators. Global burden of 87 risk factors in 204 countries and territories, 1990–2019: a systematic analysis for the Global Burden of Disease Study 2019. Lancet. 2020;396(10258):1223–49.</w:t>
      </w:r>
    </w:p>
    <w:p>
      <w:pPr>
        <w:spacing w:before="0" w:after="120" w:line="320"/>
      </w:pPr>
      <w:r>
        <w:rPr>
          <w:rFonts w:ascii="Arial" w:cs="Arial" w:eastAsia="Arial" w:hAnsi="Arial"/>
          <w:sz w:val="20"/>
          <w:szCs w:val="20"/>
        </w:rPr>
        <w:t xml:space="preserve">23.	Ramaiah KD, Guruswamy P. Economic implications of the lymphatic filariasis elimination programme in India. Indian J Med Res. 2008;127(4):318–23.</w:t>
      </w:r>
    </w:p>
    <w:p>
      <w:pPr>
        <w:spacing w:before="0" w:after="120" w:line="320"/>
      </w:pPr>
      <w:r>
        <w:rPr>
          <w:rFonts w:ascii="Arial" w:cs="Arial" w:eastAsia="Arial" w:hAnsi="Arial"/>
          <w:sz w:val="20"/>
          <w:szCs w:val="20"/>
        </w:rPr>
        <w:t xml:space="preserve">24.	Mathew CG, Addiss DG, O'Hanlon SJ, Krentel A, Mwingira U, Reimer LJ, et al. Economic value of the global programme to eliminate lymphatic filariasis. Am J Trop Med Hyg. 2020;102(5):1001–9.</w:t>
      </w:r>
    </w:p>
    <w:p>
      <w:pPr>
        <w:spacing w:before="0" w:after="120" w:line="320"/>
      </w:pPr>
      <w:r>
        <w:rPr>
          <w:rFonts w:ascii="Arial" w:cs="Arial" w:eastAsia="Arial" w:hAnsi="Arial"/>
          <w:sz w:val="20"/>
          <w:szCs w:val="20"/>
        </w:rPr>
        <w:t xml:space="preserve">25.	Woods B, Revill P, Sculpher M, Claxton K. Country-level cost-effectiveness thresholds: initial estimates and the need for further research. Value Health. 2016;19(8):929–35.</w:t>
      </w:r>
    </w:p>
    <w:p>
      <w:pPr>
        <w:spacing w:before="0" w:after="120" w:line="320"/>
      </w:pPr>
      <w:r>
        <w:rPr>
          <w:rFonts w:ascii="Arial" w:cs="Arial" w:eastAsia="Arial" w:hAnsi="Arial"/>
          <w:sz w:val="20"/>
          <w:szCs w:val="20"/>
        </w:rPr>
        <w:t xml:space="preserve">26.	Coffeng LE, Stolk WA, Hoerauf A, Habbema D, de Vlas SJ. Forward projections of onchocerciasis elimination with ivermectin treatment: modelling the impact on transmission and prevalence. Clin Infect Dis. 2014;59(Suppl 3):S175–83.</w:t>
      </w:r>
    </w:p>
    <w:p>
      <w:pPr>
        <w:spacing w:before="0" w:after="120" w:line="320"/>
      </w:pPr>
      <w:r>
        <w:rPr>
          <w:rFonts w:ascii="Arial" w:cs="Arial" w:eastAsia="Arial" w:hAnsi="Arial"/>
          <w:sz w:val="20"/>
          <w:szCs w:val="20"/>
        </w:rPr>
        <w:t xml:space="preserve">27.	Basáñez MG, Churcher TS, Grillet ME. Onchocerca-Simulium interactions and the population and evolutionary biology of Onchocerca volvulus. Adv Parasitol. 2009;68:263–313.</w:t>
      </w:r>
    </w:p>
    <w:p>
      <w:pPr>
        <w:spacing w:before="0" w:after="120" w:line="320"/>
      </w:pPr>
      <w:r>
        <w:rPr>
          <w:rFonts w:ascii="Arial" w:cs="Arial" w:eastAsia="Arial" w:hAnsi="Arial"/>
          <w:sz w:val="20"/>
          <w:szCs w:val="20"/>
        </w:rPr>
        <w:t xml:space="preserve">28.	Viscusi WK, Masterman CJ. Income elasticities and global values of a statistical life. J Benefit Cost Anal. 2017;8(2):226–50.</w:t>
      </w:r>
    </w:p>
    <w:p>
      <w:pPr>
        <w:spacing w:before="0" w:after="120" w:line="320"/>
      </w:pPr>
      <w:r>
        <w:rPr>
          <w:rFonts w:ascii="Arial" w:cs="Arial" w:eastAsia="Arial" w:hAnsi="Arial"/>
          <w:sz w:val="20"/>
          <w:szCs w:val="20"/>
        </w:rPr>
        <w:t xml:space="preserve">29.	Revill P, Ochalek R, Lomas J, Nakamura R, Woods B, Rollinger A, et al. Global health spending and health outcomes. Lancet. 2016;388(10059):2478–9.</w:t>
      </w:r>
    </w:p>
    <w:p>
      <w:pPr>
        <w:spacing w:before="0" w:after="120" w:line="320"/>
      </w:pPr>
      <w:r>
        <w:rPr>
          <w:rFonts w:ascii="Arial" w:cs="Arial" w:eastAsia="Arial" w:hAnsi="Arial"/>
          <w:sz w:val="20"/>
          <w:szCs w:val="20"/>
        </w:rPr>
        <w:t xml:space="preserve">30.	Dreyer G, Medeiros Z, Netto MJ, Leal NC, de Castro LG, Piessens WF. Acute attacks in the extremities of persons living in an area endemic for bancroftian filariasis. Trans R Soc Trop Med Hyg. 1999;93(4):413–6.</w:t>
      </w:r>
    </w:p>
    <w:p>
      <w:pPr>
        <w:spacing w:before="0" w:after="120" w:line="320"/>
      </w:pPr>
      <w:r>
        <w:rPr>
          <w:rFonts w:ascii="Arial" w:cs="Arial" w:eastAsia="Arial" w:hAnsi="Arial"/>
          <w:sz w:val="20"/>
          <w:szCs w:val="20"/>
        </w:rPr>
        <w:t xml:space="preserve">31.	Mand S, Marfo-Debrekyei Y, Dittrich M, Fischer K, Boakye D, Adjei O, et al. Animated documentation of the filaria dance sign (FDS) in bancroftian filariasis. Filaria J. 2003;2(1):3.</w:t>
      </w:r>
    </w:p>
    <w:p>
      <w:pPr>
        <w:spacing w:before="0" w:after="120" w:line="320"/>
      </w:pPr>
      <w:r>
        <w:rPr>
          <w:rFonts w:ascii="Arial" w:cs="Arial" w:eastAsia="Arial" w:hAnsi="Arial"/>
          <w:sz w:val="20"/>
          <w:szCs w:val="20"/>
        </w:rPr>
        <w:t xml:space="preserve">32.	Brieger WR, Awedoba AK, Eneanya CI, Hagan M, Ogbuagu KF, Okello DO, et al. The effects of ivermectin on onchocercal skin disease and severe itching. Trop Med Int Health. 1998;3(12):951–61.</w:t>
      </w:r>
    </w:p>
    <w:p>
      <w:pPr>
        <w:spacing w:before="0" w:after="120" w:line="320"/>
      </w:pPr>
      <w:r>
        <w:rPr>
          <w:rFonts w:ascii="Arial" w:cs="Arial" w:eastAsia="Arial" w:hAnsi="Arial"/>
          <w:sz w:val="20"/>
          <w:szCs w:val="20"/>
        </w:rPr>
        <w:t xml:space="preserve">33.	Vinkeles Melchers NVS, Mollenkopf S, Bhatt DL, Njamnshi AK, Boussinesq M, Chesnais CB. The burden of onchocerciasis-associated epilepsy. PLoS Negl Trop Dis. 2020;14(3):e0008140.</w:t>
      </w:r>
    </w:p>
    <w:p>
      <w:pPr>
        <w:spacing w:before="0" w:after="120" w:line="320"/>
      </w:pPr>
      <w:r>
        <w:rPr>
          <w:rFonts w:ascii="Arial" w:cs="Arial" w:eastAsia="Arial" w:hAnsi="Arial"/>
          <w:sz w:val="20"/>
          <w:szCs w:val="20"/>
        </w:rPr>
        <w:t xml:space="preserve">34.	World Health Organization. Making choices in health: WHO guide to cost-effectiveness analysis. Geneva: WHO; 2003.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276"/>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2026-03-09T13:57:46.269Z</dcterms:created>
  <dcterms:modified xsi:type="dcterms:W3CDTF">2026-03-09T13:57:46.270Z</dcterms:modified>
</cp:coreProperties>
</file>

<file path=docProps/custom.xml><?xml version="1.0" encoding="utf-8"?>
<Properties xmlns="http://schemas.openxmlformats.org/officeDocument/2006/custom-properties" xmlns:vt="http://schemas.openxmlformats.org/officeDocument/2006/docPropsVTypes"/>
</file>