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7325" w14:textId="77777777" w:rsidR="00065A54" w:rsidRPr="00065A54" w:rsidRDefault="00065A54" w:rsidP="00065A54">
      <w:r w:rsidRPr="00065A54">
        <w:rPr>
          <w:b/>
          <w:bCs/>
        </w:rPr>
        <w:t>The paradox of success</w:t>
      </w:r>
      <w:r w:rsidRPr="00065A54">
        <w:t xml:space="preserve"> </w:t>
      </w:r>
      <w:r w:rsidRPr="00065A54">
        <w:rPr>
          <w:i/>
          <w:iCs/>
        </w:rPr>
        <w:t>Eliminating a tropical disease is often the moment its funding dies</w:t>
      </w:r>
    </w:p>
    <w:p w14:paraId="713B0CA9" w14:textId="77777777" w:rsidR="00065A54" w:rsidRPr="00065A54" w:rsidRDefault="00065A54" w:rsidP="00065A54">
      <w:r w:rsidRPr="00065A54">
        <w:t xml:space="preserve">The paradox of NTD elimination often lies in the reduced salience that follows progress: as cases fall to undetectable levels, ministries and donors lose interest in </w:t>
      </w:r>
      <w:proofErr w:type="spellStart"/>
      <w:r w:rsidRPr="00065A54">
        <w:t>programmes</w:t>
      </w:r>
      <w:proofErr w:type="spellEnd"/>
      <w:r w:rsidRPr="00065A54">
        <w:t xml:space="preserve"> that no longer produce visible patients. Yet making the investment case for continued support is precisely what matters at that point, given the risk of recrudescence if treatment ends prematurely. In consultation with colleagues across the US Centers for Disease Control and Prevention (CDC) and the Atlanta-based Taskforce for Global Health, our science office at CDC's Global Health Center saw the need for a tool that could put such investment cases within reach of the </w:t>
      </w:r>
      <w:proofErr w:type="spellStart"/>
      <w:r w:rsidRPr="00065A54">
        <w:t>programme</w:t>
      </w:r>
      <w:proofErr w:type="spellEnd"/>
      <w:r w:rsidRPr="00065A54">
        <w:t xml:space="preserve"> managers who </w:t>
      </w:r>
      <w:proofErr w:type="gramStart"/>
      <w:r w:rsidRPr="00065A54">
        <w:t>actually need</w:t>
      </w:r>
      <w:proofErr w:type="gramEnd"/>
      <w:r w:rsidRPr="00065A54">
        <w:t xml:space="preserve"> them.</w:t>
      </w:r>
    </w:p>
    <w:p w14:paraId="0161A569" w14:textId="77777777" w:rsidR="00065A54" w:rsidRPr="00065A54" w:rsidRDefault="00065A54" w:rsidP="00065A54">
      <w:r w:rsidRPr="00065A54">
        <w:t xml:space="preserve">Neglected tropical diseases—a cluster of 20 maladies that still afflict more than a billion people, mostly the poorest—are an awkward fit for the politics of global health. Lymphatic filariasis disfigures limbs into elephantine swellings. Onchocerciasis blinds villagers along the rivers of West Africa. Schistosomiasis quietly chews through internal organs. The drugs to treat most of them are donated by pharmaceutical companies; the cost of delivery is, by the standards of global health, modest. And yet the closer </w:t>
      </w:r>
      <w:proofErr w:type="spellStart"/>
      <w:r w:rsidRPr="00065A54">
        <w:t>programmes</w:t>
      </w:r>
      <w:proofErr w:type="spellEnd"/>
      <w:r w:rsidRPr="00065A54">
        <w:t xml:space="preserve"> come to elimination, the harder it becomes to keep them financed.</w:t>
      </w:r>
    </w:p>
    <w:p w14:paraId="1A1363EB" w14:textId="77777777" w:rsidR="00065A54" w:rsidRPr="00065A54" w:rsidRDefault="00065A54" w:rsidP="00065A54">
      <w:r w:rsidRPr="00065A54">
        <w:t xml:space="preserve">The reasons are structural. Remaining endemic areas tend to be remote, often politically fragile and equipped with the </w:t>
      </w:r>
      <w:proofErr w:type="gramStart"/>
      <w:r w:rsidRPr="00065A54">
        <w:t>flimsiest of</w:t>
      </w:r>
      <w:proofErr w:type="gramEnd"/>
      <w:r w:rsidRPr="00065A54">
        <w:t xml:space="preserve"> health systems. The marginal cost of each averted case rises sharply in the final mile. Competing demands—malaria, HIV, the long tail of non-communicable disease—crowd domestic budgets. Donors, sensitive to optics, tend to migrate to crises that produce countable casualties. And the arithmetic of recrudescence is unforgiving: stop too early and a decade of progress can be undone within a few transmission seasons.</w:t>
      </w:r>
    </w:p>
    <w:p w14:paraId="74ECFFBE" w14:textId="77777777" w:rsidR="00065A54" w:rsidRPr="00065A54" w:rsidRDefault="00065A54" w:rsidP="00065A54">
      <w:r w:rsidRPr="00065A54">
        <w:t xml:space="preserve">What </w:t>
      </w:r>
      <w:proofErr w:type="spellStart"/>
      <w:r w:rsidRPr="00065A54">
        <w:t>programme</w:t>
      </w:r>
      <w:proofErr w:type="spellEnd"/>
      <w:r w:rsidRPr="00065A54">
        <w:t xml:space="preserve"> managers need, then, is the ability to make the economic argument quickly, with locally relevant data and defensible methods. What they typically have is a static spreadsheet, designed by economists for economists, that requires careful manual data entry and a working familiarity with disability-adjusted life years. Few national </w:t>
      </w:r>
      <w:proofErr w:type="spellStart"/>
      <w:r w:rsidRPr="00065A54">
        <w:t>programmes</w:t>
      </w:r>
      <w:proofErr w:type="spellEnd"/>
      <w:r w:rsidRPr="00065A54">
        <w:t xml:space="preserve"> have such expertise in-house; fewer still have the time.</w:t>
      </w:r>
    </w:p>
    <w:p w14:paraId="431C0B68" w14:textId="77777777" w:rsidR="00065A54" w:rsidRPr="00065A54" w:rsidRDefault="00065A54" w:rsidP="00065A54">
      <w:r w:rsidRPr="00065A54">
        <w:t xml:space="preserve">The application we built with the Taskforce is meant to close that gap. Users select a country and an administrative unit; the tool pulls epidemiological data from the WHO's ESPEN surveillance platform, lifts country-specific economic parameters from the World Bank and other public databases, and runs a thousand Monte Carlo simulations to produce cost, </w:t>
      </w:r>
      <w:proofErr w:type="gramStart"/>
      <w:r w:rsidRPr="00065A54">
        <w:t>burden</w:t>
      </w:r>
      <w:proofErr w:type="gramEnd"/>
      <w:r w:rsidRPr="00065A54">
        <w:t xml:space="preserve"> and cost-effectiveness estimates with proper uncertainty intervals. Modules currently cover lymphatic filariasis and onchocerciasis across 34 sub-Saharan </w:t>
      </w:r>
      <w:r w:rsidRPr="00065A54">
        <w:lastRenderedPageBreak/>
        <w:t xml:space="preserve">African countries; schistosomiasis and soil-transmitted helminths are next. It runs </w:t>
      </w:r>
      <w:proofErr w:type="gramStart"/>
      <w:r w:rsidRPr="00065A54">
        <w:t>in</w:t>
      </w:r>
      <w:proofErr w:type="gramEnd"/>
      <w:r w:rsidRPr="00065A54">
        <w:t xml:space="preserve"> a browser, requires no installation and is </w:t>
      </w:r>
      <w:proofErr w:type="gramStart"/>
      <w:r w:rsidRPr="00065A54">
        <w:t>open-source</w:t>
      </w:r>
      <w:proofErr w:type="gramEnd"/>
      <w:r w:rsidRPr="00065A54">
        <w:t>.</w:t>
      </w:r>
    </w:p>
    <w:p w14:paraId="25EE5BE4" w14:textId="77777777" w:rsidR="00065A54" w:rsidRPr="00065A54" w:rsidRDefault="00065A54" w:rsidP="00065A54">
      <w:r w:rsidRPr="00065A54">
        <w:t xml:space="preserve">The methodological choices are, by the standards of global health economics, refreshingly honest. Productivity losses are calculated using the income share of the poorest wealth quintile, rather than national mean wages—a small adjustment that </w:t>
      </w:r>
      <w:proofErr w:type="spellStart"/>
      <w:r w:rsidRPr="00065A54">
        <w:t>recognises</w:t>
      </w:r>
      <w:proofErr w:type="spellEnd"/>
      <w:r w:rsidRPr="00065A54">
        <w:t xml:space="preserve"> an inconvenient truth, namely that NTDs cluster among people who earn very little. Cost-effectiveness is judged against the empirically grounded thresholds proposed by Woods and colleagues at the University of York, rather than the lazy convention of one to three times GDP per capita, which tends to flatter interventions in poor countries beyond what the evidence will bear.</w:t>
      </w:r>
    </w:p>
    <w:p w14:paraId="4447FBC4" w14:textId="77777777" w:rsidR="00065A54" w:rsidRPr="00065A54" w:rsidRDefault="00065A54" w:rsidP="00065A54">
      <w:r w:rsidRPr="00065A54">
        <w:t xml:space="preserve">The output is the sort of thing a finance ministry can actually </w:t>
      </w:r>
      <w:proofErr w:type="gramStart"/>
      <w:r w:rsidRPr="00065A54">
        <w:t>use:</w:t>
      </w:r>
      <w:proofErr w:type="gramEnd"/>
      <w:r w:rsidRPr="00065A54">
        <w:t xml:space="preserve"> incremental cost per DALY averted, return on each dollar invested, time horizons to elimination and the probability that transmission will resurge if surveillance lapses. Pilot deployments in several African countries suggest </w:t>
      </w:r>
      <w:proofErr w:type="spellStart"/>
      <w:r w:rsidRPr="00065A54">
        <w:t>programme</w:t>
      </w:r>
      <w:proofErr w:type="spellEnd"/>
      <w:r w:rsidRPr="00065A54">
        <w:t xml:space="preserve"> managers find it useful when preparing investment cases or sub-national plans. None of this replaces the sophisticated transmission models produced by the NTD Modelling Consortium and others. But those models, for all their elegance, rarely produce the economic numbers ministers and donors want to see.</w:t>
      </w:r>
    </w:p>
    <w:p w14:paraId="1892620D" w14:textId="77777777" w:rsidR="00065A54" w:rsidRPr="00065A54" w:rsidRDefault="00065A54" w:rsidP="00065A54">
      <w:r w:rsidRPr="00065A54">
        <w:t xml:space="preserve">The broader lesson is that, as global health enters an era of leaner budgets and harder choices, the binding constraint is increasingly analytical rather than pharmacological. Building a credible case for spending money requires the unglamorous discipline of health </w:t>
      </w:r>
      <w:proofErr w:type="gramStart"/>
      <w:r w:rsidRPr="00065A54">
        <w:t>economics—</w:t>
      </w:r>
      <w:proofErr w:type="gramEnd"/>
      <w:r w:rsidRPr="00065A54">
        <w:t>costing, modelling, uncertainty analysis—skills that are scarce in the very countries that need them most.</w:t>
      </w:r>
    </w:p>
    <w:p w14:paraId="42C84A04" w14:textId="77777777" w:rsidR="00065A54" w:rsidRPr="00065A54" w:rsidRDefault="00065A54" w:rsidP="00065A54">
      <w:r w:rsidRPr="00065A54">
        <w:t xml:space="preserve">That is where our office hopes to be useful beyond this single application. The science office at CDC's Global Health Center works across a wider portfolio of global health economics questions and is open to consulting with ministries of health, implementing partners and multilateral agencies on costing studies, economic evaluations and investment cases, as well as offering training where local capacity is the binding constraint. The NTD tool is freely available online; its source code sits on GitHub, ready to be adapted, </w:t>
      </w:r>
      <w:proofErr w:type="spellStart"/>
      <w:r w:rsidRPr="00065A54">
        <w:t>criticised</w:t>
      </w:r>
      <w:proofErr w:type="spellEnd"/>
      <w:r w:rsidRPr="00065A54">
        <w:t xml:space="preserve"> or improved.</w:t>
      </w:r>
    </w:p>
    <w:p w14:paraId="18CC4543" w14:textId="77777777" w:rsidR="00065A54" w:rsidRPr="00065A54" w:rsidRDefault="00065A54" w:rsidP="00065A54">
      <w:r w:rsidRPr="00065A54">
        <w:t>The last mile of any elimination campaign is the most expensive per case averted, and the easiest to abandon. Whether the world reaches its 2030 NTD targets will depend less on new technology than on the quiet, persistent work of making the numbers add up.</w:t>
      </w:r>
    </w:p>
    <w:p w14:paraId="6F89CB97" w14:textId="56AE0784" w:rsidR="00065A54" w:rsidRPr="00065A54" w:rsidRDefault="00065A54" w:rsidP="00065A54"/>
    <w:p w14:paraId="1CDDAE33" w14:textId="77777777" w:rsidR="00477976" w:rsidRDefault="00477976"/>
    <w:sectPr w:rsidR="004779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54"/>
    <w:rsid w:val="00065A54"/>
    <w:rsid w:val="00477976"/>
    <w:rsid w:val="0088669A"/>
    <w:rsid w:val="008E5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A0EBF"/>
  <w15:chartTrackingRefBased/>
  <w15:docId w15:val="{06F89695-4622-44F7-9C13-7F13E04B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A54"/>
    <w:rPr>
      <w:rFonts w:eastAsiaTheme="majorEastAsia" w:cstheme="majorBidi"/>
      <w:color w:val="272727" w:themeColor="text1" w:themeTint="D8"/>
    </w:rPr>
  </w:style>
  <w:style w:type="paragraph" w:styleId="Title">
    <w:name w:val="Title"/>
    <w:basedOn w:val="Normal"/>
    <w:next w:val="Normal"/>
    <w:link w:val="TitleChar"/>
    <w:uiPriority w:val="10"/>
    <w:qFormat/>
    <w:rsid w:val="00065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A54"/>
    <w:pPr>
      <w:spacing w:before="160"/>
      <w:jc w:val="center"/>
    </w:pPr>
    <w:rPr>
      <w:i/>
      <w:iCs/>
      <w:color w:val="404040" w:themeColor="text1" w:themeTint="BF"/>
    </w:rPr>
  </w:style>
  <w:style w:type="character" w:customStyle="1" w:styleId="QuoteChar">
    <w:name w:val="Quote Char"/>
    <w:basedOn w:val="DefaultParagraphFont"/>
    <w:link w:val="Quote"/>
    <w:uiPriority w:val="29"/>
    <w:rsid w:val="00065A54"/>
    <w:rPr>
      <w:i/>
      <w:iCs/>
      <w:color w:val="404040" w:themeColor="text1" w:themeTint="BF"/>
    </w:rPr>
  </w:style>
  <w:style w:type="paragraph" w:styleId="ListParagraph">
    <w:name w:val="List Paragraph"/>
    <w:basedOn w:val="Normal"/>
    <w:uiPriority w:val="34"/>
    <w:qFormat/>
    <w:rsid w:val="00065A54"/>
    <w:pPr>
      <w:ind w:left="720"/>
      <w:contextualSpacing/>
    </w:pPr>
  </w:style>
  <w:style w:type="character" w:styleId="IntenseEmphasis">
    <w:name w:val="Intense Emphasis"/>
    <w:basedOn w:val="DefaultParagraphFont"/>
    <w:uiPriority w:val="21"/>
    <w:qFormat/>
    <w:rsid w:val="00065A54"/>
    <w:rPr>
      <w:i/>
      <w:iCs/>
      <w:color w:val="0F4761" w:themeColor="accent1" w:themeShade="BF"/>
    </w:rPr>
  </w:style>
  <w:style w:type="paragraph" w:styleId="IntenseQuote">
    <w:name w:val="Intense Quote"/>
    <w:basedOn w:val="Normal"/>
    <w:next w:val="Normal"/>
    <w:link w:val="IntenseQuoteChar"/>
    <w:uiPriority w:val="30"/>
    <w:qFormat/>
    <w:rsid w:val="00065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A54"/>
    <w:rPr>
      <w:i/>
      <w:iCs/>
      <w:color w:val="0F4761" w:themeColor="accent1" w:themeShade="BF"/>
    </w:rPr>
  </w:style>
  <w:style w:type="character" w:styleId="IntenseReference">
    <w:name w:val="Intense Reference"/>
    <w:basedOn w:val="DefaultParagraphFont"/>
    <w:uiPriority w:val="32"/>
    <w:qFormat/>
    <w:rsid w:val="00065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841</Words>
  <Characters>4597</Characters>
  <Application>Microsoft Office Word</Application>
  <DocSecurity>0</DocSecurity>
  <Lines>459</Lines>
  <Paragraphs>247</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Ochieng, Walter (CDC/GHC/OD)</dc:creator>
  <cp:keywords/>
  <dc:description/>
  <cp:lastModifiedBy>Ochieng, Walter (CDC/GHC/OD)</cp:lastModifiedBy>
  <cp:revision>1</cp:revision>
  <dcterms:created xsi:type="dcterms:W3CDTF">2026-06-03T18:32:00Z</dcterms:created>
  <dcterms:modified xsi:type="dcterms:W3CDTF">2026-06-03T18:33:00Z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f03ff0-41c5-4c41-b55e-fabb8fae94be_Enabled">
    <vt:lpwstr>true</vt:lpwstr>
  </property>
  <property fmtid="{D5CDD505-2E9C-101B-9397-08002B2CF9AE}" pid="3" name="MSIP_Label_8af03ff0-41c5-4c41-b55e-fabb8fae94be_SetDate">
    <vt:lpwstr>2026-06-03T18:32:59Z</vt:lpwstr>
  </property>
  <property fmtid="{D5CDD505-2E9C-101B-9397-08002B2CF9AE}" pid="4" name="MSIP_Label_8af03ff0-41c5-4c41-b55e-fabb8fae94be_Method">
    <vt:lpwstr>Privileged</vt:lpwstr>
  </property>
  <property fmtid="{D5CDD505-2E9C-101B-9397-08002B2CF9AE}" pid="5" name="MSIP_Label_8af03ff0-41c5-4c41-b55e-fabb8fae94be_Name">
    <vt:lpwstr>8af03ff0-41c5-4c41-b55e-fabb8fae94be</vt:lpwstr>
  </property>
  <property fmtid="{D5CDD505-2E9C-101B-9397-08002B2CF9AE}" pid="6" name="MSIP_Label_8af03ff0-41c5-4c41-b55e-fabb8fae94be_SiteId">
    <vt:lpwstr>9ce70869-60db-44fd-abe8-d2767077fc8f</vt:lpwstr>
  </property>
  <property fmtid="{D5CDD505-2E9C-101B-9397-08002B2CF9AE}" pid="7" name="MSIP_Label_8af03ff0-41c5-4c41-b55e-fabb8fae94be_ActionId">
    <vt:lpwstr>3d1e1025-e181-406c-bbbe-8e9849976ea3</vt:lpwstr>
  </property>
  <property fmtid="{D5CDD505-2E9C-101B-9397-08002B2CF9AE}" pid="8" name="MSIP_Label_8af03ff0-41c5-4c41-b55e-fabb8fae94be_ContentBits">
    <vt:lpwstr>0</vt:lpwstr>
  </property>
  <property fmtid="{D5CDD505-2E9C-101B-9397-08002B2CF9AE}" pid="9" name="MSIP_Label_8af03ff0-41c5-4c41-b55e-fabb8fae94be_Tag">
    <vt:lpwstr>10, 0, 1, 1</vt:lpwstr>
  </property>
</Properties>
</file>