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F3864"/>
          <w:sz w:val="40"/>
          <w:szCs w:val="40"/>
        </w:rPr>
        <w:t xml:space="preserve">Technical Appendix</w:t>
      </w:r>
    </w:p>
    <w:p>
      <w:pPr>
        <w:spacing w:before="0" w:after="60"/>
        <w:jc w:val="center"/>
      </w:pPr>
      <w:r>
        <w:rPr>
          <w:rFonts w:ascii="Arial" w:cs="Arial" w:eastAsia="Arial" w:hAnsi="Arial"/>
          <w:i/>
          <w:iCs/>
          <w:color w:val="333333"/>
          <w:sz w:val="26"/>
          <w:szCs w:val="26"/>
        </w:rPr>
        <w:t xml:space="preserve">Cost-Effectiveness of Universal Syphilis Screening in Emergency Departments</w:t>
      </w:r>
    </w:p>
    <w:p>
      <w:pPr>
        <w:pBdr>
          <w:bottom w:val="single" w:color="2E6DA4" w:sz="10" w:space="6"/>
        </w:pBdr>
        <w:spacing w:before="0" w:after="300"/>
        <w:jc w:val="center"/>
      </w:pPr>
      <w:r>
        <w:rPr>
          <w:rFonts w:ascii="Arial" w:cs="Arial" w:eastAsia="Arial" w:hAnsi="Arial"/>
          <w:color w:val="555555"/>
          <w:sz w:val="22"/>
          <w:szCs w:val="22"/>
        </w:rPr>
        <w:t xml:space="preserve">Among Indigent Pregnant Patients Whose First Healthcare Contact Is the ED</w:t>
      </w:r>
    </w:p>
    <w:p>
      <w:pPr>
        <w:spacing w:before="0" w:after="0"/>
      </w:pPr>
      <w:r>
        <w:rPr>
          <w:rFonts w:ascii="Arial" w:cs="Arial" w:eastAsia="Arial" w:hAnsi="Arial"/>
          <w:b w:val="false"/>
          <w:bCs w:val="false"/>
          <w:i w:val="false"/>
          <w:iCs w:val="false"/>
          <w:color w:val="000000"/>
          <w:sz w:val="20"/>
          <w:szCs w:val="20"/>
        </w:rPr>
        <w:t xml:space="preserve"/>
      </w:r>
    </w:p>
    <w:p>
      <w:pPr>
        <w:pStyle w:val="Heading1"/>
        <w:pBdr>
          <w:bottom w:val="single" w:color="2E6DA4" w:sz="6" w:space="4"/>
        </w:pBdr>
        <w:spacing w:before="360" w:after="160"/>
      </w:pPr>
      <w:r>
        <w:rPr>
          <w:rFonts w:ascii="Arial" w:cs="Arial" w:eastAsia="Arial" w:hAnsi="Arial"/>
          <w:b/>
          <w:bCs/>
          <w:color w:val="1F3864"/>
          <w:sz w:val="28"/>
          <w:szCs w:val="28"/>
        </w:rPr>
        <w:t xml:space="preserve">A1. Model Overview and Decision Problem</w:t>
      </w:r>
    </w:p>
    <w:p>
      <w:pPr>
        <w:spacing w:before="120" w:after="80"/>
        <w:jc w:val="both"/>
      </w:pPr>
      <w:r>
        <w:rPr>
          <w:rFonts w:ascii="Arial" w:cs="Arial" w:eastAsia="Arial" w:hAnsi="Arial"/>
          <w:b w:val="false"/>
          <w:bCs w:val="false"/>
          <w:i w:val="false"/>
          <w:iCs w:val="false"/>
          <w:color w:val="000000"/>
          <w:sz w:val="20"/>
          <w:szCs w:val="20"/>
        </w:rPr>
        <w:t xml:space="preserve">This appendix provides a complete technical description of the decision-analytic model used to evaluate the cost-effectiveness of universal opt-out syphilis screening and same-day treatment initiation for pregnant patients presenting to emergency departments (EDs). The model targets indigent and Medicaid-insured patients for whom the ED visit represents the first—and potentially only—contact with the healthcare system during their pregnancy.</w:t>
      </w:r>
    </w:p>
    <w:p>
      <w:pPr>
        <w:pStyle w:val="Heading2"/>
        <w:spacing w:before="240" w:after="100"/>
      </w:pPr>
      <w:r>
        <w:rPr>
          <w:rFonts w:ascii="Arial" w:cs="Arial" w:eastAsia="Arial" w:hAnsi="Arial"/>
          <w:b/>
          <w:bCs/>
          <w:color w:val="2E6DA4"/>
          <w:sz w:val="24"/>
          <w:szCs w:val="24"/>
        </w:rPr>
        <w:t xml:space="preserve">A1.1 Analytic Framework</w:t>
      </w:r>
    </w:p>
    <w:p>
      <w:pPr>
        <w:spacing w:before="80" w:after="80"/>
        <w:jc w:val="both"/>
      </w:pPr>
      <w:r>
        <w:rPr>
          <w:rFonts w:ascii="Arial" w:cs="Arial" w:eastAsia="Arial" w:hAnsi="Arial"/>
          <w:b w:val="false"/>
          <w:bCs w:val="false"/>
          <w:i w:val="false"/>
          <w:iCs w:val="false"/>
          <w:color w:val="000000"/>
          <w:sz w:val="20"/>
          <w:szCs w:val="20"/>
        </w:rPr>
        <w:t xml:space="preserve">The model takes the form of a hybrid decision tree with a downstream infant lifetime Markov module. The decision tree captures the ED visit, screening and diagnostic pathway, treatment initiation, and birth outcomes. The Markov module captures lifetime disability burden and healthcare costs for infants born with congenital syphilis (CS). This structure is standard for congenital infection screening evaluations.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Component</w:t>
            </w:r>
          </w:p>
        </w:tc>
        <w:tc>
          <w:tcPr>
            <w:tcW w:type="dxa" w:w="69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Description</w:t>
            </w:r>
          </w:p>
        </w:tc>
      </w:tr>
      <w:tr>
        <w:tc>
          <w:tcPr>
            <w:tcW w:type="dxa" w:w="46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Decision problem</w:t>
            </w:r>
          </w:p>
        </w:tc>
        <w:tc>
          <w:tcPr>
            <w:tcW w:type="dxa" w:w="46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Is universal ED syphilis screening + same-day treatment initiation cost-effective vs standard prenatal care as comparator among indigent pregnant patients?</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Intervention</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Universal opt-out treponemal screen at ED presentation; reactive screens confirmed by quantitative RPR; same-day benzathine penicillin G where feasible; linkage to complete regimen and partner services.</w:t>
            </w:r>
          </w:p>
        </w:tc>
      </w:tr>
      <w:tr>
        <w:tc>
          <w:tcPr>
            <w:tcW w:type="dxa" w:w="46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Comparator</w:t>
            </w:r>
          </w:p>
        </w:tc>
        <w:tc>
          <w:tcPr>
            <w:tcW w:type="dxa" w:w="46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Usual care: screening at first prenatal visit, third trimester, and delivery per guideline; coverage is weighted by gestational age at ED presentation and linkage-to-care probability.</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Target population</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Pregnant patients with no prior prenatal care at time of ED visit; parameterized across four gestational age strata at presentation.</w:t>
            </w:r>
          </w:p>
        </w:tc>
      </w:tr>
      <w:tr>
        <w:tc>
          <w:tcPr>
            <w:tcW w:type="dxa" w:w="46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Perspectives</w:t>
            </w:r>
          </w:p>
        </w:tc>
        <w:tc>
          <w:tcPr>
            <w:tcW w:type="dxa" w:w="46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Primary: healthcare payer (Medicaid/health sector). Secondary: societal (+ value of statistical life for mortality events averted).</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Time horizon</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Pregnancy through delivery (decision tree) plus infant lifetime to death (Markov module); discounted throughout.</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Outcomes</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Primary: incremental cost per DALY averted (ICER). Secondary: CS cases averted, stillbirths averted, number needed to screen (NNS), 5-year budget impact.</w:t>
            </w:r>
          </w:p>
        </w:tc>
      </w:tr>
      <w:tr>
        <w:tc>
          <w:tcPr>
            <w:tcW w:type="dxa" w:w="46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Discounting</w:t>
            </w:r>
          </w:p>
        </w:tc>
        <w:tc>
          <w:tcPr>
            <w:tcW w:type="dxa" w:w="46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3.5% per year (base case) for both costs and DALYs; 0% and 5% in sensitivity analysis.</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Currency and year</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2025 USD; 2019 cost inputs inflated using the US Bureau of Labor Statistics Consumer Price Index for Medical Care Services (CPI factor: 1.183×).</w:t>
            </w:r>
          </w:p>
        </w:tc>
      </w:tr>
    </w:tbl>
    <w:p>
      <w:pPr>
        <w:spacing w:before="60" w:after="60"/>
        <w:jc w:val="left"/>
      </w:pPr>
      <w:r>
        <w:rPr>
          <w:rFonts w:ascii="Arial" w:cs="Arial" w:eastAsia="Arial" w:hAnsi="Arial"/>
          <w:b/>
          <w:bCs/>
          <w:i/>
          <w:iCs/>
          <w:sz w:val="18"/>
          <w:szCs w:val="18"/>
        </w:rPr>
        <w:t xml:space="preserve">Note. </w:t>
      </w:r>
      <w:r>
        <w:rPr>
          <w:rFonts w:ascii="Arial" w:cs="Arial" w:eastAsia="Arial" w:hAnsi="Arial"/>
          <w:i/>
          <w:iCs/>
          <w:sz w:val="18"/>
          <w:szCs w:val="18"/>
        </w:rPr>
        <w:t xml:space="preserve">CS = congenital syphilis; RPR = rapid plasma reagin; DALY = disability-adjusted life year.</w:t>
      </w:r>
    </w:p>
    <w:p>
      <w:pPr>
        <w:spacing w:before="0" w:after="0"/>
      </w:pPr>
      <w:r>
        <w:rPr>
          <w:rFonts w:ascii="Arial" w:cs="Arial" w:eastAsia="Arial" w:hAnsi="Arial"/>
          <w:b w:val="false"/>
          <w:bCs w:val="false"/>
          <w:i w:val="false"/>
          <w:iCs w:val="false"/>
          <w:color w:val="000000"/>
          <w:sz w:val="20"/>
          <w:szCs w:val="20"/>
        </w:rPr>
        <w:t xml:space="preserve"/>
      </w:r>
    </w:p>
    <w:p>
      <w:pPr>
        <w:pStyle w:val="Heading1"/>
        <w:pBdr>
          <w:bottom w:val="single" w:color="2E6DA4" w:sz="6" w:space="4"/>
        </w:pBdr>
        <w:spacing w:before="360" w:after="160"/>
      </w:pPr>
      <w:r>
        <w:rPr>
          <w:rFonts w:ascii="Arial" w:cs="Arial" w:eastAsia="Arial" w:hAnsi="Arial"/>
          <w:b/>
          <w:bCs/>
          <w:color w:val="1F3864"/>
          <w:sz w:val="28"/>
          <w:szCs w:val="28"/>
        </w:rPr>
        <w:t xml:space="preserve">A2. Decision Tree Structure</w:t>
      </w:r>
    </w:p>
    <w:p>
      <w:pPr>
        <w:spacing w:before="80" w:after="80"/>
        <w:jc w:val="both"/>
      </w:pPr>
      <w:r>
        <w:rPr>
          <w:rFonts w:ascii="Arial" w:cs="Arial" w:eastAsia="Arial" w:hAnsi="Arial"/>
          <w:b w:val="false"/>
          <w:bCs w:val="false"/>
          <w:i w:val="false"/>
          <w:iCs w:val="false"/>
          <w:color w:val="000000"/>
          <w:sz w:val="20"/>
          <w:szCs w:val="20"/>
        </w:rPr>
        <w:t xml:space="preserve">The decision tree begins at the ED presentation node and terminates at birth outcome nodes, which then seed the infant Markov module for all CS cases. Outcomes are structured as mutually exclusive conditional events to prevent double-counting of fetal and neonatal mortality within the same cohort member.</w:t>
      </w:r>
    </w:p>
    <w:p>
      <w:pPr>
        <w:pStyle w:val="Heading2"/>
        <w:spacing w:before="240" w:after="100"/>
      </w:pPr>
      <w:r>
        <w:rPr>
          <w:rFonts w:ascii="Arial" w:cs="Arial" w:eastAsia="Arial" w:hAnsi="Arial"/>
          <w:b/>
          <w:bCs/>
          <w:color w:val="2E6DA4"/>
          <w:sz w:val="24"/>
          <w:szCs w:val="24"/>
        </w:rPr>
        <w:t xml:space="preserve">A2.1 Node Structure</w:t>
      </w:r>
    </w:p>
    <w:p>
      <w:pPr>
        <w:pStyle w:val="Heading3"/>
        <w:spacing w:before="180" w:after="80"/>
      </w:pPr>
      <w:r>
        <w:rPr>
          <w:rFonts w:ascii="Arial" w:cs="Arial" w:eastAsia="Arial" w:hAnsi="Arial"/>
          <w:b/>
          <w:bCs/>
          <w:i/>
          <w:iCs/>
          <w:color w:val="333333"/>
          <w:sz w:val="22"/>
          <w:szCs w:val="22"/>
        </w:rPr>
        <w:t xml:space="preserve">Node 1 — Maternal Infection Status</w:t>
      </w:r>
    </w:p>
    <w:p>
      <w:pPr>
        <w:spacing w:before="80" w:after="80"/>
        <w:jc w:val="both"/>
      </w:pPr>
      <w:r>
        <w:rPr>
          <w:rFonts w:ascii="Arial" w:cs="Arial" w:eastAsia="Arial" w:hAnsi="Arial"/>
          <w:b w:val="false"/>
          <w:bCs w:val="false"/>
          <w:i w:val="false"/>
          <w:iCs w:val="false"/>
          <w:color w:val="000000"/>
          <w:sz w:val="20"/>
          <w:szCs w:val="20"/>
        </w:rPr>
        <w:t xml:space="preserve">Each patient in the cohort is classified into one of three mutually exclusive states at ED presentation:</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Active syphilis (primary, secondary, early latent, or late latent of unknown duration): prevalence p_act</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Serofast / prior-treated: treponemal IgG persists for life after successful treatment; no active infection, no congenital syphilis risk. Prevalence p_sf</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Seronegative (neither actively infected nor serofast): prevalence 1 − p_act − p_sf</w:t>
      </w:r>
    </w:p>
    <w:p>
      <w:pPr>
        <w:pStyle w:val="Heading3"/>
        <w:spacing w:before="180" w:after="80"/>
      </w:pPr>
      <w:r>
        <w:rPr>
          <w:rFonts w:ascii="Arial" w:cs="Arial" w:eastAsia="Arial" w:hAnsi="Arial"/>
          <w:b/>
          <w:bCs/>
          <w:i/>
          <w:iCs/>
          <w:color w:val="333333"/>
          <w:sz w:val="22"/>
          <w:szCs w:val="22"/>
        </w:rPr>
        <w:t xml:space="preserve">Node 2 — Pregnancy Identification</w:t>
      </w:r>
    </w:p>
    <w:p>
      <w:pPr>
        <w:spacing w:before="80" w:after="80"/>
        <w:jc w:val="both"/>
      </w:pPr>
      <w:r>
        <w:rPr>
          <w:rFonts w:ascii="Arial" w:cs="Arial" w:eastAsia="Arial" w:hAnsi="Arial"/>
          <w:b w:val="false"/>
          <w:bCs w:val="false"/>
          <w:i w:val="false"/>
          <w:iCs w:val="false"/>
          <w:color w:val="000000"/>
          <w:sz w:val="20"/>
          <w:szCs w:val="20"/>
        </w:rPr>
        <w:t xml:space="preserve">Not all pregnant patients presenting to the ED are identified as pregnant before screening is offered. The probability of pregnancy being recognized in the ED workflow is parameterized as </w:t>
      </w:r>
      <w:r>
        <w:rPr>
          <w:rFonts w:ascii="Arial" w:cs="Arial" w:eastAsia="Arial" w:hAnsi="Arial"/>
          <w:b w:val="false"/>
          <w:bCs w:val="false"/>
          <w:i/>
          <w:iCs/>
          <w:color w:val="000000"/>
          <w:sz w:val="20"/>
          <w:szCs w:val="20"/>
        </w:rPr>
        <w:t xml:space="preserve">p_identified</w:t>
      </w:r>
      <w:r>
        <w:rPr>
          <w:rFonts w:ascii="Arial" w:cs="Arial" w:eastAsia="Arial" w:hAnsi="Arial"/>
          <w:b w:val="false"/>
          <w:bCs w:val="false"/>
          <w:i w:val="false"/>
          <w:iCs w:val="false"/>
          <w:color w:val="000000"/>
          <w:sz w:val="20"/>
          <w:szCs w:val="20"/>
        </w:rPr>
        <w:t xml:space="preserve">, applied multiplicatively to screening coverage in both arms. This parameter is new in model version 2 and captures operational realism—particularly relevant for early first-trimester presentations where gestational signs are not clinically apparent.</w:t>
      </w:r>
    </w:p>
    <w:p>
      <w:pPr>
        <w:pStyle w:val="Heading3"/>
        <w:spacing w:before="180" w:after="80"/>
      </w:pPr>
      <w:r>
        <w:rPr>
          <w:rFonts w:ascii="Arial" w:cs="Arial" w:eastAsia="Arial" w:hAnsi="Arial"/>
          <w:b/>
          <w:bCs/>
          <w:i/>
          <w:iCs/>
          <w:color w:val="333333"/>
          <w:sz w:val="22"/>
          <w:szCs w:val="22"/>
        </w:rPr>
        <w:t xml:space="preserve">Node 3 — Screening and Test Performance</w:t>
      </w:r>
    </w:p>
    <w:p>
      <w:pPr>
        <w:spacing w:before="80" w:after="80"/>
        <w:jc w:val="both"/>
      </w:pPr>
      <w:r>
        <w:rPr>
          <w:rFonts w:ascii="Arial" w:cs="Arial" w:eastAsia="Arial" w:hAnsi="Arial"/>
          <w:b w:val="false"/>
          <w:bCs w:val="false"/>
          <w:i w:val="false"/>
          <w:iCs w:val="false"/>
          <w:color w:val="000000"/>
          <w:sz w:val="20"/>
          <w:szCs w:val="20"/>
        </w:rPr>
        <w:t xml:space="preserve">Among patients identified as pregnant, the model applies the reverse-sequence algorithm: treponemal enzyme immunoassay (EIA) screen followed by quantitative RPR for reactive screens.</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Test sensitivity (treponemal screen): sens = 0.98 [0.95–1.00]</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Test specificity: spec = 0.98 [0.95–1.00]</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Serofast patients test treponemal-positive with probability p_trepo_sf = 0.95, generating a workup cost without any congenital syphilis benefit</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False positives (seronegative patients with reactive screens) incur confirmatory testing costs; empiric treatment of false positives is a toggleable scenario</w:t>
      </w:r>
    </w:p>
    <w:p>
      <w:pPr>
        <w:pStyle w:val="Heading3"/>
        <w:spacing w:before="180" w:after="80"/>
      </w:pPr>
      <w:r>
        <w:rPr>
          <w:rFonts w:ascii="Arial" w:cs="Arial" w:eastAsia="Arial" w:hAnsi="Arial"/>
          <w:b/>
          <w:bCs/>
          <w:i/>
          <w:iCs/>
          <w:color w:val="333333"/>
          <w:sz w:val="22"/>
          <w:szCs w:val="22"/>
        </w:rPr>
        <w:t xml:space="preserve">Node 4 — Treatment Cascade</w:t>
      </w:r>
    </w:p>
    <w:p>
      <w:pPr>
        <w:spacing w:before="80" w:after="80"/>
        <w:jc w:val="both"/>
      </w:pPr>
      <w:r>
        <w:rPr>
          <w:rFonts w:ascii="Arial" w:cs="Arial" w:eastAsia="Arial" w:hAnsi="Arial"/>
          <w:b w:val="false"/>
          <w:bCs w:val="false"/>
          <w:i w:val="false"/>
          <w:iCs w:val="false"/>
          <w:color w:val="000000"/>
          <w:sz w:val="20"/>
          <w:szCs w:val="20"/>
        </w:rPr>
        <w:t xml:space="preserve">For true-positive screens, the effective probability of treatment preventing congenital outcomes is a product of four cascading parameters: </w:t>
      </w:r>
      <w:r>
        <w:rPr>
          <w:rFonts w:ascii="Arial" w:cs="Arial" w:eastAsia="Arial" w:hAnsi="Arial"/>
          <w:b w:val="false"/>
          <w:bCs w:val="false"/>
          <w:i/>
          <w:iCs/>
          <w:color w:val="000000"/>
          <w:sz w:val="20"/>
          <w:szCs w:val="20"/>
        </w:rPr>
        <w:t xml:space="preserve">p_eff = sc × p_id × sens × p_adeq × p_tx_complete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1500"/>
        <w:gridCol w:w="1500"/>
      </w:tblGrid>
      <w:tr>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Parameter</w:t>
            </w:r>
          </w:p>
        </w:tc>
        <w:tc>
          <w:tcPr>
            <w:tcW w:type="dxa" w:w="4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Description</w:t>
            </w:r>
          </w:p>
        </w:tc>
        <w:tc>
          <w:tcPr>
            <w:tcW w:type="dxa" w:w="1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Base case</w:t>
            </w:r>
          </w:p>
        </w:tc>
        <w:tc>
          <w:tcPr>
            <w:tcW w:type="dxa" w:w="1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Range (PSA)</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iCs/>
                <w:color w:val="000000"/>
                <w:sz w:val="20"/>
                <w:szCs w:val="20"/>
              </w:rPr>
              <w:t xml:space="preserve">sc</w:t>
            </w:r>
          </w:p>
        </w:tc>
        <w:tc>
          <w:tcPr>
            <w:tcW w:type="dxa" w:w="45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Screening coverage under each arm (intervention vs. strata-weighted usual care)</w:t>
            </w:r>
          </w:p>
        </w:tc>
        <w:tc>
          <w:tcPr>
            <w:tcW w:type="dxa" w:w="15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0.90 vs. 0.42</w:t>
            </w:r>
          </w:p>
        </w:tc>
        <w:tc>
          <w:tcPr>
            <w:tcW w:type="dxa" w:w="15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iCs/>
                <w:color w:val="000000"/>
                <w:sz w:val="20"/>
                <w:szCs w:val="20"/>
              </w:rPr>
              <w:t xml:space="preserve">p_id</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P(pregnancy identified in ED workflow)</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0.85</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0.65 – 0.98</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sens</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Treponemal test sensitivity</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0.98</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Beta(0.85, 1.00)</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p_adeq</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P(adequate treatment | true positive detected)</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0.85</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Beta(0.30, 1.00)</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p_tx</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P(treatment completion | rx initiated); weighted by gestational age strata</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0.77</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Beta(0.38, 0.95)</w:t>
            </w:r>
          </w:p>
        </w:tc>
      </w:tr>
    </w:tbl>
    <w:p>
      <w:pPr>
        <w:spacing w:before="60" w:after="60"/>
        <w:jc w:val="left"/>
      </w:pPr>
      <w:r>
        <w:rPr>
          <w:rFonts w:ascii="Arial" w:cs="Arial" w:eastAsia="Arial" w:hAnsi="Arial"/>
          <w:b/>
          <w:bCs/>
          <w:i/>
          <w:iCs/>
          <w:sz w:val="18"/>
          <w:szCs w:val="18"/>
        </w:rPr>
        <w:t xml:space="preserve">Note. </w:t>
      </w:r>
      <w:r>
        <w:rPr>
          <w:rFonts w:ascii="Arial" w:cs="Arial" w:eastAsia="Arial" w:hAnsi="Arial"/>
          <w:i/>
          <w:iCs/>
          <w:sz w:val="18"/>
          <w:szCs w:val="18"/>
        </w:rPr>
        <w:t xml:space="preserve">sc_uc (usual care effective coverage) is computed as a gestational-age-weighted average; see Section A3.</w:t>
      </w:r>
    </w:p>
    <w:p>
      <w:pPr>
        <w:spacing w:before="0" w:after="0"/>
      </w:pPr>
      <w:r>
        <w:rPr>
          <w:rFonts w:ascii="Arial" w:cs="Arial" w:eastAsia="Arial" w:hAnsi="Arial"/>
          <w:b w:val="false"/>
          <w:bCs w:val="false"/>
          <w:i w:val="false"/>
          <w:iCs w:val="false"/>
          <w:color w:val="000000"/>
          <w:sz w:val="20"/>
          <w:szCs w:val="20"/>
        </w:rPr>
        <w:t xml:space="preserve"/>
      </w:r>
    </w:p>
    <w:p>
      <w:pPr>
        <w:pStyle w:val="Heading3"/>
        <w:spacing w:before="180" w:after="80"/>
      </w:pPr>
      <w:r>
        <w:rPr>
          <w:rFonts w:ascii="Arial" w:cs="Arial" w:eastAsia="Arial" w:hAnsi="Arial"/>
          <w:b/>
          <w:bCs/>
          <w:i/>
          <w:iCs/>
          <w:color w:val="333333"/>
          <w:sz w:val="22"/>
          <w:szCs w:val="22"/>
        </w:rPr>
        <w:t xml:space="preserve">Node 5 — Birth Outcomes (Mutually Exclusive)</w:t>
      </w:r>
    </w:p>
    <w:p>
      <w:pPr>
        <w:spacing w:before="80" w:after="80"/>
        <w:jc w:val="both"/>
      </w:pPr>
      <w:r>
        <w:rPr>
          <w:rFonts w:ascii="Arial" w:cs="Arial" w:eastAsia="Arial" w:hAnsi="Arial"/>
          <w:b w:val="false"/>
          <w:bCs w:val="false"/>
          <w:i w:val="false"/>
          <w:iCs w:val="false"/>
          <w:color w:val="000000"/>
          <w:sz w:val="20"/>
          <w:szCs w:val="20"/>
        </w:rPr>
        <w:t xml:space="preserve">Birth outcomes are structured as a sequential conditional hierarchy to ensure mutual exclusivity. Under the original model (v1), each outcome was computed as an independent probability, which allowed a single cohort member to contribute fractionally to both stillbirth and neonatal death simultaneously. Version 2 resolves this as follows:</w:t>
      </w:r>
    </w:p>
    <w:p>
      <w:pPr>
        <w:shd w:fill="F5F5F5" w:val="clear"/>
        <w:spacing w:before="120" w:after="120"/>
        <w:jc w:val="center"/>
      </w:pPr>
      <w:r>
        <w:rPr>
          <w:rFonts w:ascii="Courier New" w:cs="Courier New" w:eastAsia="Courier New" w:hAnsi="Courier New"/>
          <w:color w:val="1F3864"/>
          <w:sz w:val="20"/>
          <w:szCs w:val="20"/>
        </w:rPr>
        <w:t xml:space="preserve">P(stillbirth) = p_act × P(SB | syphilis+) + (1−p_act) × P(SB | background)</w:t>
      </w:r>
    </w:p>
    <w:p>
      <w:pPr>
        <w:shd w:fill="F5F5F5" w:val="clear"/>
        <w:spacing w:before="120" w:after="120"/>
        <w:jc w:val="center"/>
      </w:pPr>
      <w:r>
        <w:rPr>
          <w:rFonts w:ascii="Courier New" w:cs="Courier New" w:eastAsia="Courier New" w:hAnsi="Courier New"/>
          <w:color w:val="1F3864"/>
          <w:sz w:val="20"/>
          <w:szCs w:val="20"/>
        </w:rPr>
        <w:t xml:space="preserve">P(neonatal death) = P(NND | liveborn) × P(liveborn)</w:t>
      </w:r>
    </w:p>
    <w:p>
      <w:pPr>
        <w:shd w:fill="F5F5F5" w:val="clear"/>
        <w:spacing w:before="120" w:after="120"/>
        <w:jc w:val="center"/>
      </w:pPr>
      <w:r>
        <w:rPr>
          <w:rFonts w:ascii="Courier New" w:cs="Courier New" w:eastAsia="Courier New" w:hAnsi="Courier New"/>
          <w:color w:val="1F3864"/>
          <w:sz w:val="20"/>
          <w:szCs w:val="20"/>
        </w:rPr>
        <w:t xml:space="preserve">P(CS | neonatal survivor) = P(CS | infection, liveborn, survived neonatal period)</w:t>
      </w:r>
    </w:p>
    <w:p>
      <w:pPr>
        <w:spacing w:before="80" w:after="80"/>
        <w:jc w:val="both"/>
      </w:pPr>
      <w:r>
        <w:rPr>
          <w:rFonts w:ascii="Arial" w:cs="Arial" w:eastAsia="Arial" w:hAnsi="Arial"/>
          <w:b w:val="false"/>
          <w:bCs w:val="false"/>
          <w:i w:val="false"/>
          <w:iCs w:val="false"/>
          <w:color w:val="000000"/>
          <w:sz w:val="20"/>
          <w:szCs w:val="20"/>
        </w:rPr>
        <w:t xml:space="preserve">Where </w:t>
      </w:r>
      <w:r>
        <w:rPr>
          <w:rFonts w:ascii="Arial" w:cs="Arial" w:eastAsia="Arial" w:hAnsi="Arial"/>
          <w:b w:val="false"/>
          <w:bCs w:val="false"/>
          <w:i/>
          <w:iCs/>
          <w:color w:val="000000"/>
          <w:sz w:val="20"/>
          <w:szCs w:val="20"/>
        </w:rPr>
        <w:t xml:space="preserve">P(CS | neonatal survivor)</w:t>
      </w:r>
      <w:r>
        <w:rPr>
          <w:rFonts w:ascii="Arial" w:cs="Arial" w:eastAsia="Arial" w:hAnsi="Arial"/>
          <w:b w:val="false"/>
          <w:bCs w:val="false"/>
          <w:i w:val="false"/>
          <w:iCs w:val="false"/>
          <w:color w:val="000000"/>
          <w:sz w:val="20"/>
          <w:szCs w:val="20"/>
        </w:rPr>
        <w:t xml:space="preserve"> uses the CS relative risk conditional on the syphilis+ case having survived both fetal loss and the neonatal period. Preterm birth and low birth weight are modeled as independent conditional probabilities given livebirth, as their timing (delivery) precedes the neonatal period. Miscarriage (&lt; 20 weeks) is treated as an independent upstream event preceding the stillbirth hierarchy.</w:t>
      </w:r>
    </w:p>
    <w:p>
      <w:pPr>
        <w:spacing w:before="80" w:after="80"/>
        <w:jc w:val="both"/>
      </w:pPr>
      <w:r>
        <w:rPr>
          <w:rFonts w:ascii="Arial" w:cs="Arial" w:eastAsia="Arial" w:hAnsi="Arial"/>
          <w:b w:val="false"/>
          <w:bCs w:val="false"/>
          <w:i w:val="false"/>
          <w:iCs w:val="false"/>
          <w:color w:val="000000"/>
          <w:sz w:val="20"/>
          <w:szCs w:val="20"/>
        </w:rPr>
        <w:t xml:space="preserve">Treatment relative risks (RRs) are applied conditionally within each tier. For stillbirth, the RR reduces the untreated absolute risk for syphilis-positive cases who receive adequate treatment. RRs are sourced from Sheffield et al. (2002) and expressed as lognormal distributions in PSA.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780"/>
        <w:gridCol w:w="1780"/>
      </w:tblGrid>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Outcome</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Untreated risk</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Treatment RR</w:t>
            </w:r>
          </w:p>
        </w:tc>
        <w:tc>
          <w:tcPr>
            <w:tcW w:type="dxa" w:w="17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RR 95% CI</w:t>
            </w:r>
          </w:p>
        </w:tc>
        <w:tc>
          <w:tcPr>
            <w:tcW w:type="dxa" w:w="17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PSA distribution</w:t>
            </w:r>
          </w:p>
        </w:tc>
      </w:tr>
      <w:tr>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Stillbirth (≥ 20 weeks)</w:t>
            </w:r>
          </w:p>
        </w:tc>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0.264</w:t>
            </w:r>
          </w:p>
        </w:tc>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0.21</w:t>
            </w:r>
          </w:p>
        </w:tc>
        <w:tc>
          <w:tcPr>
            <w:tcW w:type="dxa" w:w="17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0.10 – 0.35</w:t>
            </w:r>
          </w:p>
        </w:tc>
        <w:tc>
          <w:tcPr>
            <w:tcW w:type="dxa" w:w="17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Lognormal</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Neonatal death (&lt; 28 days)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0.162</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0.20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0.13 – 0.32</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Lognormal</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Congenital syphilis (any)</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0.360</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0.03</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0.02 – 0.07</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Lognormal</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Preterm birth</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0.232</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0.48</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0.39 – 0.58</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Lognormal</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Low birth weight</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0.234</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0.50</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0.42 – 0.59</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Lognormal</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Miscarriage (&lt; 20 weeks)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0.149</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No RR modeled</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Conservative</w:t>
            </w:r>
          </w:p>
        </w:tc>
      </w:tr>
    </w:tbl>
    <w:p>
      <w:pPr>
        <w:spacing w:before="60" w:after="60"/>
        <w:jc w:val="left"/>
      </w:pPr>
      <w:r>
        <w:rPr>
          <w:rFonts w:ascii="Arial" w:cs="Arial" w:eastAsia="Arial" w:hAnsi="Arial"/>
          <w:b/>
          <w:bCs/>
          <w:i/>
          <w:iCs/>
          <w:sz w:val="18"/>
          <w:szCs w:val="18"/>
        </w:rPr>
        <w:t xml:space="preserve">Note. </w:t>
      </w:r>
      <w:r>
        <w:rPr>
          <w:rFonts w:ascii="Arial" w:cs="Arial" w:eastAsia="Arial" w:hAnsi="Arial"/>
          <w:i/>
          <w:iCs/>
          <w:sz w:val="18"/>
          <w:szCs w:val="18"/>
        </w:rPr>
        <w:t xml:space="preserve">Untreated absolute risks apply to syphilis-positive cases. Background rates are drawn from Beta priors parameterized from US birth certificate data. No treatment RR is applied to miscarriage (pre-viability); this biases results conservatively. RR = relative risk; PSA = probabilistic sensitivity analysis.</w:t>
      </w:r>
    </w:p>
    <w:p>
      <w:pPr>
        <w:spacing w:before="0" w:after="0"/>
      </w:pPr>
      <w:r>
        <w:rPr>
          <w:rFonts w:ascii="Arial" w:cs="Arial" w:eastAsia="Arial" w:hAnsi="Arial"/>
          <w:b w:val="false"/>
          <w:bCs w:val="false"/>
          <w:i w:val="false"/>
          <w:iCs w:val="false"/>
          <w:color w:val="000000"/>
          <w:sz w:val="20"/>
          <w:szCs w:val="20"/>
        </w:rPr>
        <w:t xml:space="preserve"/>
      </w:r>
    </w:p>
    <w:p>
      <w:pPr>
        <w:pStyle w:val="Heading1"/>
        <w:pBdr>
          <w:bottom w:val="single" w:color="2E6DA4" w:sz="6" w:space="4"/>
        </w:pBdr>
        <w:spacing w:before="360" w:after="160"/>
      </w:pPr>
      <w:r>
        <w:rPr>
          <w:rFonts w:ascii="Arial" w:cs="Arial" w:eastAsia="Arial" w:hAnsi="Arial"/>
          <w:b/>
          <w:bCs/>
          <w:color w:val="1F3864"/>
          <w:sz w:val="28"/>
          <w:szCs w:val="28"/>
        </w:rPr>
        <w:t xml:space="preserve">A3. Gestational Age Stratification</w:t>
      </w:r>
    </w:p>
    <w:p>
      <w:pPr>
        <w:spacing w:before="80" w:after="80"/>
        <w:jc w:val="both"/>
      </w:pPr>
      <w:r>
        <w:rPr>
          <w:rFonts w:ascii="Arial" w:cs="Arial" w:eastAsia="Arial" w:hAnsi="Arial"/>
          <w:b w:val="false"/>
          <w:bCs w:val="false"/>
          <w:i w:val="false"/>
          <w:iCs w:val="false"/>
          <w:color w:val="000000"/>
          <w:sz w:val="20"/>
          <w:szCs w:val="20"/>
        </w:rPr>
        <w:t xml:space="preserve">The cohort of pregnant ED patients is stratified by gestational age at presentation, as this determines (a) the probability of already having been screened under usual care, and (b) the probability of completing the full treatment regimen before delivery. Four strata are used, with cohort weights derived from ED utilization patterns in urban US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Stratum</w:t>
            </w:r>
          </w:p>
        </w:tc>
        <w:tc>
          <w:tcPr>
            <w:tcW w:type="dxa" w:w="189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Cohort weight</w:t>
            </w:r>
          </w:p>
        </w:tc>
        <w:tc>
          <w:tcPr>
            <w:tcW w:type="dxa" w:w="189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P(screened | usual care)</w:t>
            </w:r>
          </w:p>
        </w:tc>
        <w:tc>
          <w:tcPr>
            <w:tcW w:type="dxa" w:w="189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P(tx complete | rx initiated)</w:t>
            </w:r>
          </w:p>
        </w:tc>
        <w:tc>
          <w:tcPr>
            <w:tcW w:type="dxa" w:w="189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Rationale</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&lt; 14 weeks</w:t>
            </w:r>
          </w:p>
        </w:tc>
        <w:tc>
          <w:tcPr>
            <w:tcW w:type="dxa" w:w="189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0.20</w:t>
            </w:r>
          </w:p>
        </w:tc>
        <w:tc>
          <w:tcPr>
            <w:tcW w:type="dxa" w:w="189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0.08</w:t>
            </w:r>
          </w:p>
        </w:tc>
        <w:tc>
          <w:tcPr>
            <w:tcW w:type="dxa" w:w="189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0.95</w:t>
            </w:r>
          </w:p>
        </w:tc>
        <w:tc>
          <w:tcPr>
            <w:tcW w:type="dxa" w:w="189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Pre-first-visit; high tx time remaining</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14 – 27 weeks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0.35</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0.35</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0.88</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Some have entered prenatal care</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28 – 36 weeks</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0.30</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0.58</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0.72</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Multi-dose completion risk begins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 37 weeks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0.15</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0.78</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0.38</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Most have had ≥ 1 screen; single dose only feasible</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Weighted effective</w:t>
            </w:r>
          </w:p>
        </w:tc>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1.00</w:t>
            </w:r>
          </w:p>
        </w:tc>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0.42</w:t>
            </w:r>
          </w:p>
        </w:tc>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0.77</w:t>
            </w:r>
          </w:p>
        </w:tc>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Used in base case for comparator arm</w:t>
            </w:r>
          </w:p>
        </w:tc>
      </w:tr>
    </w:tbl>
    <w:p>
      <w:pPr>
        <w:spacing w:before="60" w:after="60"/>
        <w:jc w:val="left"/>
      </w:pPr>
      <w:r>
        <w:rPr>
          <w:rFonts w:ascii="Arial" w:cs="Arial" w:eastAsia="Arial" w:hAnsi="Arial"/>
          <w:b/>
          <w:bCs/>
          <w:i/>
          <w:iCs/>
          <w:sz w:val="18"/>
          <w:szCs w:val="18"/>
        </w:rPr>
        <w:t xml:space="preserve">Note. </w:t>
      </w:r>
      <w:r>
        <w:rPr>
          <w:rFonts w:ascii="Arial" w:cs="Arial" w:eastAsia="Arial" w:hAnsi="Arial"/>
          <w:i/>
          <w:iCs/>
          <w:sz w:val="18"/>
          <w:szCs w:val="18"/>
        </w:rPr>
        <w:t xml:space="preserve">P(screened | usual care) = probability of having been screened before the ED visit under standard prenatal screening protocols. P(tx complete | rx initiated) = probability of completing the full recommended regimen (single dose for early syphilis; three weekly doses for late/unknown duration). Weighted effective values are used as scalars for the comparator arm.</w:t>
      </w:r>
    </w:p>
    <w:p>
      <w:pPr>
        <w:spacing w:before="0" w:after="0"/>
      </w:pPr>
      <w:r>
        <w:rPr>
          <w:rFonts w:ascii="Arial" w:cs="Arial" w:eastAsia="Arial" w:hAnsi="Arial"/>
          <w:b w:val="false"/>
          <w:bCs w:val="false"/>
          <w:i w:val="false"/>
          <w:iCs w:val="false"/>
          <w:color w:val="000000"/>
          <w:sz w:val="20"/>
          <w:szCs w:val="20"/>
        </w:rPr>
        <w:t xml:space="preserve"/>
      </w:r>
    </w:p>
    <w:p>
      <w:pPr>
        <w:pStyle w:val="Heading1"/>
        <w:pBdr>
          <w:bottom w:val="single" w:color="2E6DA4" w:sz="6" w:space="4"/>
        </w:pBdr>
        <w:spacing w:before="360" w:after="160"/>
      </w:pPr>
      <w:r>
        <w:rPr>
          <w:rFonts w:ascii="Arial" w:cs="Arial" w:eastAsia="Arial" w:hAnsi="Arial"/>
          <w:b/>
          <w:bCs/>
          <w:color w:val="1F3864"/>
          <w:sz w:val="28"/>
          <w:szCs w:val="28"/>
        </w:rPr>
        <w:t xml:space="preserve">A4. Serofast Subpopulation</w:t>
      </w:r>
    </w:p>
    <w:p>
      <w:pPr>
        <w:spacing w:before="80" w:after="80"/>
        <w:jc w:val="both"/>
      </w:pPr>
      <w:r>
        <w:rPr>
          <w:rFonts w:ascii="Arial" w:cs="Arial" w:eastAsia="Arial" w:hAnsi="Arial"/>
          <w:b w:val="false"/>
          <w:bCs w:val="false"/>
          <w:i w:val="false"/>
          <w:iCs w:val="false"/>
          <w:color w:val="000000"/>
          <w:sz w:val="20"/>
          <w:szCs w:val="20"/>
        </w:rPr>
        <w:t xml:space="preserve">Universal screening in indigent populations will identify patients who were previously treated for syphilis and remain treponemal-positive (serofast). These patients have no active infection and confer no congenital syphilis risk, but their positive treponemal screen triggers additional workup costs and occasionally unnecessary retreatment. Failing to model this subgroup underestimates gross program costs, particularly at low active syphilis prevalence where false-detects and serofast positives dominate the positive-screen pool.</w:t>
      </w:r>
    </w:p>
    <w:p>
      <w:pPr>
        <w:pStyle w:val="Heading2"/>
        <w:spacing w:before="240" w:after="100"/>
      </w:pPr>
      <w:r>
        <w:rPr>
          <w:rFonts w:ascii="Arial" w:cs="Arial" w:eastAsia="Arial" w:hAnsi="Arial"/>
          <w:b/>
          <w:bCs/>
          <w:color w:val="2E6DA4"/>
          <w:sz w:val="24"/>
          <w:szCs w:val="24"/>
        </w:rPr>
        <w:t xml:space="preserve">A4.1 Serofast Cost Model</w:t>
      </w:r>
    </w:p>
    <w:p>
      <w:pPr>
        <w:shd w:fill="F5F5F5" w:val="clear"/>
        <w:spacing w:before="120" w:after="120"/>
        <w:jc w:val="center"/>
      </w:pPr>
      <w:r>
        <w:rPr>
          <w:rFonts w:ascii="Courier New" w:cs="Courier New" w:eastAsia="Courier New" w:hAnsi="Courier New"/>
          <w:color w:val="1F3864"/>
          <w:sz w:val="20"/>
          <w:szCs w:val="20"/>
        </w:rPr>
        <w:t xml:space="preserve">C_serofast = N × p_sf × p_trepo_sf × (C_rpr + C_sf_wu) + N × p_sf × p_trepo_sf × p_ux_sf × C_pen</w:t>
      </w:r>
    </w:p>
    <w:p>
      <w:pPr>
        <w:spacing w:before="80" w:after="80"/>
        <w:jc w:val="both"/>
      </w:pPr>
      <w:r>
        <w:rPr>
          <w:rFonts w:ascii="Arial" w:cs="Arial" w:eastAsia="Arial" w:hAnsi="Arial"/>
          <w:b w:val="false"/>
          <w:bCs w:val="false"/>
          <w:i w:val="false"/>
          <w:iCs w:val="false"/>
          <w:color w:val="000000"/>
          <w:sz w:val="20"/>
          <w:szCs w:val="20"/>
        </w:rPr>
        <w:t xml:space="preserve">Where </w:t>
      </w:r>
      <w:r>
        <w:rPr>
          <w:rFonts w:ascii="Arial" w:cs="Arial" w:eastAsia="Arial" w:hAnsi="Arial"/>
          <w:b w:val="false"/>
          <w:bCs w:val="false"/>
          <w:i/>
          <w:iCs/>
          <w:color w:val="000000"/>
          <w:sz w:val="20"/>
          <w:szCs w:val="20"/>
        </w:rPr>
        <w:t xml:space="preserve">N</w:t>
      </w:r>
      <w:r>
        <w:rPr>
          <w:rFonts w:ascii="Arial" w:cs="Arial" w:eastAsia="Arial" w:hAnsi="Arial"/>
          <w:b w:val="false"/>
          <w:bCs w:val="false"/>
          <w:i w:val="false"/>
          <w:iCs w:val="false"/>
          <w:color w:val="000000"/>
          <w:sz w:val="20"/>
          <w:szCs w:val="20"/>
        </w:rPr>
        <w:t xml:space="preserve"> is the cohort size, </w:t>
      </w:r>
      <w:r>
        <w:rPr>
          <w:rFonts w:ascii="Arial" w:cs="Arial" w:eastAsia="Arial" w:hAnsi="Arial"/>
          <w:b w:val="false"/>
          <w:bCs w:val="false"/>
          <w:i/>
          <w:iCs/>
          <w:color w:val="000000"/>
          <w:sz w:val="20"/>
          <w:szCs w:val="20"/>
        </w:rPr>
        <w:t xml:space="preserve">p_sf</w:t>
      </w:r>
      <w:r>
        <w:rPr>
          <w:rFonts w:ascii="Arial" w:cs="Arial" w:eastAsia="Arial" w:hAnsi="Arial"/>
          <w:b w:val="false"/>
          <w:bCs w:val="false"/>
          <w:i w:val="false"/>
          <w:iCs w:val="false"/>
          <w:color w:val="000000"/>
          <w:sz w:val="20"/>
          <w:szCs w:val="20"/>
        </w:rPr>
        <w:t xml:space="preserve"> is the prevalence of serofast individuals in the ED population, </w:t>
      </w:r>
      <w:r>
        <w:rPr>
          <w:rFonts w:ascii="Arial" w:cs="Arial" w:eastAsia="Arial" w:hAnsi="Arial"/>
          <w:b w:val="false"/>
          <w:bCs w:val="false"/>
          <w:i/>
          <w:iCs/>
          <w:color w:val="000000"/>
          <w:sz w:val="20"/>
          <w:szCs w:val="20"/>
        </w:rPr>
        <w:t xml:space="preserve">p_trepo_sf</w:t>
      </w:r>
      <w:r>
        <w:rPr>
          <w:rFonts w:ascii="Arial" w:cs="Arial" w:eastAsia="Arial" w:hAnsi="Arial"/>
          <w:b w:val="false"/>
          <w:bCs w:val="false"/>
          <w:i w:val="false"/>
          <w:iCs w:val="false"/>
          <w:color w:val="000000"/>
          <w:sz w:val="20"/>
          <w:szCs w:val="20"/>
        </w:rPr>
        <w:t xml:space="preserve"> is the probability of a treponemal screen positive given serofast status, </w:t>
      </w:r>
      <w:r>
        <w:rPr>
          <w:rFonts w:ascii="Arial" w:cs="Arial" w:eastAsia="Arial" w:hAnsi="Arial"/>
          <w:b w:val="false"/>
          <w:bCs w:val="false"/>
          <w:i/>
          <w:iCs/>
          <w:color w:val="000000"/>
          <w:sz w:val="20"/>
          <w:szCs w:val="20"/>
        </w:rPr>
        <w:t xml:space="preserve">p_ux_sf</w:t>
      </w:r>
      <w:r>
        <w:rPr>
          <w:rFonts w:ascii="Arial" w:cs="Arial" w:eastAsia="Arial" w:hAnsi="Arial"/>
          <w:b w:val="false"/>
          <w:bCs w:val="false"/>
          <w:i w:val="false"/>
          <w:iCs w:val="false"/>
          <w:color w:val="000000"/>
          <w:sz w:val="20"/>
          <w:szCs w:val="20"/>
        </w:rPr>
        <w:t xml:space="preserve"> is the probability of unnecessary retreatment conditional on detection, and </w:t>
      </w:r>
      <w:r>
        <w:rPr>
          <w:rFonts w:ascii="Arial" w:cs="Arial" w:eastAsia="Arial" w:hAnsi="Arial"/>
          <w:b w:val="false"/>
          <w:bCs w:val="false"/>
          <w:i/>
          <w:iCs/>
          <w:color w:val="000000"/>
          <w:sz w:val="20"/>
          <w:szCs w:val="20"/>
        </w:rPr>
        <w:t xml:space="preserve">C_sf_wu</w:t>
      </w:r>
      <w:r>
        <w:rPr>
          <w:rFonts w:ascii="Arial" w:cs="Arial" w:eastAsia="Arial" w:hAnsi="Arial"/>
          <w:b w:val="false"/>
          <w:bCs w:val="false"/>
          <w:i w:val="false"/>
          <w:iCs w:val="false"/>
          <w:color w:val="000000"/>
          <w:sz w:val="20"/>
          <w:szCs w:val="20"/>
        </w:rPr>
        <w:t xml:space="preserve"> is the additional workup cost (quantitative RPR plus chart review) per detected serofast.</w:t>
      </w:r>
    </w:p>
    <w:p>
      <w:pPr>
        <w:spacing w:before="80" w:after="80"/>
        <w:jc w:val="both"/>
      </w:pPr>
      <w:r>
        <w:rPr>
          <w:rFonts w:ascii="Arial" w:cs="Arial" w:eastAsia="Arial" w:hAnsi="Arial"/>
          <w:b w:val="false"/>
          <w:bCs w:val="false"/>
          <w:i w:val="false"/>
          <w:iCs w:val="false"/>
          <w:color w:val="000000"/>
          <w:sz w:val="20"/>
          <w:szCs w:val="20"/>
        </w:rPr>
        <w:t xml:space="preserve">A key fix in model version 2 is that the serofast parameters p_trepo_sf and p_ux_sf are now passed as explicit arguments to all deterministic helper functions, including those used for the one-way sensitivity analysis, NMB surface, and budget impact table. The previous version had these hard-coded, creating an inconsistency between stochastic and deterministic model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680"/>
        <w:gridCol w:w="2680"/>
      </w:tblGrid>
      <w:tr>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Parameter</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Base case</w:t>
            </w:r>
          </w:p>
        </w:tc>
        <w:tc>
          <w:tcPr>
            <w:tcW w:type="dxa" w:w="16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Range</w:t>
            </w:r>
          </w:p>
        </w:tc>
        <w:tc>
          <w:tcPr>
            <w:tcW w:type="dxa" w:w="26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Notes</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Serofast prevalence (p_sf)</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1.0%</w:t>
            </w:r>
          </w:p>
        </w:tc>
        <w:tc>
          <w:tcPr>
            <w:tcW w:type="dxa" w:w="16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0.2% – 2.5%</w:t>
            </w:r>
          </w:p>
        </w:tc>
        <w:tc>
          <w:tcPr>
            <w:tcW w:type="dxa" w:w="26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Varies by city/population</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P(treponemal+ | serofast) (p_trepo_sf)</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0.95</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0.70 – 1.00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IgG persists lifelong after treatment</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P(unnecessary retreatment | detected) (p_ux_sf)</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0.20</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0.00 – 0.60</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Varies by ED protocol rigor</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Serofast workup cost (C_sf_wu)</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$75</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Gamma(75, 25)</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RPR quant + chart review</w:t>
            </w:r>
          </w:p>
        </w:tc>
      </w:tr>
    </w:tbl>
    <w:p>
      <w:pPr>
        <w:spacing w:before="60" w:after="60"/>
        <w:jc w:val="left"/>
      </w:pPr>
      <w:r>
        <w:rPr>
          <w:rFonts w:ascii="Arial" w:cs="Arial" w:eastAsia="Arial" w:hAnsi="Arial"/>
          <w:b/>
          <w:bCs/>
          <w:i/>
          <w:iCs/>
          <w:sz w:val="18"/>
          <w:szCs w:val="18"/>
        </w:rPr>
        <w:t xml:space="preserve">Note. </w:t>
      </w:r>
      <w:r>
        <w:rPr>
          <w:rFonts w:ascii="Arial" w:cs="Arial" w:eastAsia="Arial" w:hAnsi="Arial"/>
          <w:i/>
          <w:iCs/>
          <w:sz w:val="18"/>
          <w:szCs w:val="18"/>
        </w:rPr>
        <w:t xml:space="preserve">At low active syphilis prevalence (&lt; 0.5%), serofast workup costs can represent more than 30% of gross program costs and shift the ICER substantially. Threshold analyses should vary serofast prevalence alongside active infection prevalence.</w:t>
      </w:r>
    </w:p>
    <w:p>
      <w:pPr>
        <w:spacing w:before="0" w:after="0"/>
      </w:pPr>
      <w:r>
        <w:rPr>
          <w:rFonts w:ascii="Arial" w:cs="Arial" w:eastAsia="Arial" w:hAnsi="Arial"/>
          <w:b w:val="false"/>
          <w:bCs w:val="false"/>
          <w:i w:val="false"/>
          <w:iCs w:val="false"/>
          <w:color w:val="000000"/>
          <w:sz w:val="20"/>
          <w:szCs w:val="20"/>
        </w:rPr>
        <w:t xml:space="preserve"/>
      </w:r>
    </w:p>
    <w:p>
      <w:pPr>
        <w:pStyle w:val="Heading1"/>
        <w:pBdr>
          <w:bottom w:val="single" w:color="2E6DA4" w:sz="6" w:space="4"/>
        </w:pBdr>
        <w:spacing w:before="360" w:after="160"/>
      </w:pPr>
      <w:r>
        <w:rPr>
          <w:rFonts w:ascii="Arial" w:cs="Arial" w:eastAsia="Arial" w:hAnsi="Arial"/>
          <w:b/>
          <w:bCs/>
          <w:color w:val="1F3864"/>
          <w:sz w:val="28"/>
          <w:szCs w:val="28"/>
        </w:rPr>
        <w:t xml:space="preserve">A5. Infant Lifetime Markov Module</w:t>
      </w:r>
    </w:p>
    <w:p>
      <w:pPr>
        <w:spacing w:before="80" w:after="80"/>
        <w:jc w:val="both"/>
      </w:pPr>
      <w:r>
        <w:rPr>
          <w:rFonts w:ascii="Arial" w:cs="Arial" w:eastAsia="Arial" w:hAnsi="Arial"/>
          <w:b w:val="false"/>
          <w:bCs w:val="false"/>
          <w:i w:val="false"/>
          <w:iCs w:val="false"/>
          <w:color w:val="000000"/>
          <w:sz w:val="20"/>
          <w:szCs w:val="20"/>
        </w:rPr>
        <w:t xml:space="preserve">The infant Markov module captures lifetime disability burden and healthcare costs for infants born with congenital syphilis. It replaces the point-estimate approach used in model version 1, which applied a single disability weight over a fixed duration to a fraction of CS-complicated cases. The Markov correctly weights all three initial health states—Healthy, Mild sequelae, and Severe sequelae—and propagates them over the full lifetime horizon with annual discounting.</w:t>
      </w:r>
    </w:p>
    <w:p>
      <w:pPr>
        <w:pStyle w:val="Heading2"/>
        <w:spacing w:before="240" w:after="100"/>
      </w:pPr>
      <w:r>
        <w:rPr>
          <w:rFonts w:ascii="Arial" w:cs="Arial" w:eastAsia="Arial" w:hAnsi="Arial"/>
          <w:b/>
          <w:bCs/>
          <w:color w:val="2E6DA4"/>
          <w:sz w:val="24"/>
          <w:szCs w:val="24"/>
        </w:rPr>
        <w:t xml:space="preserve">A5.1 States and Initial Distribution</w:t>
      </w:r>
    </w:p>
    <w:p>
      <w:pPr>
        <w:spacing w:before="80" w:after="80"/>
        <w:jc w:val="both"/>
      </w:pPr>
      <w:r>
        <w:rPr>
          <w:rFonts w:ascii="Arial" w:cs="Arial" w:eastAsia="Arial" w:hAnsi="Arial"/>
          <w:b w:val="false"/>
          <w:bCs w:val="false"/>
          <w:i w:val="false"/>
          <w:iCs w:val="false"/>
          <w:color w:val="000000"/>
          <w:sz w:val="20"/>
          <w:szCs w:val="20"/>
        </w:rPr>
        <w:t xml:space="preserve">The Markov model has four health states:</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Healthy — no persistent long-term sequelae; CS resolved or limited to the acute phase.</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Mild sequelae — sensorineural hearing loss, mild developmental delay, or both; requires ongoing audiology, speech therapy, and special education services.</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Severe sequelae — neurologic impairment (hydrocephalus, seizures, cerebral palsy), blindness, or both; largely absorbing for disability purposes. Residual background mortality applies.</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Dead — absorbing state; background annual mortality (μ = 0.003) applied from all living states.</w:t>
      </w:r>
    </w:p>
    <w:p>
      <w:pPr>
        <w:spacing w:before="80" w:after="80"/>
        <w:jc w:val="both"/>
      </w:pPr>
      <w:r>
        <w:rPr>
          <w:rFonts w:ascii="Arial" w:cs="Arial" w:eastAsia="Arial" w:hAnsi="Arial"/>
          <w:b w:val="false"/>
          <w:bCs w:val="false"/>
          <w:i w:val="false"/>
          <w:iCs w:val="false"/>
          <w:color w:val="000000"/>
          <w:sz w:val="20"/>
          <w:szCs w:val="20"/>
        </w:rPr>
        <w:t xml:space="preserve">Initial state probabilities differ by CS subtype and are drawn from Beta distributions in PSA: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600"/>
        <w:gridCol w:w="1360"/>
      </w:tblGrid>
      <w:tr>
        <w:tc>
          <w:tcPr>
            <w:tcW w:type="dxa" w:w="3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CS subtype</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P(Healthy)</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P(Mild seq)</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P(Severe seq)</w:t>
            </w:r>
          </w:p>
        </w:tc>
        <w:tc>
          <w:tcPr>
            <w:tcW w:type="dxa" w:w="13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Source</w:t>
            </w:r>
          </w:p>
        </w:tc>
      </w:tr>
      <w:tr>
        <w:tc>
          <w:tcPr>
            <w:tcW w:type="dxa" w:w="3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CS complicated (symptomatic at birth)</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0.25</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0.40 [0.25–0.55]</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0.35 [0.20–0.50]</w:t>
            </w:r>
          </w:p>
        </w:tc>
        <w:tc>
          <w:tcPr>
            <w:tcW w:type="dxa" w:w="13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Walker 2011; Wijesooriya 2016</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CS uncomplicated (asymptomatic at birth)</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0.94</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0.06 [0.02–0.14]</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0.00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Chesson 2023; GBD 2019</w:t>
            </w:r>
          </w:p>
        </w:tc>
      </w:tr>
    </w:tbl>
    <w:p>
      <w:pPr>
        <w:spacing w:before="60" w:after="60"/>
        <w:jc w:val="left"/>
      </w:pPr>
      <w:r>
        <w:rPr>
          <w:rFonts w:ascii="Arial" w:cs="Arial" w:eastAsia="Arial" w:hAnsi="Arial"/>
          <w:b/>
          <w:bCs/>
          <w:i/>
          <w:iCs/>
          <w:sz w:val="18"/>
          <w:szCs w:val="18"/>
        </w:rPr>
        <w:t xml:space="preserve">Note. </w:t>
      </w:r>
      <w:r>
        <w:rPr>
          <w:rFonts w:ascii="Arial" w:cs="Arial" w:eastAsia="Arial" w:hAnsi="Arial"/>
          <w:i/>
          <w:iCs/>
          <w:sz w:val="18"/>
          <w:szCs w:val="18"/>
        </w:rPr>
        <w:t xml:space="preserve">P(Healthy) is computed as residual: 1 − P(Mild) − P(Severe). PSA enforces P(Mild) + P(Severe) ≤ 1. Values in brackets represent the 95% CI used to parameterize the Beta distribution. P(Severe | CS uncomplicated) is set to zero; these cases may develop mild persistent sequelae but not severe neurologic impairment without symptomatic presentation. CS complicated cases may nonetheless initially present as healthy if sequelae manifest late.</w:t>
      </w:r>
    </w:p>
    <w:p>
      <w:pPr>
        <w:spacing w:before="0" w:after="0"/>
      </w:pPr>
      <w:r>
        <w:rPr>
          <w:rFonts w:ascii="Arial" w:cs="Arial" w:eastAsia="Arial" w:hAnsi="Arial"/>
          <w:b w:val="false"/>
          <w:bCs w:val="false"/>
          <w:i w:val="false"/>
          <w:iCs w:val="false"/>
          <w:color w:val="000000"/>
          <w:sz w:val="20"/>
          <w:szCs w:val="20"/>
        </w:rPr>
        <w:t xml:space="preserve"/>
      </w:r>
    </w:p>
    <w:p>
      <w:pPr>
        <w:pStyle w:val="Heading2"/>
        <w:spacing w:before="240" w:after="100"/>
      </w:pPr>
      <w:r>
        <w:rPr>
          <w:rFonts w:ascii="Arial" w:cs="Arial" w:eastAsia="Arial" w:hAnsi="Arial"/>
          <w:b/>
          <w:bCs/>
          <w:color w:val="2E6DA4"/>
          <w:sz w:val="24"/>
          <w:szCs w:val="24"/>
        </w:rPr>
        <w:t xml:space="preserve">A5.2 Transition Structure</w:t>
      </w:r>
    </w:p>
    <w:p>
      <w:pPr>
        <w:spacing w:before="80" w:after="80"/>
        <w:jc w:val="both"/>
      </w:pPr>
      <w:r>
        <w:rPr>
          <w:rFonts w:ascii="Arial" w:cs="Arial" w:eastAsia="Arial" w:hAnsi="Arial"/>
          <w:b w:val="false"/>
          <w:bCs w:val="false"/>
          <w:i w:val="false"/>
          <w:iCs w:val="false"/>
          <w:color w:val="000000"/>
          <w:sz w:val="20"/>
          <w:szCs w:val="20"/>
        </w:rPr>
        <w:t xml:space="preserve">Annual transition probabilities are fixed (not PSA-varied) owing to limited longitudinal data:</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Annual background mortality (μ_bg = 0.003) applied from Healthy, Mild, and Severe states.</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Annual mild-to-severe progression (q_progress = 0.002) reflects rare late deterioration in individuals with hearing loss and recurrent infections.</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No recovery from Mild to Healthy is assumed (conservative; late hearing loss rehabilitation is partial and not modeled as full health restoration).</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No recovery from Severe to Mild or Healthy (absorbing disability).</w:t>
      </w:r>
    </w:p>
    <w:p>
      <w:pPr>
        <w:shd w:fill="F5F5F5" w:val="clear"/>
        <w:spacing w:before="120" w:after="120"/>
        <w:jc w:val="center"/>
      </w:pPr>
      <w:r>
        <w:rPr>
          <w:rFonts w:ascii="Courier New" w:cs="Courier New" w:eastAsia="Courier New" w:hAnsi="Courier New"/>
          <w:color w:val="1F3864"/>
          <w:sz w:val="20"/>
          <w:szCs w:val="20"/>
        </w:rPr>
        <w:t xml:space="preserve">S(t+1)[Healthy]  = S(t)[Healthy] × (1 − μ_bg)</w:t>
      </w:r>
    </w:p>
    <w:p>
      <w:pPr>
        <w:shd w:fill="F5F5F5" w:val="clear"/>
        <w:spacing w:before="120" w:after="120"/>
        <w:jc w:val="center"/>
      </w:pPr>
      <w:r>
        <w:rPr>
          <w:rFonts w:ascii="Courier New" w:cs="Courier New" w:eastAsia="Courier New" w:hAnsi="Courier New"/>
          <w:color w:val="1F3864"/>
          <w:sz w:val="20"/>
          <w:szCs w:val="20"/>
        </w:rPr>
        <w:t xml:space="preserve">S(t+1)[Mild]     = S(t)[Mild] × (1 − μ_bg − q_progress)</w:t>
      </w:r>
    </w:p>
    <w:p>
      <w:pPr>
        <w:shd w:fill="F5F5F5" w:val="clear"/>
        <w:spacing w:before="120" w:after="120"/>
        <w:jc w:val="center"/>
      </w:pPr>
      <w:r>
        <w:rPr>
          <w:rFonts w:ascii="Courier New" w:cs="Courier New" w:eastAsia="Courier New" w:hAnsi="Courier New"/>
          <w:color w:val="1F3864"/>
          <w:sz w:val="20"/>
          <w:szCs w:val="20"/>
        </w:rPr>
        <w:t xml:space="preserve">S(t+1)[Severe]   = S(t)[Severe] × (1 − μ_bg) + S(t)[Mild] × q_progress</w:t>
      </w:r>
    </w:p>
    <w:p>
      <w:pPr>
        <w:shd w:fill="F5F5F5" w:val="clear"/>
        <w:spacing w:before="120" w:after="120"/>
        <w:jc w:val="center"/>
      </w:pPr>
      <w:r>
        <w:rPr>
          <w:rFonts w:ascii="Courier New" w:cs="Courier New" w:eastAsia="Courier New" w:hAnsi="Courier New"/>
          <w:color w:val="1F3864"/>
          <w:sz w:val="20"/>
          <w:szCs w:val="20"/>
        </w:rPr>
        <w:t xml:space="preserve">S(t+1)[Dead]     = S(t)[Dead] + [S(t)[Healthy] + S(t)[Mild] + S(t)[Severe]] × μ_bg</w:t>
      </w:r>
    </w:p>
    <w:p>
      <w:pPr>
        <w:pStyle w:val="Heading2"/>
        <w:spacing w:before="240" w:after="100"/>
      </w:pPr>
      <w:r>
        <w:rPr>
          <w:rFonts w:ascii="Arial" w:cs="Arial" w:eastAsia="Arial" w:hAnsi="Arial"/>
          <w:b/>
          <w:bCs/>
          <w:color w:val="2E6DA4"/>
          <w:sz w:val="24"/>
          <w:szCs w:val="24"/>
        </w:rPr>
        <w:t xml:space="preserve">A5.3 Disability Weights and Annual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980"/>
        <w:gridCol w:w="1980"/>
      </w:tblGrid>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State</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Disability weight</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DW 95% CI</w:t>
            </w:r>
          </w:p>
        </w:tc>
        <w:tc>
          <w:tcPr>
            <w:tcW w:type="dxa" w:w="19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Annual medical cost</w:t>
            </w:r>
          </w:p>
        </w:tc>
        <w:tc>
          <w:tcPr>
            <w:tcW w:type="dxa" w:w="19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Cost SD</w:t>
            </w:r>
          </w:p>
        </w:tc>
      </w:tr>
      <w:tr>
        <w:tc>
          <w:tcPr>
            <w:tcW w:type="dxa" w:w="2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Healthy</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w:t>
            </w:r>
          </w:p>
        </w:tc>
        <w:tc>
          <w:tcPr>
            <w:tcW w:type="dxa" w:w="19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w:t>
            </w:r>
          </w:p>
        </w:tc>
        <w:tc>
          <w:tcPr>
            <w:tcW w:type="dxa" w:w="19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Mild sequelae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0.110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0.050 – 0.210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$8,500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$2,500</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Severe sequelae</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0.390</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0.260 – 0.530</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$26,000</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$7,500</w:t>
            </w:r>
          </w:p>
        </w:tc>
      </w:tr>
    </w:tbl>
    <w:p>
      <w:pPr>
        <w:spacing w:before="60" w:after="60"/>
        <w:jc w:val="left"/>
      </w:pPr>
      <w:r>
        <w:rPr>
          <w:rFonts w:ascii="Arial" w:cs="Arial" w:eastAsia="Arial" w:hAnsi="Arial"/>
          <w:b/>
          <w:bCs/>
          <w:i/>
          <w:iCs/>
          <w:sz w:val="18"/>
          <w:szCs w:val="18"/>
        </w:rPr>
        <w:t xml:space="preserve">Note. </w:t>
      </w:r>
      <w:r>
        <w:rPr>
          <w:rFonts w:ascii="Arial" w:cs="Arial" w:eastAsia="Arial" w:hAnsi="Arial"/>
          <w:i/>
          <w:iCs/>
          <w:sz w:val="18"/>
          <w:szCs w:val="18"/>
        </w:rPr>
        <w:t xml:space="preserve">Disability weights from GBD 2019 (hearing loss severe: 0.215; intellectual disability moderate: 0.430; weighted composite used for mild/severe states). Annual medical costs represent healthcare sector expenditures including special education, audiology, neurology, and residential support where applicable. Costs in 2025 USD; Gamma PSA distributions. Costs in the Healthy state are zero because this represents individuals who have fully resolved their CS without persistent sequelae; background healthcare utilization is captured in the comparator arm.</w:t>
      </w:r>
    </w:p>
    <w:p>
      <w:pPr>
        <w:spacing w:before="0" w:after="0"/>
      </w:pPr>
      <w:r>
        <w:rPr>
          <w:rFonts w:ascii="Arial" w:cs="Arial" w:eastAsia="Arial" w:hAnsi="Arial"/>
          <w:b w:val="false"/>
          <w:bCs w:val="false"/>
          <w:i w:val="false"/>
          <w:iCs w:val="false"/>
          <w:color w:val="000000"/>
          <w:sz w:val="20"/>
          <w:szCs w:val="20"/>
        </w:rPr>
        <w:t xml:space="preserve"/>
      </w:r>
    </w:p>
    <w:p>
      <w:pPr>
        <w:pStyle w:val="Heading2"/>
        <w:spacing w:before="240" w:after="100"/>
      </w:pPr>
      <w:r>
        <w:rPr>
          <w:rFonts w:ascii="Arial" w:cs="Arial" w:eastAsia="Arial" w:hAnsi="Arial"/>
          <w:b/>
          <w:bCs/>
          <w:color w:val="2E6DA4"/>
          <w:sz w:val="24"/>
          <w:szCs w:val="24"/>
        </w:rPr>
        <w:t xml:space="preserve">A5.4 Lifetime DALY and Cost Calculation</w:t>
      </w:r>
    </w:p>
    <w:p>
      <w:pPr>
        <w:spacing w:before="80" w:after="80"/>
        <w:jc w:val="both"/>
      </w:pPr>
      <w:r>
        <w:rPr>
          <w:rFonts w:ascii="Arial" w:cs="Arial" w:eastAsia="Arial" w:hAnsi="Arial"/>
          <w:b w:val="false"/>
          <w:bCs w:val="false"/>
          <w:i w:val="false"/>
          <w:iCs w:val="false"/>
          <w:color w:val="000000"/>
          <w:sz w:val="20"/>
          <w:szCs w:val="20"/>
        </w:rPr>
        <w:t xml:space="preserve">For each PSA draw and each CS case averted, the Markov is run from t = 0 to t = T (life expectancy) with annual discounting:</w:t>
      </w:r>
    </w:p>
    <w:p>
      <w:pPr>
        <w:shd w:fill="F5F5F5" w:val="clear"/>
        <w:spacing w:before="120" w:after="120"/>
        <w:jc w:val="center"/>
      </w:pPr>
      <w:r>
        <w:rPr>
          <w:rFonts w:ascii="Courier New" w:cs="Courier New" w:eastAsia="Courier New" w:hAnsi="Courier New"/>
          <w:color w:val="1F3864"/>
          <w:sz w:val="20"/>
          <w:szCs w:val="20"/>
        </w:rPr>
        <w:t xml:space="preserve">DALY_lifetime = Σ_t [(S_t[Mild] × DW_mild + S_t[Severe] × DW_severe) / (1+r)^t]</w:t>
      </w:r>
    </w:p>
    <w:p>
      <w:pPr>
        <w:shd w:fill="F5F5F5" w:val="clear"/>
        <w:spacing w:before="120" w:after="120"/>
        <w:jc w:val="center"/>
      </w:pPr>
      <w:r>
        <w:rPr>
          <w:rFonts w:ascii="Courier New" w:cs="Courier New" w:eastAsia="Courier New" w:hAnsi="Courier New"/>
          <w:color w:val="1F3864"/>
          <w:sz w:val="20"/>
          <w:szCs w:val="20"/>
        </w:rPr>
        <w:t xml:space="preserve">Cost_lifetime = Σ_t [(S_t[Mild] × C_mild + S_t[Severe] × C_severe) / (1+r)^t]</w:t>
      </w:r>
    </w:p>
    <w:p>
      <w:pPr>
        <w:spacing w:before="80" w:after="80"/>
        <w:jc w:val="both"/>
      </w:pPr>
      <w:r>
        <w:rPr>
          <w:rFonts w:ascii="Arial" w:cs="Arial" w:eastAsia="Arial" w:hAnsi="Arial"/>
          <w:b w:val="false"/>
          <w:bCs w:val="false"/>
          <w:i w:val="false"/>
          <w:iCs w:val="false"/>
          <w:color w:val="000000"/>
          <w:sz w:val="20"/>
          <w:szCs w:val="20"/>
        </w:rPr>
        <w:t xml:space="preserve">The Markov is vectorised across all N PSA draws simultaneously (matrix operations), with per-draw initial state distributions sampled from Beta distributions. The total contribution to the ICER is:</w:t>
      </w:r>
    </w:p>
    <w:p>
      <w:pPr>
        <w:shd w:fill="F5F5F5" w:val="clear"/>
        <w:spacing w:before="120" w:after="120"/>
        <w:jc w:val="center"/>
      </w:pPr>
      <w:r>
        <w:rPr>
          <w:rFonts w:ascii="Courier New" w:cs="Courier New" w:eastAsia="Courier New" w:hAnsi="Courier New"/>
          <w:color w:val="1F3864"/>
          <w:sz w:val="20"/>
          <w:szCs w:val="20"/>
        </w:rPr>
        <w:t xml:space="preserve">ΔCost_Markov    = − (N_cs_comp × Cost_per_comp + N_cs_uncomp × Cost_per_uncomp)</w:t>
      </w:r>
    </w:p>
    <w:p>
      <w:pPr>
        <w:shd w:fill="F5F5F5" w:val="clear"/>
        <w:spacing w:before="120" w:after="120"/>
        <w:jc w:val="center"/>
      </w:pPr>
      <w:r>
        <w:rPr>
          <w:rFonts w:ascii="Courier New" w:cs="Courier New" w:eastAsia="Courier New" w:hAnsi="Courier New"/>
          <w:color w:val="1F3864"/>
          <w:sz w:val="20"/>
          <w:szCs w:val="20"/>
        </w:rPr>
        <w:t xml:space="preserve">ΔDALY_Markov    = N_cs_comp × DALY_per_comp + N_cs_uncomp × DALY_per_uncomp</w:t>
      </w:r>
    </w:p>
    <w:p>
      <w:pPr>
        <w:spacing w:before="80" w:after="80"/>
        <w:jc w:val="both"/>
      </w:pPr>
      <w:r>
        <w:rPr>
          <w:rFonts w:ascii="Arial" w:cs="Arial" w:eastAsia="Arial" w:hAnsi="Arial"/>
          <w:b w:val="false"/>
          <w:bCs w:val="false"/>
          <w:i w:val="false"/>
          <w:iCs w:val="false"/>
          <w:color w:val="000000"/>
          <w:sz w:val="20"/>
          <w:szCs w:val="20"/>
        </w:rPr>
        <w:t xml:space="preserve">These terms are added to the immediate-outcome DALY and cost differences from the decision tree to produce the total incremental DALY and cost estimates used in the ICER calculation.</w:t>
      </w:r>
    </w:p>
    <w:p>
      <w:pPr>
        <w:spacing w:before="80" w:after="80"/>
        <w:jc w:val="both"/>
      </w:pPr>
      <w:r>
        <w:rPr>
          <w:rFonts w:ascii="Arial" w:cs="Arial" w:eastAsia="Arial" w:hAnsi="Arial"/>
          <w:b/>
          <w:bCs/>
          <w:i w:val="false"/>
          <w:iCs w:val="false"/>
          <w:color w:val="000000"/>
          <w:sz w:val="20"/>
          <w:szCs w:val="20"/>
        </w:rPr>
        <w:t xml:space="preserve">Note on v1 comparison. </w:t>
      </w:r>
      <w:r>
        <w:rPr>
          <w:rFonts w:ascii="Arial" w:cs="Arial" w:eastAsia="Arial" w:hAnsi="Arial"/>
          <w:b w:val="false"/>
          <w:bCs w:val="false"/>
          <w:i w:val="false"/>
          <w:iCs w:val="false"/>
          <w:color w:val="000000"/>
          <w:sz w:val="20"/>
          <w:szCs w:val="20"/>
        </w:rPr>
        <w:t xml:space="preserve">Model version 1 approximated CS lifetime burden with a fixed disability weight over a 1-year acute phase plus a p_lt-weighted long-term disability component over 70 years. The Markov produces substantially higher per-case DALY estimates (approximately 5 DALYs per CS-complicated case averted vs. approximately 0.8 in v1) because it correctly distributes the initial sequelae burden across the lifetime rather than applying a single point-estimate. This is the expected direction: preventing CS becomes more valuable when lifetime burden is properly captured.</w:t>
      </w:r>
    </w:p>
    <w:p>
      <w:pPr>
        <w:spacing w:before="0" w:after="0"/>
      </w:pPr>
      <w:r>
        <w:rPr>
          <w:rFonts w:ascii="Arial" w:cs="Arial" w:eastAsia="Arial" w:hAnsi="Arial"/>
          <w:b w:val="false"/>
          <w:bCs w:val="false"/>
          <w:i w:val="false"/>
          <w:iCs w:val="false"/>
          <w:color w:val="000000"/>
          <w:sz w:val="20"/>
          <w:szCs w:val="20"/>
        </w:rPr>
        <w:t xml:space="preserve"/>
      </w:r>
    </w:p>
    <w:p>
      <w:pPr>
        <w:pStyle w:val="Heading1"/>
        <w:pBdr>
          <w:bottom w:val="single" w:color="2E6DA4" w:sz="6" w:space="4"/>
        </w:pBdr>
        <w:spacing w:before="360" w:after="160"/>
      </w:pPr>
      <w:r>
        <w:rPr>
          <w:rFonts w:ascii="Arial" w:cs="Arial" w:eastAsia="Arial" w:hAnsi="Arial"/>
          <w:b/>
          <w:bCs/>
          <w:color w:val="1F3864"/>
          <w:sz w:val="28"/>
          <w:szCs w:val="28"/>
        </w:rPr>
        <w:t xml:space="preserve">A6. DALY Calculation — Non-CS Outcomes</w:t>
      </w:r>
    </w:p>
    <w:p>
      <w:pPr>
        <w:spacing w:before="80" w:after="80"/>
        <w:jc w:val="both"/>
      </w:pPr>
      <w:r>
        <w:rPr>
          <w:rFonts w:ascii="Arial" w:cs="Arial" w:eastAsia="Arial" w:hAnsi="Arial"/>
          <w:b w:val="false"/>
          <w:bCs w:val="false"/>
          <w:i w:val="false"/>
          <w:iCs w:val="false"/>
          <w:color w:val="000000"/>
          <w:sz w:val="20"/>
          <w:szCs w:val="20"/>
        </w:rPr>
        <w:t xml:space="preserve">DALY contributions from non-CS outcomes are computed separately and added to the Markov-derived CS DALYs. The model uses disability weights from the Global Burden of Disease (GBD) framework and life expectancy at birth to compute years of life lost (YLL) and years lived with disability (YLD).</w:t>
      </w:r>
    </w:p>
    <w:p>
      <w:pPr>
        <w:pStyle w:val="Heading2"/>
        <w:spacing w:before="240" w:after="100"/>
      </w:pPr>
      <w:r>
        <w:rPr>
          <w:rFonts w:ascii="Arial" w:cs="Arial" w:eastAsia="Arial" w:hAnsi="Arial"/>
          <w:b/>
          <w:bCs/>
          <w:color w:val="2E6DA4"/>
          <w:sz w:val="24"/>
          <w:szCs w:val="24"/>
        </w:rPr>
        <w:t xml:space="preserve">A6.1 Neonatal Deaths</w:t>
      </w:r>
    </w:p>
    <w:p>
      <w:pPr>
        <w:spacing w:before="80" w:after="80"/>
        <w:jc w:val="both"/>
      </w:pPr>
      <w:r>
        <w:rPr>
          <w:rFonts w:ascii="Arial" w:cs="Arial" w:eastAsia="Arial" w:hAnsi="Arial"/>
          <w:b w:val="false"/>
          <w:bCs w:val="false"/>
          <w:i w:val="false"/>
          <w:iCs w:val="false"/>
          <w:color w:val="000000"/>
          <w:sz w:val="20"/>
          <w:szCs w:val="20"/>
        </w:rPr>
        <w:t xml:space="preserve">Neonatal deaths contribute YLL equal to life expectancy at birth, discounted at the model discount rate:</w:t>
      </w:r>
    </w:p>
    <w:p>
      <w:pPr>
        <w:shd w:fill="F5F5F5" w:val="clear"/>
        <w:spacing w:before="120" w:after="120"/>
        <w:jc w:val="center"/>
      </w:pPr>
      <w:r>
        <w:rPr>
          <w:rFonts w:ascii="Courier New" w:cs="Courier New" w:eastAsia="Courier New" w:hAnsi="Courier New"/>
          <w:color w:val="1F3864"/>
          <w:sz w:val="20"/>
          <w:szCs w:val="20"/>
        </w:rPr>
        <w:t xml:space="preserve">YLL_NND = N_NND_averted × PVF(LE, r)</w:t>
      </w:r>
    </w:p>
    <w:p>
      <w:pPr>
        <w:spacing w:before="80" w:after="80"/>
        <w:jc w:val="both"/>
      </w:pPr>
      <w:r>
        <w:rPr>
          <w:rFonts w:ascii="Arial" w:cs="Arial" w:eastAsia="Arial" w:hAnsi="Arial"/>
          <w:b w:val="false"/>
          <w:bCs w:val="false"/>
          <w:i w:val="false"/>
          <w:iCs w:val="false"/>
          <w:color w:val="000000"/>
          <w:sz w:val="20"/>
          <w:szCs w:val="20"/>
        </w:rPr>
        <w:t xml:space="preserve">Where </w:t>
      </w:r>
      <w:r>
        <w:rPr>
          <w:rFonts w:ascii="Arial" w:cs="Arial" w:eastAsia="Arial" w:hAnsi="Arial"/>
          <w:b w:val="false"/>
          <w:bCs w:val="false"/>
          <w:i w:val="false"/>
          <w:iCs w:val="false"/>
          <w:color w:val="000000"/>
          <w:sz w:val="20"/>
          <w:szCs w:val="20"/>
        </w:rPr>
        <w:t xml:space="preserve">PVF(LE, r) = [1 − (1+r)</w:t>
      </w:r>
      <w:r>
        <w:rPr>
          <w:rFonts w:ascii="Arial" w:cs="Arial" w:eastAsia="Arial" w:hAnsi="Arial"/>
          <w:b w:val="false"/>
          <w:bCs w:val="false"/>
          <w:i w:val="false"/>
          <w:iCs w:val="false"/>
          <w:color w:val="000000"/>
          <w:sz w:val="20"/>
          <w:szCs w:val="20"/>
          <w:vertAlign w:val="superscript"/>
        </w:rPr>
        <w:t xml:space="preserve">−LE</w:t>
      </w:r>
      <w:r>
        <w:rPr>
          <w:rFonts w:ascii="Arial" w:cs="Arial" w:eastAsia="Arial" w:hAnsi="Arial"/>
          <w:b w:val="false"/>
          <w:bCs w:val="false"/>
          <w:i w:val="false"/>
          <w:iCs w:val="false"/>
          <w:color w:val="000000"/>
          <w:sz w:val="20"/>
          <w:szCs w:val="20"/>
        </w:rPr>
        <w:t xml:space="preserve">] / r</w:t>
      </w:r>
      <w:r>
        <w:rPr>
          <w:rFonts w:ascii="Arial" w:cs="Arial" w:eastAsia="Arial" w:hAnsi="Arial"/>
          <w:b w:val="false"/>
          <w:bCs w:val="false"/>
          <w:i w:val="false"/>
          <w:iCs w:val="false"/>
          <w:color w:val="000000"/>
          <w:sz w:val="20"/>
          <w:szCs w:val="20"/>
        </w:rPr>
        <w:t xml:space="preserve"> is the present-value annuity factor for LE years at discount rate r. Neonatal deaths are defined as deaths within 28 days of live birth. This term dominates the non-Markov DALY contribution.</w:t>
      </w:r>
    </w:p>
    <w:p>
      <w:pPr>
        <w:pStyle w:val="Heading2"/>
        <w:spacing w:before="240" w:after="100"/>
      </w:pPr>
      <w:r>
        <w:rPr>
          <w:rFonts w:ascii="Arial" w:cs="Arial" w:eastAsia="Arial" w:hAnsi="Arial"/>
          <w:b/>
          <w:bCs/>
          <w:color w:val="2E6DA4"/>
          <w:sz w:val="24"/>
          <w:szCs w:val="24"/>
        </w:rPr>
        <w:t xml:space="preserve">A6.2 Low Birth Weight</w:t>
      </w:r>
    </w:p>
    <w:p>
      <w:pPr>
        <w:spacing w:before="80" w:after="80"/>
        <w:jc w:val="both"/>
      </w:pPr>
      <w:r>
        <w:rPr>
          <w:rFonts w:ascii="Arial" w:cs="Arial" w:eastAsia="Arial" w:hAnsi="Arial"/>
          <w:b w:val="false"/>
          <w:bCs w:val="false"/>
          <w:i w:val="false"/>
          <w:iCs w:val="false"/>
          <w:color w:val="000000"/>
          <w:sz w:val="20"/>
          <w:szCs w:val="20"/>
        </w:rPr>
        <w:t xml:space="preserve">Low birth weight (LBW) YLD is included as a toggleable component (included in base case):</w:t>
      </w:r>
    </w:p>
    <w:p>
      <w:pPr>
        <w:shd w:fill="F5F5F5" w:val="clear"/>
        <w:spacing w:before="120" w:after="120"/>
        <w:jc w:val="center"/>
      </w:pPr>
      <w:r>
        <w:rPr>
          <w:rFonts w:ascii="Courier New" w:cs="Courier New" w:eastAsia="Courier New" w:hAnsi="Courier New"/>
          <w:color w:val="1F3864"/>
          <w:sz w:val="20"/>
          <w:szCs w:val="20"/>
        </w:rPr>
        <w:t xml:space="preserve">YLD_LBW = N_LBW_averted × DW_LBW × PVF(0.25, r)</w:t>
      </w:r>
    </w:p>
    <w:p>
      <w:pPr>
        <w:spacing w:before="80" w:after="80"/>
        <w:jc w:val="both"/>
      </w:pPr>
      <w:r>
        <w:rPr>
          <w:rFonts w:ascii="Arial" w:cs="Arial" w:eastAsia="Arial" w:hAnsi="Arial"/>
          <w:b w:val="false"/>
          <w:bCs w:val="false"/>
          <w:i w:val="false"/>
          <w:iCs w:val="false"/>
          <w:color w:val="000000"/>
          <w:sz w:val="20"/>
          <w:szCs w:val="20"/>
        </w:rPr>
        <w:t xml:space="preserve">Duration of 0.25 years (approximately 3 months) reflects the acute disability period for LBW infants; GBD disability weight of 0.106 [0.035–0.159].</w:t>
      </w:r>
    </w:p>
    <w:p>
      <w:pPr>
        <w:pStyle w:val="Heading2"/>
        <w:spacing w:before="240" w:after="100"/>
      </w:pPr>
      <w:r>
        <w:rPr>
          <w:rFonts w:ascii="Arial" w:cs="Arial" w:eastAsia="Arial" w:hAnsi="Arial"/>
          <w:b/>
          <w:bCs/>
          <w:color w:val="2E6DA4"/>
          <w:sz w:val="24"/>
          <w:szCs w:val="24"/>
        </w:rPr>
        <w:t xml:space="preserve">A6.3 Maternal Grief</w:t>
      </w:r>
    </w:p>
    <w:p>
      <w:pPr>
        <w:spacing w:before="80" w:after="80"/>
        <w:jc w:val="both"/>
      </w:pPr>
      <w:r>
        <w:rPr>
          <w:rFonts w:ascii="Arial" w:cs="Arial" w:eastAsia="Arial" w:hAnsi="Arial"/>
          <w:b w:val="false"/>
          <w:bCs w:val="false"/>
          <w:i w:val="false"/>
          <w:iCs w:val="false"/>
          <w:color w:val="000000"/>
          <w:sz w:val="20"/>
          <w:szCs w:val="20"/>
        </w:rPr>
        <w:t xml:space="preserve">Maternal grief DALYs are included as an optional component:</w:t>
      </w:r>
    </w:p>
    <w:p>
      <w:pPr>
        <w:shd w:fill="F5F5F5" w:val="clear"/>
        <w:spacing w:before="120" w:after="120"/>
        <w:jc w:val="center"/>
      </w:pPr>
      <w:r>
        <w:rPr>
          <w:rFonts w:ascii="Courier New" w:cs="Courier New" w:eastAsia="Courier New" w:hAnsi="Courier New"/>
          <w:color w:val="1F3864"/>
          <w:sz w:val="20"/>
          <w:szCs w:val="20"/>
        </w:rPr>
        <w:t xml:space="preserve">YLD_grief_SB  = N_SB_averted  × DW_mat_sb  × PVF(1.0, r)</w:t>
      </w:r>
    </w:p>
    <w:p>
      <w:pPr>
        <w:shd w:fill="F5F5F5" w:val="clear"/>
        <w:spacing w:before="120" w:after="120"/>
        <w:jc w:val="center"/>
      </w:pPr>
      <w:r>
        <w:rPr>
          <w:rFonts w:ascii="Courier New" w:cs="Courier New" w:eastAsia="Courier New" w:hAnsi="Courier New"/>
          <w:color w:val="1F3864"/>
          <w:sz w:val="20"/>
          <w:szCs w:val="20"/>
        </w:rPr>
        <w:t xml:space="preserve">YLD_grief_NND = N_NND_averted × DW_mat_nnd × PVF(1.0, 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c>
          <w:tcPr>
            <w:tcW w:type="dxa" w:w="2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Component</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DW (mean)</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DW 95% CI</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Duration</w:t>
            </w:r>
          </w:p>
        </w:tc>
        <w:tc>
          <w:tcPr>
            <w:tcW w:type="dxa" w:w="1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Distribution</w:t>
            </w:r>
          </w:p>
        </w:tc>
      </w:tr>
      <w:tr>
        <w:tc>
          <w:tcPr>
            <w:tcW w:type="dxa" w:w="2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LBW YLD</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0.106</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0.035 – 0.159</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0.25 years</w:t>
            </w:r>
          </w:p>
        </w:tc>
        <w:tc>
          <w:tcPr>
            <w:tcW w:type="dxa" w:w="17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Beta</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Maternal grief — stillbirth</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0.740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0.600 – 0.800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1.0 year</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Beta</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Maternal grief — neonatal death</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0.658</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0.528 – 0.768</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1.0 year</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Beta</w:t>
            </w:r>
          </w:p>
        </w:tc>
      </w:tr>
    </w:tbl>
    <w:p>
      <w:pPr>
        <w:spacing w:before="60" w:after="60"/>
        <w:jc w:val="left"/>
      </w:pPr>
      <w:r>
        <w:rPr>
          <w:rFonts w:ascii="Arial" w:cs="Arial" w:eastAsia="Arial" w:hAnsi="Arial"/>
          <w:b/>
          <w:bCs/>
          <w:i/>
          <w:iCs/>
          <w:sz w:val="18"/>
          <w:szCs w:val="18"/>
        </w:rPr>
        <w:t xml:space="preserve">Note. </w:t>
      </w:r>
      <w:r>
        <w:rPr>
          <w:rFonts w:ascii="Arial" w:cs="Arial" w:eastAsia="Arial" w:hAnsi="Arial"/>
          <w:i/>
          <w:iCs/>
          <w:sz w:val="18"/>
          <w:szCs w:val="18"/>
        </w:rPr>
        <w:t xml:space="preserve">DALY units are disability-adjusted life years. DW = disability weight. Maternal grief disability weights from GBD 2019 (Petersen et al., 2015, Lancet; Burden of Proof study). The model uses a 'population perspective' for DALYs—meaning the maternal grief component counts disability accruing to the mother, which is included in the societal analysis as well as the health-sector analysis. Analysts wishing to restrict to infant outcomes only should toggle off the maternal grief component in the sidebar.</w:t>
      </w:r>
    </w:p>
    <w:p>
      <w:pPr>
        <w:spacing w:before="0" w:after="0"/>
      </w:pPr>
      <w:r>
        <w:rPr>
          <w:rFonts w:ascii="Arial" w:cs="Arial" w:eastAsia="Arial" w:hAnsi="Arial"/>
          <w:b w:val="false"/>
          <w:bCs w:val="false"/>
          <w:i w:val="false"/>
          <w:iCs w:val="false"/>
          <w:color w:val="000000"/>
          <w:sz w:val="20"/>
          <w:szCs w:val="20"/>
        </w:rPr>
        <w:t xml:space="preserve"/>
      </w:r>
    </w:p>
    <w:p>
      <w:pPr>
        <w:pStyle w:val="Heading1"/>
        <w:pBdr>
          <w:bottom w:val="single" w:color="2E6DA4" w:sz="6" w:space="4"/>
        </w:pBdr>
        <w:spacing w:before="360" w:after="160"/>
      </w:pPr>
      <w:r>
        <w:rPr>
          <w:rFonts w:ascii="Arial" w:cs="Arial" w:eastAsia="Arial" w:hAnsi="Arial"/>
          <w:b/>
          <w:bCs/>
          <w:color w:val="1F3864"/>
          <w:sz w:val="28"/>
          <w:szCs w:val="28"/>
        </w:rPr>
        <w:t xml:space="preserve">A7. Cost Parameters</w:t>
      </w:r>
    </w:p>
    <w:p>
      <w:pPr>
        <w:pStyle w:val="Heading2"/>
        <w:spacing w:before="240" w:after="100"/>
      </w:pPr>
      <w:r>
        <w:rPr>
          <w:rFonts w:ascii="Arial" w:cs="Arial" w:eastAsia="Arial" w:hAnsi="Arial"/>
          <w:b/>
          <w:bCs/>
          <w:color w:val="2E6DA4"/>
          <w:sz w:val="24"/>
          <w:szCs w:val="24"/>
        </w:rPr>
        <w:t xml:space="preserve">A7.1 Program (Intervention) Costs</w:t>
      </w:r>
    </w:p>
    <w:p>
      <w:pPr>
        <w:spacing w:before="80" w:after="80"/>
        <w:jc w:val="both"/>
      </w:pPr>
      <w:r>
        <w:rPr>
          <w:rFonts w:ascii="Arial" w:cs="Arial" w:eastAsia="Arial" w:hAnsi="Arial"/>
          <w:b w:val="false"/>
          <w:bCs w:val="false"/>
          <w:i w:val="false"/>
          <w:iCs w:val="false"/>
          <w:color w:val="000000"/>
          <w:sz w:val="20"/>
          <w:szCs w:val="20"/>
        </w:rPr>
        <w:t xml:space="preserve">Program costs are computed on the basis of the incremental number of pregnant patients screened under the intervention versus usual care, adjusted for pregnancy identification probability:</w:t>
      </w:r>
    </w:p>
    <w:p>
      <w:pPr>
        <w:shd w:fill="F5F5F5" w:val="clear"/>
        <w:spacing w:before="120" w:after="120"/>
        <w:jc w:val="center"/>
      </w:pPr>
      <w:r>
        <w:rPr>
          <w:rFonts w:ascii="Courier New" w:cs="Courier New" w:eastAsia="Courier New" w:hAnsi="Courier New"/>
          <w:color w:val="1F3864"/>
          <w:sz w:val="20"/>
          <w:szCs w:val="20"/>
        </w:rPr>
        <w:t xml:space="preserve">N_extra = max(sc_e × p_id − sc_uc × p_id, 0) × cohort</w:t>
      </w:r>
    </w:p>
    <w:p>
      <w:pPr>
        <w:shd w:fill="F5F5F5" w:val="clear"/>
        <w:spacing w:before="120" w:after="120"/>
        <w:jc w:val="center"/>
      </w:pPr>
      <w:r>
        <w:rPr>
          <w:rFonts w:ascii="Courier New" w:cs="Courier New" w:eastAsia="Courier New" w:hAnsi="Courier New"/>
          <w:color w:val="1F3864"/>
          <w:sz w:val="20"/>
          <w:szCs w:val="20"/>
        </w:rPr>
        <w:t xml:space="preserve">C_test  = N_extra × C_rpr + N_extra × (p_act × sens + p_fp) × C_fta</w:t>
      </w:r>
    </w:p>
    <w:p>
      <w:pPr>
        <w:shd w:fill="F5F5F5" w:val="clear"/>
        <w:spacing w:before="120" w:after="120"/>
        <w:jc w:val="center"/>
      </w:pPr>
      <w:r>
        <w:rPr>
          <w:rFonts w:ascii="Courier New" w:cs="Courier New" w:eastAsia="Courier New" w:hAnsi="Courier New"/>
          <w:color w:val="1F3864"/>
          <w:sz w:val="20"/>
          <w:szCs w:val="20"/>
        </w:rPr>
        <w:t xml:space="preserve">C_treat = N_extra × p_act × sens × p_adeq × C_pen</w:t>
      </w:r>
    </w:p>
    <w:p>
      <w:pPr>
        <w:shd w:fill="F5F5F5" w:val="clear"/>
        <w:spacing w:before="120" w:after="120"/>
        <w:jc w:val="center"/>
      </w:pPr>
      <w:r>
        <w:rPr>
          <w:rFonts w:ascii="Courier New" w:cs="Courier New" w:eastAsia="Courier New" w:hAnsi="Courier New"/>
          <w:color w:val="1F3864"/>
          <w:sz w:val="20"/>
          <w:szCs w:val="20"/>
        </w:rPr>
        <w:t xml:space="preserve">C_staff = N_extra × C_staff_unit</w:t>
      </w:r>
    </w:p>
    <w:p>
      <w:pPr>
        <w:shd w:fill="F5F5F5" w:val="clear"/>
        <w:spacing w:before="120" w:after="120"/>
        <w:jc w:val="center"/>
      </w:pPr>
      <w:r>
        <w:rPr>
          <w:rFonts w:ascii="Courier New" w:cs="Courier New" w:eastAsia="Courier New" w:hAnsi="Courier New"/>
          <w:color w:val="1F3864"/>
          <w:sz w:val="20"/>
          <w:szCs w:val="20"/>
        </w:rPr>
        <w:t xml:space="preserve">C_prog  = C_test + C_treat + C_staff + C_serofast</w:t>
      </w:r>
    </w:p>
    <w:p>
      <w:pPr>
        <w:spacing w:before="80" w:after="80"/>
        <w:jc w:val="both"/>
      </w:pPr>
      <w:r>
        <w:rPr>
          <w:rFonts w:ascii="Arial" w:cs="Arial" w:eastAsia="Arial" w:hAnsi="Arial"/>
          <w:b w:val="false"/>
          <w:bCs w:val="false"/>
          <w:i w:val="false"/>
          <w:iCs w:val="false"/>
          <w:color w:val="000000"/>
          <w:sz w:val="20"/>
          <w:szCs w:val="20"/>
        </w:rPr>
        <w:t xml:space="preserve">Where </w:t>
      </w:r>
      <w:r>
        <w:rPr>
          <w:rFonts w:ascii="Arial" w:cs="Arial" w:eastAsia="Arial" w:hAnsi="Arial"/>
          <w:b w:val="false"/>
          <w:bCs w:val="false"/>
          <w:i/>
          <w:iCs/>
          <w:color w:val="000000"/>
          <w:sz w:val="20"/>
          <w:szCs w:val="20"/>
        </w:rPr>
        <w:t xml:space="preserve">p_fp = (1 − p_act − p_sf) × (1 − spec)</w:t>
      </w:r>
      <w:r>
        <w:rPr>
          <w:rFonts w:ascii="Arial" w:cs="Arial" w:eastAsia="Arial" w:hAnsi="Arial"/>
          <w:b w:val="false"/>
          <w:bCs w:val="false"/>
          <w:i w:val="false"/>
          <w:iCs w:val="false"/>
          <w:color w:val="000000"/>
          <w:sz w:val="20"/>
          <w:szCs w:val="20"/>
        </w:rPr>
        <w:t xml:space="preserve"> is the false-positive rate among seronegative patients. C_fta is the confirmatory full treponemal antibody test cost, applied only to reactive screens (true positives + false positives). The term C_staff captures care navigation cost per incremental patient screened.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960"/>
      </w:tblGrid>
      <w:tr>
        <w:tc>
          <w:tcPr>
            <w:tcW w:type="dxa" w:w="2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Parameter</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Mean (2025 $)</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SD</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CPI-adjusted?</w:t>
            </w:r>
          </w:p>
        </w:tc>
        <w:tc>
          <w:tcPr>
            <w:tcW w:type="dxa" w:w="19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Source</w:t>
            </w:r>
          </w:p>
        </w:tc>
      </w:tr>
      <w:tr>
        <w:tc>
          <w:tcPr>
            <w:tcW w:type="dxa" w:w="2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RPR test (C_rpr)</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$11.62</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$5.94</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Yes</w:t>
            </w:r>
          </w:p>
        </w:tc>
        <w:tc>
          <w:tcPr>
            <w:tcW w:type="dxa" w:w="19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Medicare fee schedule (2019)</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Full treponemal antibody (C_fta)</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$36.74</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$9.96</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Yes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Medicare fee schedule (2019)</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Penicillin G (C_pen)</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$20.00</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$4.00</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No</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Wholesale acquisition cost</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Staff / navigation (C_staff_unit)</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$30.00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$10.00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No</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Expert elicitation</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Serofast workup (C_sf_wu)</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$75.00</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$25.00</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No</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Expert elicitation</w:t>
            </w:r>
          </w:p>
        </w:tc>
      </w:tr>
    </w:tbl>
    <w:p>
      <w:pPr>
        <w:spacing w:before="60" w:after="60"/>
        <w:jc w:val="left"/>
      </w:pPr>
      <w:r>
        <w:rPr>
          <w:rFonts w:ascii="Arial" w:cs="Arial" w:eastAsia="Arial" w:hAnsi="Arial"/>
          <w:b/>
          <w:bCs/>
          <w:i/>
          <w:iCs/>
          <w:sz w:val="18"/>
          <w:szCs w:val="18"/>
        </w:rPr>
        <w:t xml:space="preserve">Note. </w:t>
      </w:r>
      <w:r>
        <w:rPr>
          <w:rFonts w:ascii="Arial" w:cs="Arial" w:eastAsia="Arial" w:hAnsi="Arial"/>
          <w:i/>
          <w:iCs/>
          <w:sz w:val="18"/>
          <w:szCs w:val="18"/>
        </w:rPr>
        <w:t xml:space="preserve">SD = standard deviation for Gamma PSA distributions. CPI factor (2019 → 2025, medical care services): 1.183×.</w:t>
      </w:r>
    </w:p>
    <w:p>
      <w:pPr>
        <w:spacing w:before="0" w:after="0"/>
      </w:pPr>
      <w:r>
        <w:rPr>
          <w:rFonts w:ascii="Arial" w:cs="Arial" w:eastAsia="Arial" w:hAnsi="Arial"/>
          <w:b w:val="false"/>
          <w:bCs w:val="false"/>
          <w:i w:val="false"/>
          <w:iCs w:val="false"/>
          <w:color w:val="000000"/>
          <w:sz w:val="20"/>
          <w:szCs w:val="20"/>
        </w:rPr>
        <w:t xml:space="preserve"/>
      </w:r>
    </w:p>
    <w:p>
      <w:pPr>
        <w:pStyle w:val="Heading2"/>
        <w:spacing w:before="240" w:after="100"/>
      </w:pPr>
      <w:r>
        <w:rPr>
          <w:rFonts w:ascii="Arial" w:cs="Arial" w:eastAsia="Arial" w:hAnsi="Arial"/>
          <w:b/>
          <w:bCs/>
          <w:color w:val="2E6DA4"/>
          <w:sz w:val="24"/>
          <w:szCs w:val="24"/>
        </w:rPr>
        <w:t xml:space="preserve">A7.2 Outcome Savings</w:t>
      </w:r>
    </w:p>
    <w:p>
      <w:pPr>
        <w:spacing w:before="80" w:after="80"/>
        <w:jc w:val="both"/>
      </w:pPr>
      <w:r>
        <w:rPr>
          <w:rFonts w:ascii="Arial" w:cs="Arial" w:eastAsia="Arial" w:hAnsi="Arial"/>
          <w:b w:val="false"/>
          <w:bCs w:val="false"/>
          <w:i w:val="false"/>
          <w:iCs w:val="false"/>
          <w:color w:val="000000"/>
          <w:sz w:val="20"/>
          <w:szCs w:val="20"/>
        </w:rPr>
        <w:t xml:space="preserve">Outcome savings accrue to the payer through averted adverse birth outcomes. The stillbirth cost encompasses all pregnancy costs associated with fetal loss at or after 20 weeks' gestation; IUFD (≥ 28 weeks) is a subset of stillbirths and is not double-counted. CS workup cost (C_cs_wu) covers the acute neonatal diagnostic workup. Lifetime CS medical costs are produced by the infant Markov module and are not listed here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c>
          <w:tcPr>
            <w:tcW w:type="dxa" w:w="2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Outcome cost</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Mean (2025 $)</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SD</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CPI-adjusted?</w:t>
            </w:r>
          </w:p>
        </w:tc>
        <w:tc>
          <w:tcPr>
            <w:tcW w:type="dxa" w:w="1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Source</w:t>
            </w:r>
          </w:p>
        </w:tc>
      </w:tr>
      <w:tr>
        <w:tc>
          <w:tcPr>
            <w:tcW w:type="dxa" w:w="2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Stillbirth (C_sb)</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$167,720</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$23,919</w:t>
            </w:r>
          </w:p>
        </w:tc>
        <w:tc>
          <w:tcPr>
            <w:tcW w:type="dxa" w:w="16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Yes</w:t>
            </w:r>
          </w:p>
        </w:tc>
        <w:tc>
          <w:tcPr>
            <w:tcW w:type="dxa" w:w="17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Snowden et al. (2021)</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Neonatal death (C_nnd)</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$224,528</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$36,218</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Yes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Snowden et al. (2021)</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Low birth weight (C_lbw_hs)</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$64,086</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$1,922</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No</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Healthcare Bluebook (2023)</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CS acute workup (C_cs_wu)</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$1,943</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$518</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Yes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Chesson &amp; Peterman (2023)</w:t>
            </w:r>
          </w:p>
        </w:tc>
      </w:tr>
    </w:tbl>
    <w:p>
      <w:pPr>
        <w:spacing w:before="60" w:after="60"/>
        <w:jc w:val="left"/>
      </w:pPr>
      <w:r>
        <w:rPr>
          <w:rFonts w:ascii="Arial" w:cs="Arial" w:eastAsia="Arial" w:hAnsi="Arial"/>
          <w:b/>
          <w:bCs/>
          <w:i/>
          <w:iCs/>
          <w:sz w:val="18"/>
          <w:szCs w:val="18"/>
        </w:rPr>
        <w:t xml:space="preserve">Note. </w:t>
      </w:r>
      <w:r>
        <w:rPr>
          <w:rFonts w:ascii="Arial" w:cs="Arial" w:eastAsia="Arial" w:hAnsi="Arial"/>
          <w:i/>
          <w:iCs/>
          <w:sz w:val="18"/>
          <w:szCs w:val="18"/>
        </w:rPr>
        <w:t xml:space="preserve">C_cs_wu covers the initial diagnostic workup only (lumbar puncture, CBC, liver function, ophthalmology); ongoing treatment costs are captured in the Markov module. SD values computed from published 95% confidence intervals as (upper CI − lower CI) / 4. All cost parameters sampled from Gamma distributions in PSA.</w:t>
      </w:r>
    </w:p>
    <w:p>
      <w:pPr>
        <w:spacing w:before="0" w:after="0"/>
      </w:pPr>
      <w:r>
        <w:rPr>
          <w:rFonts w:ascii="Arial" w:cs="Arial" w:eastAsia="Arial" w:hAnsi="Arial"/>
          <w:b w:val="false"/>
          <w:bCs w:val="false"/>
          <w:i w:val="false"/>
          <w:iCs w:val="false"/>
          <w:color w:val="000000"/>
          <w:sz w:val="20"/>
          <w:szCs w:val="20"/>
        </w:rPr>
        <w:t xml:space="preserve"/>
      </w:r>
    </w:p>
    <w:p>
      <w:pPr>
        <w:pStyle w:val="Heading1"/>
        <w:pBdr>
          <w:bottom w:val="single" w:color="2E6DA4" w:sz="6" w:space="4"/>
        </w:pBdr>
        <w:spacing w:before="360" w:after="160"/>
      </w:pPr>
      <w:r>
        <w:rPr>
          <w:rFonts w:ascii="Arial" w:cs="Arial" w:eastAsia="Arial" w:hAnsi="Arial"/>
          <w:b/>
          <w:bCs/>
          <w:color w:val="1F3864"/>
          <w:sz w:val="28"/>
          <w:szCs w:val="28"/>
        </w:rPr>
        <w:t xml:space="preserve">A8. Probabilistic Sensitivity Analysis</w:t>
      </w:r>
    </w:p>
    <w:p>
      <w:pPr>
        <w:pStyle w:val="Heading2"/>
        <w:spacing w:before="240" w:after="100"/>
      </w:pPr>
      <w:r>
        <w:rPr>
          <w:rFonts w:ascii="Arial" w:cs="Arial" w:eastAsia="Arial" w:hAnsi="Arial"/>
          <w:b/>
          <w:bCs/>
          <w:color w:val="2E6DA4"/>
          <w:sz w:val="24"/>
          <w:szCs w:val="24"/>
        </w:rPr>
        <w:t xml:space="preserve">A8.1 Distributions</w:t>
      </w:r>
    </w:p>
    <w:p>
      <w:pPr>
        <w:spacing w:before="80" w:after="80"/>
        <w:jc w:val="both"/>
      </w:pPr>
      <w:r>
        <w:rPr>
          <w:rFonts w:ascii="Arial" w:cs="Arial" w:eastAsia="Arial" w:hAnsi="Arial"/>
          <w:b w:val="false"/>
          <w:bCs w:val="false"/>
          <w:i w:val="false"/>
          <w:iCs w:val="false"/>
          <w:color w:val="000000"/>
          <w:sz w:val="20"/>
          <w:szCs w:val="20"/>
        </w:rPr>
        <w:t xml:space="preserve">All parameters with non-zero uncertainty are sampled jointly in each Monte Carlo iteration. The following distributions are used:</w:t>
      </w:r>
    </w:p>
    <w:p>
      <w:pPr>
        <w:pStyle w:val="ListParagraph"/>
        <w:numPr>
          <w:ilvl w:val="0"/>
          <w:numId w:val="2"/>
        </w:numPr>
        <w:spacing w:before="40" w:after="40"/>
      </w:pPr>
      <w:r>
        <w:rPr>
          <w:rFonts w:ascii="Arial" w:cs="Arial" w:eastAsia="Arial" w:hAnsi="Arial"/>
          <w:b/>
          <w:bCs/>
          <w:i w:val="false"/>
          <w:iCs w:val="false"/>
          <w:color w:val="000000"/>
          <w:sz w:val="20"/>
          <w:szCs w:val="20"/>
        </w:rPr>
        <w:t xml:space="preserve">Beta</w:t>
      </w:r>
      <w:r>
        <w:rPr>
          <w:rFonts w:ascii="Arial" w:cs="Arial" w:eastAsia="Arial" w:hAnsi="Arial"/>
          <w:b w:val="false"/>
          <w:bCs w:val="false"/>
          <w:i w:val="false"/>
          <w:iCs w:val="false"/>
          <w:color w:val="000000"/>
          <w:sz w:val="20"/>
          <w:szCs w:val="20"/>
        </w:rPr>
        <w:t xml:space="preserve"> — probabilities and proportions (p_act, p_sf, p_adeq, sens, spec, disability weights, initial Markov state probabilities). Parameterised from reported mean and 95% CI using the method of moments.</w:t>
      </w:r>
    </w:p>
    <w:p>
      <w:pPr>
        <w:pStyle w:val="ListParagraph"/>
        <w:numPr>
          <w:ilvl w:val="0"/>
          <w:numId w:val="2"/>
        </w:numPr>
        <w:spacing w:before="40" w:after="40"/>
      </w:pPr>
      <w:r>
        <w:rPr>
          <w:rFonts w:ascii="Arial" w:cs="Arial" w:eastAsia="Arial" w:hAnsi="Arial"/>
          <w:b/>
          <w:bCs/>
          <w:i w:val="false"/>
          <w:iCs w:val="false"/>
          <w:color w:val="000000"/>
          <w:sz w:val="20"/>
          <w:szCs w:val="20"/>
        </w:rPr>
        <w:t xml:space="preserve">Lognormal</w:t>
      </w:r>
      <w:r>
        <w:rPr>
          <w:rFonts w:ascii="Arial" w:cs="Arial" w:eastAsia="Arial" w:hAnsi="Arial"/>
          <w:b w:val="false"/>
          <w:bCs w:val="false"/>
          <w:i w:val="false"/>
          <w:iCs w:val="false"/>
          <w:color w:val="000000"/>
          <w:sz w:val="20"/>
          <w:szCs w:val="20"/>
        </w:rPr>
        <w:t xml:space="preserve"> — treatment relative risks. Parameterised from log(RR) and (log(upper) − log(lower)) / 3.92 as the log-scale standard deviation.</w:t>
      </w:r>
    </w:p>
    <w:p>
      <w:pPr>
        <w:pStyle w:val="ListParagraph"/>
        <w:numPr>
          <w:ilvl w:val="0"/>
          <w:numId w:val="2"/>
        </w:numPr>
        <w:spacing w:before="40" w:after="40"/>
      </w:pPr>
      <w:r>
        <w:rPr>
          <w:rFonts w:ascii="Arial" w:cs="Arial" w:eastAsia="Arial" w:hAnsi="Arial"/>
          <w:b/>
          <w:bCs/>
          <w:i w:val="false"/>
          <w:iCs w:val="false"/>
          <w:color w:val="000000"/>
          <w:sz w:val="20"/>
          <w:szCs w:val="20"/>
        </w:rPr>
        <w:t xml:space="preserve">Gamma</w:t>
      </w:r>
      <w:r>
        <w:rPr>
          <w:rFonts w:ascii="Arial" w:cs="Arial" w:eastAsia="Arial" w:hAnsi="Arial"/>
          <w:b w:val="false"/>
          <w:bCs w:val="false"/>
          <w:i w:val="false"/>
          <w:iCs w:val="false"/>
          <w:color w:val="000000"/>
          <w:sz w:val="20"/>
          <w:szCs w:val="20"/>
        </w:rPr>
        <w:t xml:space="preserve"> — costs. Parameterised using shape k = (μ/σ)² and scale θ = σ²/μ. Note: scipy.stats.gamma requires scale as a keyword argument (scale=θ); a pre-existing v1 bug used positional arguments, causing cost draws approximately 20× too low. This is corrected in v2.</w:t>
      </w:r>
    </w:p>
    <w:p>
      <w:pPr>
        <w:pStyle w:val="Heading2"/>
        <w:spacing w:before="240" w:after="100"/>
      </w:pPr>
      <w:r>
        <w:rPr>
          <w:rFonts w:ascii="Arial" w:cs="Arial" w:eastAsia="Arial" w:hAnsi="Arial"/>
          <w:b/>
          <w:bCs/>
          <w:color w:val="2E6DA4"/>
          <w:sz w:val="24"/>
          <w:szCs w:val="24"/>
        </w:rPr>
        <w:t xml:space="preserve">A8.2 Number of Iterations and Seed</w:t>
      </w:r>
    </w:p>
    <w:p>
      <w:pPr>
        <w:spacing w:before="80" w:after="80"/>
        <w:jc w:val="both"/>
      </w:pPr>
      <w:r>
        <w:rPr>
          <w:rFonts w:ascii="Arial" w:cs="Arial" w:eastAsia="Arial" w:hAnsi="Arial"/>
          <w:b w:val="false"/>
          <w:bCs w:val="false"/>
          <w:i w:val="false"/>
          <w:iCs w:val="false"/>
          <w:color w:val="000000"/>
          <w:sz w:val="20"/>
          <w:szCs w:val="20"/>
        </w:rPr>
        <w:t xml:space="preserve">The base case uses 10,000 Monte Carlo iterations with seed 2025. Results are stable at 5,000 iterations; users may increase to 50,000 for publication-quality figures. The simulation is vectorised over all draws using NumPy matrix operations for efficiency.</w:t>
      </w:r>
    </w:p>
    <w:p>
      <w:pPr>
        <w:pStyle w:val="Heading2"/>
        <w:spacing w:before="240" w:after="100"/>
      </w:pPr>
      <w:r>
        <w:rPr>
          <w:rFonts w:ascii="Arial" w:cs="Arial" w:eastAsia="Arial" w:hAnsi="Arial"/>
          <w:b/>
          <w:bCs/>
          <w:color w:val="2E6DA4"/>
          <w:sz w:val="24"/>
          <w:szCs w:val="24"/>
        </w:rPr>
        <w:t xml:space="preserve">A8.3 Cost-Effectiveness Plane and CEAC</w:t>
      </w:r>
    </w:p>
    <w:p>
      <w:pPr>
        <w:spacing w:before="80" w:after="80"/>
        <w:jc w:val="both"/>
      </w:pPr>
      <w:r>
        <w:rPr>
          <w:rFonts w:ascii="Arial" w:cs="Arial" w:eastAsia="Arial" w:hAnsi="Arial"/>
          <w:b w:val="false"/>
          <w:bCs w:val="false"/>
          <w:i w:val="false"/>
          <w:iCs w:val="false"/>
          <w:color w:val="000000"/>
          <w:sz w:val="20"/>
          <w:szCs w:val="20"/>
        </w:rPr>
        <w:t xml:space="preserve">The incremental cost-effectiveness plane plots ΔCost (y-axis, health-sector perspective) against ΔDALYs averted (x-axis) for each PSA draw. A 95% confidence ellipse is plotted using the eigendecomposition of the 2×2 covariance matrix of the scatter. The cost-effectiveness acceptability curve (CEAC) is computed using the net monetary benefit (NMB) framework:</w:t>
      </w:r>
    </w:p>
    <w:p>
      <w:pPr>
        <w:shd w:fill="F5F5F5" w:val="clear"/>
        <w:spacing w:before="120" w:after="120"/>
        <w:jc w:val="center"/>
      </w:pPr>
      <w:r>
        <w:rPr>
          <w:rFonts w:ascii="Courier New" w:cs="Courier New" w:eastAsia="Courier New" w:hAnsi="Courier New"/>
          <w:color w:val="1F3864"/>
          <w:sz w:val="20"/>
          <w:szCs w:val="20"/>
        </w:rPr>
        <w:t xml:space="preserve">P(cost-effective | λ) = P(λ × ΔDALYs − ΔCost &gt; 0)</w:t>
      </w:r>
    </w:p>
    <w:p>
      <w:pPr>
        <w:spacing w:before="80" w:after="80"/>
        <w:jc w:val="both"/>
      </w:pPr>
      <w:r>
        <w:rPr>
          <w:rFonts w:ascii="Arial" w:cs="Arial" w:eastAsia="Arial" w:hAnsi="Arial"/>
          <w:b w:val="false"/>
          <w:bCs w:val="false"/>
          <w:i w:val="false"/>
          <w:iCs w:val="false"/>
          <w:color w:val="000000"/>
          <w:sz w:val="20"/>
          <w:szCs w:val="20"/>
        </w:rPr>
        <w:t xml:space="preserve">Where </w:t>
      </w:r>
      <w:r>
        <w:rPr>
          <w:rFonts w:ascii="Arial" w:cs="Arial" w:eastAsia="Arial" w:hAnsi="Arial"/>
          <w:b w:val="false"/>
          <w:bCs w:val="false"/>
          <w:i/>
          <w:iCs/>
          <w:color w:val="000000"/>
          <w:sz w:val="20"/>
          <w:szCs w:val="20"/>
        </w:rPr>
        <w:t xml:space="preserve">λ</w:t>
      </w:r>
      <w:r>
        <w:rPr>
          <w:rFonts w:ascii="Arial" w:cs="Arial" w:eastAsia="Arial" w:hAnsi="Arial"/>
          <w:b w:val="false"/>
          <w:bCs w:val="false"/>
          <w:i w:val="false"/>
          <w:iCs w:val="false"/>
          <w:color w:val="000000"/>
          <w:sz w:val="20"/>
          <w:szCs w:val="20"/>
        </w:rPr>
        <w:t xml:space="preserve"> is the willingness-to-pay (WTP) threshold per DALY averted. Thresholds of $50,000, $100,000, and $150,000 per DALY are reported; $100,000 is used as the base-case WTP threshold for the NMB surface and break-even analyses.</w:t>
      </w:r>
    </w:p>
    <w:p>
      <w:pPr>
        <w:pStyle w:val="Heading2"/>
        <w:spacing w:before="240" w:after="100"/>
      </w:pPr>
      <w:r>
        <w:rPr>
          <w:rFonts w:ascii="Arial" w:cs="Arial" w:eastAsia="Arial" w:hAnsi="Arial"/>
          <w:b/>
          <w:bCs/>
          <w:color w:val="2E6DA4"/>
          <w:sz w:val="24"/>
          <w:szCs w:val="24"/>
        </w:rPr>
        <w:t xml:space="preserve">A8.4 Sign Convention</w:t>
      </w:r>
    </w:p>
    <w:p>
      <w:pPr>
        <w:spacing w:before="80" w:after="80"/>
        <w:jc w:val="both"/>
      </w:pPr>
      <w:r>
        <w:rPr>
          <w:rFonts w:ascii="Arial" w:cs="Arial" w:eastAsia="Arial" w:hAnsi="Arial"/>
          <w:b w:val="false"/>
          <w:bCs w:val="false"/>
          <w:i/>
          <w:iCs/>
          <w:color w:val="000000"/>
          <w:sz w:val="20"/>
          <w:szCs w:val="20"/>
        </w:rPr>
        <w:t xml:space="preserve">ΔCost = C_intervention − C_comparator</w:t>
      </w:r>
      <w:r>
        <w:rPr>
          <w:rFonts w:ascii="Arial" w:cs="Arial" w:eastAsia="Arial" w:hAnsi="Arial"/>
          <w:b w:val="false"/>
          <w:bCs w:val="false"/>
          <w:i w:val="false"/>
          <w:iCs w:val="false"/>
          <w:color w:val="000000"/>
          <w:sz w:val="20"/>
          <w:szCs w:val="20"/>
        </w:rPr>
        <w:t xml:space="preserve">. A negative ΔCost indicates the intervention saves money compared to usual care. A negative ICER (negative ΔCost with positive ΔDALYs) indicates the intervention is dominant: it both saves money and prevents disease burden.</w:t>
      </w:r>
    </w:p>
    <w:p>
      <w:pPr>
        <w:spacing w:before="0" w:after="0"/>
      </w:pPr>
      <w:r>
        <w:rPr>
          <w:rFonts w:ascii="Arial" w:cs="Arial" w:eastAsia="Arial" w:hAnsi="Arial"/>
          <w:b w:val="false"/>
          <w:bCs w:val="false"/>
          <w:i w:val="false"/>
          <w:iCs w:val="false"/>
          <w:color w:val="000000"/>
          <w:sz w:val="20"/>
          <w:szCs w:val="20"/>
        </w:rPr>
        <w:t xml:space="preserve"/>
      </w:r>
    </w:p>
    <w:p>
      <w:pPr>
        <w:pStyle w:val="Heading1"/>
        <w:pBdr>
          <w:bottom w:val="single" w:color="2E6DA4" w:sz="6" w:space="4"/>
        </w:pBdr>
        <w:spacing w:before="360" w:after="160"/>
      </w:pPr>
      <w:r>
        <w:rPr>
          <w:rFonts w:ascii="Arial" w:cs="Arial" w:eastAsia="Arial" w:hAnsi="Arial"/>
          <w:b/>
          <w:bCs/>
          <w:color w:val="1F3864"/>
          <w:sz w:val="28"/>
          <w:szCs w:val="28"/>
        </w:rPr>
        <w:t xml:space="preserve">A9. Sensitivity Analyses</w:t>
      </w:r>
    </w:p>
    <w:p>
      <w:pPr>
        <w:pStyle w:val="Heading2"/>
        <w:spacing w:before="240" w:after="100"/>
      </w:pPr>
      <w:r>
        <w:rPr>
          <w:rFonts w:ascii="Arial" w:cs="Arial" w:eastAsia="Arial" w:hAnsi="Arial"/>
          <w:b/>
          <w:bCs/>
          <w:color w:val="2E6DA4"/>
          <w:sz w:val="24"/>
          <w:szCs w:val="24"/>
        </w:rPr>
        <w:t xml:space="preserve">A9.1 One-Way Sensitivity Analysis (Tornado)</w:t>
      </w:r>
    </w:p>
    <w:p>
      <w:pPr>
        <w:spacing w:before="80" w:after="80"/>
        <w:jc w:val="both"/>
      </w:pPr>
      <w:r>
        <w:rPr>
          <w:rFonts w:ascii="Arial" w:cs="Arial" w:eastAsia="Arial" w:hAnsi="Arial"/>
          <w:b w:val="false"/>
          <w:bCs w:val="false"/>
          <w:i w:val="false"/>
          <w:iCs w:val="false"/>
          <w:color w:val="000000"/>
          <w:sz w:val="20"/>
          <w:szCs w:val="20"/>
        </w:rPr>
        <w:t xml:space="preserve">Parameters are varied individually across plausible ranges while all others are held at base-case values. Results are presented as a tornado diagram of ICER (health-sector perspective) ordered by the absolute impact on the ICER.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2360"/>
      </w:tblGrid>
      <w:tr>
        <w:tc>
          <w:tcPr>
            <w:tcW w:type="dxa" w:w="3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Parameter</w:t>
            </w:r>
          </w:p>
        </w:tc>
        <w:tc>
          <w:tcPr>
            <w:tcW w:type="dxa" w:w="1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Low value</w:t>
            </w:r>
          </w:p>
        </w:tc>
        <w:tc>
          <w:tcPr>
            <w:tcW w:type="dxa" w:w="1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High value</w:t>
            </w:r>
          </w:p>
        </w:tc>
        <w:tc>
          <w:tcPr>
            <w:tcW w:type="dxa" w:w="23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Rationale</w:t>
            </w:r>
          </w:p>
        </w:tc>
      </w:tr>
      <w:tr>
        <w:tc>
          <w:tcPr>
            <w:tcW w:type="dxa" w:w="3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Active syphilis prevalence</w:t>
            </w:r>
          </w:p>
        </w:tc>
        <w:tc>
          <w:tcPr>
            <w:tcW w:type="dxa" w:w="19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0.5%</w:t>
            </w:r>
          </w:p>
        </w:tc>
        <w:tc>
          <w:tcPr>
            <w:tcW w:type="dxa" w:w="19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3.0%</w:t>
            </w:r>
          </w:p>
        </w:tc>
        <w:tc>
          <w:tcPr>
            <w:tcW w:type="dxa" w:w="23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Range across US urban EDs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P(adequate treatment)</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50%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95%</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Captures low vs. best-case ED operations</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P(pregnancy identified)</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65%</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98%</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Operational uptake uncertainty</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Serofast prevalence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0.2%</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2.5%</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Varies by population</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Discount rate</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0%</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center"/>
            </w:pPr>
            <w:r>
              <w:rPr>
                <w:rFonts w:ascii="Arial" w:cs="Arial" w:eastAsia="Arial" w:hAnsi="Arial"/>
                <w:b w:val="false"/>
                <w:bCs w:val="false"/>
                <w:i w:val="false"/>
                <w:iCs w:val="false"/>
                <w:color w:val="000000"/>
                <w:sz w:val="20"/>
                <w:szCs w:val="20"/>
              </w:rPr>
              <w:t xml:space="preserve">5%</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USPSTF range for US analyses</w:t>
            </w:r>
          </w:p>
        </w:tc>
      </w:tr>
    </w:tbl>
    <w:p>
      <w:pPr>
        <w:spacing w:before="0" w:after="0"/>
      </w:pPr>
      <w:r>
        <w:rPr>
          <w:rFonts w:ascii="Arial" w:cs="Arial" w:eastAsia="Arial" w:hAnsi="Arial"/>
          <w:b w:val="false"/>
          <w:bCs w:val="false"/>
          <w:i w:val="false"/>
          <w:iCs w:val="false"/>
          <w:color w:val="000000"/>
          <w:sz w:val="20"/>
          <w:szCs w:val="20"/>
        </w:rPr>
        <w:t xml:space="preserve"/>
      </w:r>
    </w:p>
    <w:p>
      <w:pPr>
        <w:pStyle w:val="Heading2"/>
        <w:spacing w:before="240" w:after="100"/>
      </w:pPr>
      <w:r>
        <w:rPr>
          <w:rFonts w:ascii="Arial" w:cs="Arial" w:eastAsia="Arial" w:hAnsi="Arial"/>
          <w:b/>
          <w:bCs/>
          <w:color w:val="2E6DA4"/>
          <w:sz w:val="24"/>
          <w:szCs w:val="24"/>
        </w:rPr>
        <w:t xml:space="preserve">A9.2 Threshold Analysis</w:t>
      </w:r>
    </w:p>
    <w:p>
      <w:pPr>
        <w:spacing w:before="80" w:after="80"/>
        <w:jc w:val="both"/>
      </w:pPr>
      <w:r>
        <w:rPr>
          <w:rFonts w:ascii="Arial" w:cs="Arial" w:eastAsia="Arial" w:hAnsi="Arial"/>
          <w:b w:val="false"/>
          <w:bCs w:val="false"/>
          <w:i w:val="false"/>
          <w:iCs w:val="false"/>
          <w:color w:val="000000"/>
          <w:sz w:val="20"/>
          <w:szCs w:val="20"/>
        </w:rPr>
        <w:t xml:space="preserve">Break-even thresholds are reported for two decision-relevant parameters. These are computed deterministically using distribution means on a fine grid:</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Prevalence threshold: the minimum active syphilis prevalence at which the ICER falls below $100,000/DALY, at the base-case treatment rate.</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Treatment-rate threshold: the minimum P(adequate treatment) at which the ICER falls below $100,000/DALY, at the base-case prevalence.</w:t>
      </w:r>
    </w:p>
    <w:p>
      <w:pPr>
        <w:spacing w:before="80" w:after="80"/>
        <w:jc w:val="both"/>
      </w:pPr>
      <w:r>
        <w:rPr>
          <w:rFonts w:ascii="Arial" w:cs="Arial" w:eastAsia="Arial" w:hAnsi="Arial"/>
          <w:b w:val="false"/>
          <w:bCs w:val="false"/>
          <w:i w:val="false"/>
          <w:iCs w:val="false"/>
          <w:color w:val="000000"/>
          <w:sz w:val="20"/>
          <w:szCs w:val="20"/>
        </w:rPr>
        <w:t xml:space="preserve">Results are visualised as an NMB surface (contour plot) over the joint prevalence-by-treatment-rate space, with the zero-NMB contour indicating the break-even frontier.</w:t>
      </w:r>
    </w:p>
    <w:p>
      <w:pPr>
        <w:spacing w:before="0" w:after="0"/>
      </w:pPr>
      <w:r>
        <w:rPr>
          <w:rFonts w:ascii="Arial" w:cs="Arial" w:eastAsia="Arial" w:hAnsi="Arial"/>
          <w:b w:val="false"/>
          <w:bCs w:val="false"/>
          <w:i w:val="false"/>
          <w:iCs w:val="false"/>
          <w:color w:val="000000"/>
          <w:sz w:val="20"/>
          <w:szCs w:val="20"/>
        </w:rPr>
        <w:t xml:space="preserve"/>
      </w:r>
    </w:p>
    <w:p>
      <w:pPr>
        <w:pStyle w:val="Heading1"/>
        <w:pBdr>
          <w:bottom w:val="single" w:color="2E6DA4" w:sz="6" w:space="4"/>
        </w:pBdr>
        <w:spacing w:before="360" w:after="160"/>
      </w:pPr>
      <w:r>
        <w:rPr>
          <w:rFonts w:ascii="Arial" w:cs="Arial" w:eastAsia="Arial" w:hAnsi="Arial"/>
          <w:b/>
          <w:bCs/>
          <w:color w:val="1F3864"/>
          <w:sz w:val="28"/>
          <w:szCs w:val="28"/>
        </w:rPr>
        <w:t xml:space="preserve">A10. Model Limitations</w:t>
      </w:r>
    </w:p>
    <w:p>
      <w:pPr>
        <w:spacing w:before="80" w:after="80"/>
        <w:jc w:val="both"/>
      </w:pPr>
      <w:r>
        <w:rPr>
          <w:rFonts w:ascii="Arial" w:cs="Arial" w:eastAsia="Arial" w:hAnsi="Arial"/>
          <w:b w:val="false"/>
          <w:bCs w:val="false"/>
          <w:i w:val="false"/>
          <w:iCs w:val="false"/>
          <w:color w:val="000000"/>
          <w:sz w:val="20"/>
          <w:szCs w:val="20"/>
        </w:rPr>
        <w:t xml:space="preserve">The following limitations should be considered when interpreting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Limitation</w:t>
            </w:r>
          </w:p>
        </w:tc>
        <w:tc>
          <w:tcPr>
            <w:tcW w:type="dxa" w:w="61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Description and direction of bias</w:t>
            </w:r>
          </w:p>
        </w:tc>
      </w:tr>
      <w:tr>
        <w:tc>
          <w:tcPr>
            <w:tcW w:type="dxa" w:w="3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Maternal morbidity omitted</w:t>
            </w:r>
          </w:p>
        </w:tc>
        <w:tc>
          <w:tcPr>
            <w:tcW w:type="dxa" w:w="61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Cardiovascular and neurological sequelae of untreated maternal syphilis are not modeled. This underestimates the benefit of screening and biases the ICER upward (against the intervention).</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Partner reinfection not modeled</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Reinfection during pregnancy following successful treatment is not modeled. This underestimates residual CS risk in the intervention arm and may slightly overstate the intervention benefit.</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Treatment timing approximated</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The effect of gestational age on congenital transmission risk is captured through strata-specific treatment completion probabilities rather than a continuous residual-risk function. The 37-week stratum conflates 'treated too late for effect' with 'failed to complete regimen'; this may overstate benefit in late-presenting cases.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Markov progression rate sparse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The mild-to-severe sequelae progression rate (q = 0.002/year) is based on limited longitudinal follow-up data. Results are insensitive to this parameter in sensitivity analysis because the progression stock is small relative to the initial severe state.</w:t>
            </w:r>
          </w:p>
        </w:tc>
      </w:tr>
      <w:tr>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No microsimulation of care pathways</w:t>
            </w:r>
          </w:p>
        </w:tc>
        <w:tc>
          <w:tcPr>
            <w:tcW w:type="dxa" w:w="2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The model does not simulate individual prenatal care-seeking behavior after the ED visit. Linkage to care and treatment completion are captured as aggregate probabilities rather than as a simulated pathway. Individual-level heterogeneity is partially captured via PSA.</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QALYs vs DALYs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80" w:after="80"/>
              <w:jc w:val="both"/>
            </w:pPr>
            <w:r>
              <w:rPr>
                <w:rFonts w:ascii="Arial" w:cs="Arial" w:eastAsia="Arial" w:hAnsi="Arial"/>
                <w:b w:val="false"/>
                <w:bCs w:val="false"/>
                <w:i w:val="false"/>
                <w:iCs w:val="false"/>
                <w:color w:val="000000"/>
                <w:sz w:val="20"/>
                <w:szCs w:val="20"/>
              </w:rPr>
              <w:t xml:space="preserve">The model uses DALY methodology (GBD disability weights, YLL + YLD) rather than utility-mapped QALYs. US CEA guidelines typically report ICERs in $/QALY; WTP thresholds used here are calibrated to $/DALY, which produces directionally comparable but not formally equivalent results. Analysts should note this distinction.</w:t>
            </w:r>
          </w:p>
        </w:tc>
      </w:tr>
    </w:tbl>
    <w:p>
      <w:pPr>
        <w:spacing w:before="0" w:after="0"/>
      </w:pPr>
      <w:r>
        <w:rPr>
          <w:rFonts w:ascii="Arial" w:cs="Arial" w:eastAsia="Arial" w:hAnsi="Arial"/>
          <w:b w:val="false"/>
          <w:bCs w:val="false"/>
          <w:i w:val="false"/>
          <w:iCs w:val="false"/>
          <w:color w:val="000000"/>
          <w:sz w:val="20"/>
          <w:szCs w:val="20"/>
        </w:rPr>
        <w:t xml:space="preserve"/>
      </w:r>
    </w:p>
    <w:p>
      <w:pPr>
        <w:pStyle w:val="Heading1"/>
        <w:pBdr>
          <w:bottom w:val="single" w:color="2E6DA4" w:sz="6" w:space="4"/>
        </w:pBdr>
        <w:spacing w:before="360" w:after="160"/>
      </w:pPr>
      <w:r>
        <w:rPr>
          <w:rFonts w:ascii="Arial" w:cs="Arial" w:eastAsia="Arial" w:hAnsi="Arial"/>
          <w:b/>
          <w:bCs/>
          <w:color w:val="1F3864"/>
          <w:sz w:val="28"/>
          <w:szCs w:val="28"/>
        </w:rPr>
        <w:t xml:space="preserve">A11. Software and Reproducibility</w:t>
      </w:r>
    </w:p>
    <w:p>
      <w:pPr>
        <w:spacing w:before="80" w:after="80"/>
        <w:jc w:val="both"/>
      </w:pPr>
      <w:r>
        <w:rPr>
          <w:rFonts w:ascii="Arial" w:cs="Arial" w:eastAsia="Arial" w:hAnsi="Arial"/>
          <w:b w:val="false"/>
          <w:bCs w:val="false"/>
          <w:i w:val="false"/>
          <w:iCs w:val="false"/>
          <w:color w:val="000000"/>
          <w:sz w:val="20"/>
          <w:szCs w:val="20"/>
        </w:rPr>
        <w:t xml:space="preserve">The model is implemented in Python 3.12 as a Streamlit application (syphilis_ed_cea_v2.py). All analyses are reproducible from the provided source code with the random seed set to 2025. The following packages are required:</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Python ≥ 3.10</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NumPy ≥ 1.26</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SciPy ≥ 1.12</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Pandas ≥ 2.2</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Matplotlib ≥ 3.8</w:t>
      </w:r>
    </w:p>
    <w:p>
      <w:pPr>
        <w:pStyle w:val="ListParagraph"/>
        <w:numPr>
          <w:ilvl w:val="0"/>
          <w:numId w:val="2"/>
        </w:numPr>
        <w:spacing w:before="40" w:after="40"/>
      </w:pPr>
      <w:r>
        <w:rPr>
          <w:rFonts w:ascii="Arial" w:cs="Arial" w:eastAsia="Arial" w:hAnsi="Arial"/>
          <w:b w:val="false"/>
          <w:bCs w:val="false"/>
          <w:i w:val="false"/>
          <w:iCs w:val="false"/>
          <w:color w:val="000000"/>
          <w:sz w:val="20"/>
          <w:szCs w:val="20"/>
        </w:rPr>
        <w:t xml:space="preserve">Streamlit ≥ 1.35</w:t>
      </w:r>
    </w:p>
    <w:p>
      <w:pPr>
        <w:spacing w:before="80" w:after="80"/>
        <w:jc w:val="both"/>
      </w:pPr>
      <w:r>
        <w:rPr>
          <w:rFonts w:ascii="Arial" w:cs="Arial" w:eastAsia="Arial" w:hAnsi="Arial"/>
          <w:b w:val="false"/>
          <w:bCs w:val="false"/>
          <w:i w:val="false"/>
          <w:iCs w:val="false"/>
          <w:color w:val="000000"/>
          <w:sz w:val="20"/>
          <w:szCs w:val="20"/>
        </w:rPr>
        <w:t xml:space="preserve">The PSA engine is fully vectorised: all 10,000 Monte Carlo draws are computed simultaneously using NumPy matrix operations, including the infant Markov module which runs a (N × 4) state matrix forward through T time cycles. The Streamlit interface caches PSA results using @st.cache_data keyed on all input parameters; changing any parameter triggers a full re-run.</w:t>
      </w:r>
    </w:p>
    <w:p>
      <w:pPr>
        <w:spacing w:before="0" w:after="0"/>
      </w:pPr>
      <w:r>
        <w:rPr>
          <w:rFonts w:ascii="Arial" w:cs="Arial" w:eastAsia="Arial" w:hAnsi="Arial"/>
          <w:b w:val="false"/>
          <w:bCs w:val="false"/>
          <w:i w:val="false"/>
          <w:iCs w:val="false"/>
          <w:color w:val="000000"/>
          <w:sz w:val="20"/>
          <w:szCs w:val="20"/>
        </w:rPr>
        <w:t xml:space="preserve"/>
      </w:r>
    </w:p>
    <w:p>
      <w:pPr>
        <w:pStyle w:val="Heading1"/>
        <w:pBdr>
          <w:bottom w:val="single" w:color="2E6DA4" w:sz="6" w:space="4"/>
        </w:pBdr>
        <w:spacing w:before="360" w:after="160"/>
      </w:pPr>
      <w:r>
        <w:rPr>
          <w:rFonts w:ascii="Arial" w:cs="Arial" w:eastAsia="Arial" w:hAnsi="Arial"/>
          <w:b/>
          <w:bCs/>
          <w:color w:val="1F3864"/>
          <w:sz w:val="28"/>
          <w:szCs w:val="28"/>
        </w:rPr>
        <w:t xml:space="preserve">References</w:t>
      </w:r>
    </w:p>
    <w:p>
      <w:pPr>
        <w:spacing w:before="80" w:after="80"/>
        <w:jc w:val="both"/>
      </w:pPr>
      <w:r>
        <w:rPr>
          <w:rFonts w:ascii="Arial" w:cs="Arial" w:eastAsia="Arial" w:hAnsi="Arial"/>
          <w:b w:val="false"/>
          <w:bCs w:val="false"/>
          <w:i w:val="false"/>
          <w:iCs w:val="false"/>
          <w:color w:val="000000"/>
          <w:sz w:val="20"/>
          <w:szCs w:val="20"/>
        </w:rPr>
        <w:t xml:space="preserve">Chesson HW, Peterman TA. Estimated Lifetime Medical Cost of Congenital Syphilis in the United States, 2018. Sex Transm Dis. 2023;50(3):139–143.</w:t>
      </w:r>
    </w:p>
    <w:p>
      <w:pPr>
        <w:spacing w:before="80" w:after="80"/>
        <w:jc w:val="both"/>
      </w:pPr>
      <w:r>
        <w:rPr>
          <w:rFonts w:ascii="Arial" w:cs="Arial" w:eastAsia="Arial" w:hAnsi="Arial"/>
          <w:b w:val="false"/>
          <w:bCs w:val="false"/>
          <w:i w:val="false"/>
          <w:iCs w:val="false"/>
          <w:color w:val="000000"/>
          <w:sz w:val="20"/>
          <w:szCs w:val="20"/>
        </w:rPr>
        <w:t xml:space="preserve">Sheffield JS, Sanchez PJ, Morris G, et al. Congenital syphilis after maternal treatment for syphilis during pregnancy. Am J Obstet Gynecol. 2002;186(3):569–573.</w:t>
      </w:r>
    </w:p>
    <w:p>
      <w:pPr>
        <w:spacing w:before="80" w:after="80"/>
        <w:jc w:val="both"/>
      </w:pPr>
      <w:r>
        <w:rPr>
          <w:rFonts w:ascii="Arial" w:cs="Arial" w:eastAsia="Arial" w:hAnsi="Arial"/>
          <w:b w:val="false"/>
          <w:bCs w:val="false"/>
          <w:i w:val="false"/>
          <w:iCs w:val="false"/>
          <w:color w:val="000000"/>
          <w:sz w:val="20"/>
          <w:szCs w:val="20"/>
        </w:rPr>
        <w:t xml:space="preserve">Centers for Disease Control and Prevention. Sexually Transmitted Infections Surveillance, 2023. Atlanta: US Department of Health and Human Services; 2024.</w:t>
      </w:r>
    </w:p>
    <w:p>
      <w:pPr>
        <w:spacing w:before="80" w:after="80"/>
        <w:jc w:val="both"/>
      </w:pPr>
      <w:r>
        <w:rPr>
          <w:rFonts w:ascii="Arial" w:cs="Arial" w:eastAsia="Arial" w:hAnsi="Arial"/>
          <w:b w:val="false"/>
          <w:bCs w:val="false"/>
          <w:i w:val="false"/>
          <w:iCs w:val="false"/>
          <w:color w:val="000000"/>
          <w:sz w:val="20"/>
          <w:szCs w:val="20"/>
        </w:rPr>
        <w:t xml:space="preserve">Walker DG, Walker GJ. Forgotten but not gone: the continuing scourge of congenital syphilis. Lancet Infect Dis. 2002;2(7):432–436.</w:t>
      </w:r>
    </w:p>
    <w:p>
      <w:pPr>
        <w:spacing w:before="80" w:after="80"/>
        <w:jc w:val="both"/>
      </w:pPr>
      <w:r>
        <w:rPr>
          <w:rFonts w:ascii="Arial" w:cs="Arial" w:eastAsia="Arial" w:hAnsi="Arial"/>
          <w:b w:val="false"/>
          <w:bCs w:val="false"/>
          <w:i w:val="false"/>
          <w:iCs w:val="false"/>
          <w:color w:val="000000"/>
          <w:sz w:val="20"/>
          <w:szCs w:val="20"/>
        </w:rPr>
        <w:t xml:space="preserve">Wijesooriya NS, Rochat RW, Kamb ML, et al. Global burden of maternal and congenital syphilis in 2008 and 2012: a health systems strengthening solution. Bull World Health Organ. 2016;94(12):884–892D.</w:t>
      </w:r>
    </w:p>
    <w:p>
      <w:pPr>
        <w:spacing w:before="80" w:after="80"/>
        <w:jc w:val="both"/>
      </w:pPr>
      <w:r>
        <w:rPr>
          <w:rFonts w:ascii="Arial" w:cs="Arial" w:eastAsia="Arial" w:hAnsi="Arial"/>
          <w:b w:val="false"/>
          <w:bCs w:val="false"/>
          <w:i w:val="false"/>
          <w:iCs w:val="false"/>
          <w:color w:val="000000"/>
          <w:sz w:val="20"/>
          <w:szCs w:val="20"/>
        </w:rPr>
        <w:t xml:space="preserve">Snowden JM, Darney BG, Bovbjerg ML, et al. Economic burden of stillbirth and delivery complications on the health care system in the United States. Birth. 2021;48(4):489–499.</w:t>
      </w:r>
    </w:p>
    <w:p>
      <w:pPr>
        <w:spacing w:before="80" w:after="80"/>
        <w:jc w:val="both"/>
      </w:pPr>
      <w:r>
        <w:rPr>
          <w:rFonts w:ascii="Arial" w:cs="Arial" w:eastAsia="Arial" w:hAnsi="Arial"/>
          <w:b w:val="false"/>
          <w:bCs w:val="false"/>
          <w:i w:val="false"/>
          <w:iCs w:val="false"/>
          <w:color w:val="000000"/>
          <w:sz w:val="20"/>
          <w:szCs w:val="20"/>
        </w:rPr>
        <w:t xml:space="preserve">Petersen EE, Davis NL, Goodman D, et al. Vital signs: pregnancy-related deaths, United States, 2011–2015, and strategies for prevention. MMWR Morb Mortal Wkly Rep. 2019;68(18):423–429.</w:t>
      </w:r>
    </w:p>
    <w:p>
      <w:pPr>
        <w:spacing w:before="80" w:after="80"/>
        <w:jc w:val="both"/>
      </w:pPr>
      <w:r>
        <w:rPr>
          <w:rFonts w:ascii="Arial" w:cs="Arial" w:eastAsia="Arial" w:hAnsi="Arial"/>
          <w:b w:val="false"/>
          <w:bCs w:val="false"/>
          <w:i w:val="false"/>
          <w:iCs w:val="false"/>
          <w:color w:val="000000"/>
          <w:sz w:val="20"/>
          <w:szCs w:val="20"/>
        </w:rPr>
        <w:t xml:space="preserve">Global Burden of Disease Collaborative Network. Global Burden of Disease Study 2019 (GBD 2019) Disability Weights. Seattle: Institute for Health Metrics and Evaluation; 2020.</w:t>
      </w:r>
    </w:p>
    <w:p>
      <w:pPr>
        <w:spacing w:before="80" w:after="80"/>
        <w:jc w:val="both"/>
      </w:pPr>
      <w:r>
        <w:rPr>
          <w:rFonts w:ascii="Arial" w:cs="Arial" w:eastAsia="Arial" w:hAnsi="Arial"/>
          <w:b w:val="false"/>
          <w:bCs w:val="false"/>
          <w:i w:val="false"/>
          <w:iCs w:val="false"/>
          <w:color w:val="000000"/>
          <w:sz w:val="20"/>
          <w:szCs w:val="20"/>
        </w:rPr>
        <w:t xml:space="preserve">US Department of Health and Human Services, Office of the Assistant Secretary for Planning and Evaluation. Revised Departmental Guidance on Valuation of a Statistical Life, 2023 Update. Washington DC: DHHS; 2023.</w:t>
      </w:r>
    </w:p>
    <w:p>
      <w:pPr>
        <w:spacing w:before="80" w:after="80"/>
        <w:jc w:val="both"/>
      </w:pPr>
      <w:r>
        <w:rPr>
          <w:rFonts w:ascii="Arial" w:cs="Arial" w:eastAsia="Arial" w:hAnsi="Arial"/>
          <w:b w:val="false"/>
          <w:bCs w:val="false"/>
          <w:i w:val="false"/>
          <w:iCs w:val="false"/>
          <w:color w:val="000000"/>
          <w:sz w:val="20"/>
          <w:szCs w:val="20"/>
        </w:rPr>
        <w:t xml:space="preserve">US Bureau of Labor Statistics. Consumer Price Index, Medical Care Services, All Urban Consumers. Washington DC: BLS; 2025.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tabs>
        <w:tab w:val="right" w:pos="9026"/>
      </w:tabs>
      <w:spacing w:before="80" w:after="0"/>
    </w:pPr>
    <w:r>
      <w:rPr>
        <w:rFonts w:ascii="Arial" w:cs="Arial" w:eastAsia="Arial" w:hAnsi="Arial"/>
        <w:color w:val="999999"/>
        <w:sz w:val="16"/>
        <w:szCs w:val="16"/>
      </w:rPr>
      <w:t xml:space="preserve">Confidential — For peer review</w:t>
    </w:r>
    <w:r>
      <w:rPr>
        <w:rFonts w:ascii="Arial" w:cs="Arial" w:eastAsia="Arial" w:hAnsi="Arial"/>
        <w:sz w:val="16"/>
        <w:szCs w:val="16"/>
      </w:rPr>
      <w:t xml:space="preserve">	</w:t>
    </w:r>
    <w:r>
      <w:rPr>
        <w:rFonts w:ascii="Arial" w:cs="Arial" w:eastAsia="Arial" w:hAnsi="Arial"/>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tabs>
        <w:tab w:val="right" w:pos="9026"/>
      </w:tabs>
      <w:spacing w:before="0" w:after="80"/>
    </w:pPr>
    <w:r>
      <w:rPr>
        <w:rFonts w:ascii="Arial" w:cs="Arial" w:eastAsia="Arial" w:hAnsi="Arial"/>
        <w:color w:val="666666"/>
        <w:sz w:val="16"/>
        <w:szCs w:val="16"/>
      </w:rPr>
      <w:t xml:space="preserve">Technical Appendix — ED Syphilis Screening CEA</w:t>
    </w:r>
    <w:r>
      <w:rPr>
        <w:rFonts w:ascii="Arial" w:cs="Arial" w:eastAsia="Arial" w:hAnsi="Arial"/>
        <w:sz w:val="16"/>
        <w:szCs w:val="16"/>
      </w:rPr>
      <w:t xml:space="preserve">	</w:t>
    </w:r>
    <w:r>
      <w:rPr>
        <w:rFonts w:ascii="Arial" w:cs="Arial" w:eastAsia="Arial" w:hAnsi="Arial"/>
        <w:color w:val="666666"/>
        <w:sz w:val="16"/>
        <w:szCs w:val="16"/>
      </w:rPr>
      <w:t xml:space="preserve">v2.0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720" w:hanging="360"/>
      </w:pPr>
    </w:lvl>
    <w:lvl w:ilvl="1" w15:tentative="1">
      <w:start w:val="1"/>
      <w:numFmt w:val="bullet"/>
      <w:lvlText w:val="◦"/>
      <w:lvlJc w:val="left"/>
      <w:pPr>
        <w:spacing w:before="20" w:after="2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2E6DA4"/>
      <w:sz w:val="24"/>
      <w:szCs w:val="24"/>
    </w:rPr>
  </w:style>
  <w:style w:type="paragraph" w:styleId="Heading3">
    <w:name w:val="Heading 3"/>
    <w:basedOn w:val="Normal"/>
    <w:next w:val="Normal"/>
    <w:qFormat/>
    <w:pPr>
      <w:spacing w:before="180" w:after="80"/>
      <w:outlineLvl w:val="2"/>
    </w:pPr>
    <w:rPr>
      <w:rFonts w:ascii="Arial" w:cs="Arial" w:eastAsia="Arial" w:hAnsi="Arial"/>
      <w:b/>
      <w:bCs/>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2026-03-10T17:52:39.958Z</dcterms:created>
  <dcterms:modified xsi:type="dcterms:W3CDTF">2026-03-10T17:52:39.959Z</dcterms:modified>
</cp:coreProperties>
</file>

<file path=docProps/custom.xml><?xml version="1.0" encoding="utf-8"?>
<Properties xmlns="http://schemas.openxmlformats.org/officeDocument/2006/custom-properties" xmlns:vt="http://schemas.openxmlformats.org/officeDocument/2006/docPropsVTypes"/>
</file>