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蓝牙模块调试复盘（2026.3.14-3.15）- 踩坑点+知识点总结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一、调试概况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调试周期：2026.3.14晚 - 2026.3.15</w:t>
        <w:br/>
        <w:t>调试目标：实现STM32与蓝牙模块的通信</w:t>
        <w:br/>
      </w:r>
      <w:r>
        <w:rPr>
          <w:rFonts w:eastAsia="等线" w:ascii="Arial" w:cs="Arial" w:hAnsi="Arial"/>
          <w:sz w:val="22"/>
        </w:rPr>
        <w:t>最终结果：调试成功，明确模块型号及通信方式，解决通信失败问题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二、核心踩坑点（按时间线梳理，对应日志细节）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DAY 1（2026.3.14晚）踩坑点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踩坑1：误判模块AT模式触发条件——误以为必须将EN引脚接3.3V才能进入AT模式，后续发现无需接线也能响应AT指令，白花费时间纠结EN引脚接线。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踩坑2：电脑串口助手修改波特率失败且模块卡死——修改波特率后模块返回“fail”并卡死，需长按模块按钮上电并持续按住才能重新进入AT模式，未意识到模块型号可能异常，误以为是供电或AT模式操作问题。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踩坑3：波特率匹配后仍无法通信——已知模块AT模式返回波特率为38400，将STM32代码波特率改为38400后，仍无信息传输，未排查模块型号和通信协议差异。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DAY 2（2026.3.15）踩坑点</w:t>
      </w:r>
      <w:bookmarkEnd w:id="3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踩坑1：错认蓝牙模块型号——一直以为是HC-05（经典蓝牙），实际是HM-10（BLE蓝牙），两者通信机制完全不同，导致后续所有基于HC-05的调试思路出错。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踩坑2：选错蓝牙连接工具——使用经典蓝牙SPP助手连接BLE模块，导致无法正常通信，出现“DEFAULT NO RESPONSE SIGNED”错误。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踩坑3：不了解BLE通信特性——BLE连接成功后，未选择对应服务和特征值（0000ffe1特征值，含WRITE和NOTIFY），导致无法实现数据写入和读取。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踩坑4：误解错误提示含义——出现“DEFAULT NO RESPONSE SIGNED”错误时，不清楚其核心原因是“用带响应的写入方式连接BLE模块，而BLE与经典蓝牙通信机制不同，无法返回响应”，需借助AI才明确问题。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踩坑5：忽视模块默认配置——误以为模块有默认六位数密码，实际HM-10默认无密码，无需额外输入密码，浪费排查时间。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三、核心知识点（从调试中提炼，用于后续避坑）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 蓝牙模块型号及区分（关键知识点）</w:t>
      </w:r>
      <w:bookmarkEnd w:id="5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HC-05：经典蓝牙模块，支持SPP协议，通信方式与串口助手（SPP）匹配，需通过AT指令配置，部分型号需EN引脚接高电平进入AT模式。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HM-10：BLE（低功耗蓝牙）模块，不支持SPP协议，需用BLE蓝牙助手连接，与经典蓝牙通信机制完全不同，默认无密码。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避坑关键：调试前先确认模块型号，避免因型号混淆导致调试方向错误。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 BLE模块通信关键操作</w:t>
      </w:r>
      <w:bookmarkEnd w:id="6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连接工具：需使用BLE蓝牙助手，而非经典蓝牙SPP助手，否则无法建立有效连接。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服务与特征值：BLE连接成功后，需选择对应服务下的特征值（如本次的0000ffe1），该特征值需支持WRITE（写入）和NOTIFY（通知），才能实现STM32与模块的数据双向传输。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 AT模式相关知识点</w:t>
      </w:r>
      <w:bookmarkEnd w:id="7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HM-10模块：默认无需接EN引脚（或其他控制引脚），直接发送AT指令即可响应，无需额外触发操作。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波特率配置：部分模块（如本次HM-10）默认波特率为38400，修改波特率时需注意模块是否支持，避免配置错误导致模块卡死。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模块卡死恢复：若修改配置后模块卡死，可通过“长按模块按钮+上电，且持续按住按钮”的方式重新进入AT模式，恢复初始配置。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4. 错误提示解析</w:t>
      </w:r>
      <w:bookmarkEnd w:id="8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“DEFAULT NO RESPONSE SIGNED”：核心含义是“采用了带响应的写入方式，但未收到模块的签名确认”。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触发原因：将BLE模块当作经典蓝牙（SPP）使用，用经典蓝牙的带响应写入方式与BLE模块通信，而BLE与SPP通信机制不同，无法返回响应，导致报错。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5. 其他实用知识点</w:t>
      </w:r>
      <w:bookmarkEnd w:id="9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供电排查：当蓝牙模块通信异常时，可优先排查供电（如电压是否稳定、电流是否足够），但本次问题核心并非供电，而是型号和通信方式错误。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AI辅助调试：遇到无法理解的错误提示时，可将错误代码（如本次的DEFAULT NO RESPONSE SIGNED）发给AI，快速定位问题核心（如模块类型、通信机制差异）。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四、复盘总结（避坑建议）</w:t>
      </w:r>
      <w:bookmarkEnd w:id="10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调试前：先确认蓝牙模块型号（HC-05/HM-10等），明确其通信协议（经典蓝牙/SPP、BLE），避免方向错误。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调试中：遇到通信失败，优先排查“模块型号-连接工具-通信协议”是否匹配，再排查波特率、接线、AT指令等细节。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遇到陌生错误：及时借助AI解析错误提示，快速定位问题，避免盲目排查。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模块配置：修改模块参数（如波特率）后，若出现卡死，可通过模块复位、重新进入AT模式的方式恢复，无需更换模块。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319695">
    <w:lvl>
      <w:numFmt w:val="bullet"/>
      <w:suff w:val="tab"/>
      <w:lvlText w:val="•"/>
      <w:rPr>
        <w:color w:val="3370ff"/>
      </w:rPr>
    </w:lvl>
  </w:abstractNum>
  <w:abstractNum w:abstractNumId="8319696">
    <w:lvl>
      <w:numFmt w:val="bullet"/>
      <w:suff w:val="tab"/>
      <w:lvlText w:val="•"/>
      <w:rPr>
        <w:color w:val="3370ff"/>
      </w:rPr>
    </w:lvl>
  </w:abstractNum>
  <w:abstractNum w:abstractNumId="8319697">
    <w:lvl>
      <w:numFmt w:val="bullet"/>
      <w:suff w:val="tab"/>
      <w:lvlText w:val="•"/>
      <w:rPr>
        <w:color w:val="3370ff"/>
      </w:rPr>
    </w:lvl>
  </w:abstractNum>
  <w:abstractNum w:abstractNumId="8319698">
    <w:lvl>
      <w:numFmt w:val="bullet"/>
      <w:suff w:val="tab"/>
      <w:lvlText w:val="•"/>
      <w:rPr>
        <w:color w:val="3370ff"/>
      </w:rPr>
    </w:lvl>
  </w:abstractNum>
  <w:abstractNum w:abstractNumId="8319699">
    <w:lvl>
      <w:numFmt w:val="bullet"/>
      <w:suff w:val="tab"/>
      <w:lvlText w:val="•"/>
      <w:rPr>
        <w:color w:val="3370ff"/>
      </w:rPr>
    </w:lvl>
  </w:abstractNum>
  <w:abstractNum w:abstractNumId="8319700">
    <w:lvl>
      <w:numFmt w:val="bullet"/>
      <w:suff w:val="tab"/>
      <w:lvlText w:val="•"/>
      <w:rPr>
        <w:color w:val="3370ff"/>
      </w:rPr>
    </w:lvl>
  </w:abstractNum>
  <w:abstractNum w:abstractNumId="8319701">
    <w:lvl>
      <w:numFmt w:val="bullet"/>
      <w:suff w:val="tab"/>
      <w:lvlText w:val="•"/>
      <w:rPr>
        <w:color w:val="3370ff"/>
      </w:rPr>
    </w:lvl>
  </w:abstractNum>
  <w:abstractNum w:abstractNumId="8319702">
    <w:lvl>
      <w:numFmt w:val="bullet"/>
      <w:suff w:val="tab"/>
      <w:lvlText w:val="•"/>
      <w:rPr>
        <w:color w:val="3370ff"/>
      </w:rPr>
    </w:lvl>
  </w:abstractNum>
  <w:abstractNum w:abstractNumId="8319703">
    <w:lvl>
      <w:numFmt w:val="bullet"/>
      <w:suff w:val="tab"/>
      <w:lvlText w:val="•"/>
      <w:rPr>
        <w:color w:val="3370ff"/>
      </w:rPr>
    </w:lvl>
  </w:abstractNum>
  <w:abstractNum w:abstractNumId="8319704">
    <w:lvl>
      <w:numFmt w:val="bullet"/>
      <w:suff w:val="tab"/>
      <w:lvlText w:val="•"/>
      <w:rPr>
        <w:color w:val="3370ff"/>
      </w:rPr>
    </w:lvl>
  </w:abstractNum>
  <w:abstractNum w:abstractNumId="8319705">
    <w:lvl>
      <w:numFmt w:val="bullet"/>
      <w:suff w:val="tab"/>
      <w:lvlText w:val="•"/>
      <w:rPr>
        <w:color w:val="3370ff"/>
      </w:rPr>
    </w:lvl>
  </w:abstractNum>
  <w:abstractNum w:abstractNumId="8319706">
    <w:lvl>
      <w:numFmt w:val="bullet"/>
      <w:suff w:val="tab"/>
      <w:lvlText w:val="•"/>
      <w:rPr>
        <w:color w:val="3370ff"/>
      </w:rPr>
    </w:lvl>
  </w:abstractNum>
  <w:abstractNum w:abstractNumId="8319707">
    <w:lvl>
      <w:numFmt w:val="bullet"/>
      <w:suff w:val="tab"/>
      <w:lvlText w:val="•"/>
      <w:rPr>
        <w:color w:val="3370ff"/>
      </w:rPr>
    </w:lvl>
  </w:abstractNum>
  <w:abstractNum w:abstractNumId="8319708">
    <w:lvl>
      <w:numFmt w:val="bullet"/>
      <w:suff w:val="tab"/>
      <w:lvlText w:val="•"/>
      <w:rPr>
        <w:color w:val="3370ff"/>
      </w:rPr>
    </w:lvl>
  </w:abstractNum>
  <w:abstractNum w:abstractNumId="8319709">
    <w:lvl>
      <w:numFmt w:val="bullet"/>
      <w:suff w:val="tab"/>
      <w:lvlText w:val="•"/>
      <w:rPr>
        <w:color w:val="3370ff"/>
      </w:rPr>
    </w:lvl>
  </w:abstractNum>
  <w:abstractNum w:abstractNumId="8319710">
    <w:lvl>
      <w:numFmt w:val="bullet"/>
      <w:suff w:val="tab"/>
      <w:lvlText w:val="•"/>
      <w:rPr>
        <w:color w:val="3370ff"/>
      </w:rPr>
    </w:lvl>
  </w:abstractNum>
  <w:abstractNum w:abstractNumId="8319711">
    <w:lvl>
      <w:numFmt w:val="bullet"/>
      <w:suff w:val="tab"/>
      <w:lvlText w:val="•"/>
      <w:rPr>
        <w:color w:val="3370ff"/>
      </w:rPr>
    </w:lvl>
  </w:abstractNum>
  <w:abstractNum w:abstractNumId="8319712">
    <w:lvl>
      <w:numFmt w:val="bullet"/>
      <w:suff w:val="tab"/>
      <w:lvlText w:val="•"/>
      <w:rPr>
        <w:color w:val="3370ff"/>
      </w:rPr>
    </w:lvl>
  </w:abstractNum>
  <w:abstractNum w:abstractNumId="8319713">
    <w:lvl>
      <w:numFmt w:val="bullet"/>
      <w:suff w:val="tab"/>
      <w:lvlText w:val="•"/>
      <w:rPr>
        <w:color w:val="3370ff"/>
      </w:rPr>
    </w:lvl>
  </w:abstractNum>
  <w:abstractNum w:abstractNumId="8319714">
    <w:lvl>
      <w:numFmt w:val="bullet"/>
      <w:suff w:val="tab"/>
      <w:lvlText w:val="•"/>
      <w:rPr>
        <w:color w:val="3370ff"/>
      </w:rPr>
    </w:lvl>
  </w:abstractNum>
  <w:abstractNum w:abstractNumId="8319715">
    <w:lvl>
      <w:start w:val="1"/>
      <w:numFmt w:val="decimal"/>
      <w:suff w:val="tab"/>
      <w:lvlText w:val="%1."/>
      <w:rPr>
        <w:color w:val="3370ff"/>
      </w:rPr>
    </w:lvl>
  </w:abstractNum>
  <w:abstractNum w:abstractNumId="8319716">
    <w:lvl>
      <w:start w:val="2"/>
      <w:numFmt w:val="decimal"/>
      <w:suff w:val="tab"/>
      <w:lvlText w:val="%1."/>
      <w:rPr>
        <w:color w:val="3370ff"/>
      </w:rPr>
    </w:lvl>
  </w:abstractNum>
  <w:abstractNum w:abstractNumId="8319717">
    <w:lvl>
      <w:start w:val="3"/>
      <w:numFmt w:val="decimal"/>
      <w:suff w:val="tab"/>
      <w:lvlText w:val="%1."/>
      <w:rPr>
        <w:color w:val="3370ff"/>
      </w:rPr>
    </w:lvl>
  </w:abstractNum>
  <w:abstractNum w:abstractNumId="8319718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8319695"/>
  </w:num>
  <w:num w:numId="2">
    <w:abstractNumId w:val="8319696"/>
  </w:num>
  <w:num w:numId="3">
    <w:abstractNumId w:val="8319697"/>
  </w:num>
  <w:num w:numId="4">
    <w:abstractNumId w:val="8319698"/>
  </w:num>
  <w:num w:numId="5">
    <w:abstractNumId w:val="8319699"/>
  </w:num>
  <w:num w:numId="6">
    <w:abstractNumId w:val="8319700"/>
  </w:num>
  <w:num w:numId="7">
    <w:abstractNumId w:val="8319701"/>
  </w:num>
  <w:num w:numId="8">
    <w:abstractNumId w:val="8319702"/>
  </w:num>
  <w:num w:numId="9">
    <w:abstractNumId w:val="8319703"/>
  </w:num>
  <w:num w:numId="10">
    <w:abstractNumId w:val="8319704"/>
  </w:num>
  <w:num w:numId="11">
    <w:abstractNumId w:val="8319705"/>
  </w:num>
  <w:num w:numId="12">
    <w:abstractNumId w:val="8319706"/>
  </w:num>
  <w:num w:numId="13">
    <w:abstractNumId w:val="8319707"/>
  </w:num>
  <w:num w:numId="14">
    <w:abstractNumId w:val="8319708"/>
  </w:num>
  <w:num w:numId="15">
    <w:abstractNumId w:val="8319709"/>
  </w:num>
  <w:num w:numId="16">
    <w:abstractNumId w:val="8319710"/>
  </w:num>
  <w:num w:numId="17">
    <w:abstractNumId w:val="8319711"/>
  </w:num>
  <w:num w:numId="18">
    <w:abstractNumId w:val="8319712"/>
  </w:num>
  <w:num w:numId="19">
    <w:abstractNumId w:val="8319713"/>
  </w:num>
  <w:num w:numId="20">
    <w:abstractNumId w:val="8319714"/>
  </w:num>
  <w:num w:numId="21">
    <w:abstractNumId w:val="8319715"/>
  </w:num>
  <w:num w:numId="22">
    <w:abstractNumId w:val="8319716"/>
  </w:num>
  <w:num w:numId="23">
    <w:abstractNumId w:val="8319717"/>
  </w:num>
  <w:num w:numId="24">
    <w:abstractNumId w:val="831971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2026-04-02T09:49:36Z</dcterms:created>
  <dc:creator>Apache POI</dc:creator>
</cp:coreProperties>
</file>