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864"/>
          <w:sz w:val="44"/>
        </w:rPr>
        <w:t>RECIST 1.1 疗效评估引擎技术说明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4"/>
        </w:rPr>
        <w:t>系统实现原理 · 判定规则 · 数据流 · 应用指南</w:t>
      </w:r>
    </w:p>
    <w:p>
      <w:pPr>
        <w:jc w:val="center"/>
      </w:pPr>
      <w:r>
        <w:rPr>
          <w:rFonts w:ascii="宋体" w:hAnsi="宋体" w:eastAsia="宋体"/>
          <w:b w:val="0"/>
          <w:color w:val="777777"/>
          <w:sz w:val="20"/>
        </w:rPr>
        <w:t>文档版本：v1.0    编制日期：2026-07-16    适用系统：RECIST 病灶评估系统（后端 RecistEngine）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488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标准依据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0"/>
              </w:rPr>
              <w:t>RECIST 1.1（实体瘤疗效评价标准，第 1.1 版）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核心模块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0"/>
              </w:rPr>
              <w:t>RecistEngine（规则引擎） + IntelligentAnalyzer（智能分析辅助）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关键文件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0"/>
              </w:rPr>
              <w:t>backend/app/services/recist_engine.py、intelligent_analyzer.py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对外接口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0"/>
              </w:rPr>
              <w:t>perform_assessment / assess_comprehensive / build_confirmation / get_algorithm_summary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适用对象</w:t>
            </w:r>
          </w:p>
        </w:tc>
        <w:tc>
          <w:tcPr>
            <w:tcW w:type="dxa" w:w="7488"/>
          </w:tcPr>
          <w:p>
            <w:r/>
            <w:r>
              <w:rPr>
                <w:rFonts w:ascii="宋体" w:hAnsi="宋体" w:eastAsia="宋体"/>
                <w:sz w:val="20"/>
              </w:rPr>
              <w:t>临床研究人员、医学审核人员、数据管理（DM）、系统维护人员</w:t>
            </w:r>
          </w:p>
        </w:tc>
      </w:tr>
    </w:tbl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一、文档目的</w:t>
      </w:r>
    </w:p>
    <w:p>
      <w:r>
        <w:rPr>
          <w:rFonts w:ascii="宋体" w:hAnsi="宋体" w:eastAsia="宋体"/>
          <w:b w:val="0"/>
          <w:sz w:val="22"/>
        </w:rPr>
        <w:t>本文面向专业人员，系统说明本系统所实现的 RECIST 1.1 疗效评估引擎：它如何把「病灶测量数据」转换成「可审计的疗效结论」。重点讲清三件事：</w:t>
      </w:r>
    </w:p>
    <w:p>
      <w:pPr>
        <w:pStyle w:val="ListBullet"/>
      </w:pPr>
      <w:r>
        <w:rPr>
          <w:rFonts w:ascii="宋体" w:hAnsi="宋体" w:eastAsia="宋体"/>
          <w:sz w:val="22"/>
        </w:rPr>
        <w:t>判定逻辑与 RECIST 1.1 标准如何逐条对齐（§6.1 靶病灶 / §6.2 非靶病灶 / §6.3 确认规则）；</w:t>
      </w:r>
    </w:p>
    <w:p>
      <w:pPr>
        <w:pStyle w:val="ListBullet"/>
      </w:pPr>
      <w:r>
        <w:rPr>
          <w:rFonts w:ascii="宋体" w:hAnsi="宋体" w:eastAsia="宋体"/>
          <w:sz w:val="22"/>
        </w:rPr>
        <w:t>容易出错的关键细节（PD 参照 Nadir 而非基线、PD 双条件、新病灶一票否决）；</w:t>
      </w:r>
    </w:p>
    <w:p>
      <w:pPr>
        <w:pStyle w:val="ListBullet"/>
      </w:pPr>
      <w:r>
        <w:rPr>
          <w:rFonts w:ascii="宋体" w:hAnsi="宋体" w:eastAsia="宋体"/>
          <w:sz w:val="22"/>
        </w:rPr>
        <w:t>引擎在系统中的数据流向、跨周期计算与可追溯的判定理由，便于稽查与质疑处理。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二、RECIST 1.1 标准速览</w:t>
      </w:r>
    </w:p>
    <w:p>
      <w:r>
        <w:rPr>
          <w:rFonts w:ascii="宋体" w:hAnsi="宋体" w:eastAsia="宋体"/>
          <w:b w:val="0"/>
          <w:sz w:val="22"/>
        </w:rPr>
        <w:t>RECIST（Response Evaluation Criteria In Solid Tumors）用肿瘤大小的变化来评价抗肿瘤治疗的效果。每个受试者被归纳为四种标准疗效结局之一：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缩写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英文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3600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20"/>
              </w:rPr>
              <w:t>CR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Complete Response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完全缓解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20"/>
              </w:rPr>
              <w:t>所有靶病灶消失，淋巴结短轴 &lt; 10 mm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20"/>
              </w:rPr>
              <w:t>PR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Partial Response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部分缓解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20"/>
              </w:rPr>
              <w:t>靶病灶负荷显著缩小（SLD 较基线 ↓≥30%）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20"/>
              </w:rPr>
              <w:t>SD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Stable Disease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疾病稳定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20"/>
              </w:rPr>
              <w:t>变化介于 PR 与 PD 之间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20"/>
              </w:rPr>
              <w:t>PD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Progressive Disease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疾病进展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20"/>
              </w:rPr>
              <w:t>肿瘤负荷明确增大或出现新病灶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20"/>
              </w:rPr>
              <w:t>NE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Not Evaluable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不可评估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sz w:val="20"/>
              </w:rPr>
              <w:t>存在但数据不足，无法判定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335588"/>
          <w:sz w:val="27"/>
        </w:rPr>
        <w:t>三类病灶与两个关键度量</w:t>
      </w:r>
    </w:p>
    <w:p>
      <w:pPr>
        <w:pStyle w:val="ListBullet"/>
      </w:pPr>
      <w:r>
        <w:rPr>
          <w:rFonts w:ascii="宋体" w:hAnsi="宋体" w:eastAsia="宋体"/>
          <w:sz w:val="22"/>
        </w:rPr>
        <w:t>靶病灶（Target Lesions）：可测量病灶，取各病灶最长径求和得 SLD。</w:t>
      </w:r>
    </w:p>
    <w:p>
      <w:pPr>
        <w:pStyle w:val="ListBullet"/>
      </w:pPr>
      <w:r>
        <w:rPr>
          <w:rFonts w:ascii="宋体" w:hAnsi="宋体" w:eastAsia="宋体"/>
          <w:sz w:val="22"/>
        </w:rPr>
        <w:t>非靶病灶（Non-Target Lesions）：不可测量病灶（如胸水、骨转移、淋巴管播散）。</w:t>
      </w:r>
    </w:p>
    <w:p>
      <w:pPr>
        <w:pStyle w:val="ListBullet"/>
      </w:pPr>
      <w:r>
        <w:rPr>
          <w:rFonts w:ascii="宋体" w:hAnsi="宋体" w:eastAsia="宋体"/>
          <w:sz w:val="22"/>
        </w:rPr>
        <w:t>新病灶（New Lesion）：治疗中新出现的任何病灶——出现即判 PD。</w:t>
      </w:r>
    </w:p>
    <w:p>
      <w:pPr>
        <w:pStyle w:val="ListBullet"/>
      </w:pPr>
      <w:r>
        <w:rPr>
          <w:rFonts w:ascii="宋体" w:hAnsi="宋体" w:eastAsia="宋体"/>
          <w:sz w:val="22"/>
        </w:rPr>
        <w:t>SLD（最长径之和）、Baseline SLD（基线）、Nadir SLD（研究期间最低点，PD 的参照基准）。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三、评估引擎总体架构</w:t>
      </w:r>
    </w:p>
    <w:p>
      <w:r>
        <w:rPr>
          <w:rFonts w:ascii="宋体" w:hAnsi="宋体" w:eastAsia="宋体"/>
          <w:b w:val="0"/>
          <w:sz w:val="22"/>
        </w:rPr>
        <w:t>引擎主体是一个「分层判定 + 合成决策」的纯函数式规则引擎，不依赖数据库，由后端在导入/编辑病灶时调用。整体流水线如下（图中同一颜色对应同一判定模块）：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050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recis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050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777777"/>
          <w:sz w:val="20"/>
        </w:rPr>
        <w:t>图 1  RECIST 评估引擎处理流水线</w:t>
      </w:r>
    </w:p>
    <w:p>
      <w:pPr>
        <w:pStyle w:val="Heading2"/>
      </w:pPr>
      <w:r>
        <w:rPr>
          <w:rFonts w:ascii="宋体" w:hAnsi="宋体" w:eastAsia="宋体"/>
          <w:b/>
          <w:color w:val="335588"/>
          <w:sz w:val="27"/>
        </w:rPr>
        <w:t>模块划分</w:t>
      </w:r>
    </w:p>
    <w:p>
      <w:pPr>
        <w:pStyle w:val="ListBullet"/>
      </w:pPr>
      <w:r>
        <w:rPr>
          <w:rFonts w:ascii="宋体" w:hAnsi="宋体" w:eastAsia="宋体"/>
          <w:sz w:val="22"/>
        </w:rPr>
        <w:t>RecistEngine：规则引擎，负责靶/非靶/整体疗效的判定，并产出可追溯的「判定理由」文本。</w:t>
      </w:r>
    </w:p>
    <w:p>
      <w:pPr>
        <w:pStyle w:val="ListBullet"/>
      </w:pPr>
      <w:r>
        <w:rPr>
          <w:rFonts w:ascii="宋体" w:hAnsi="宋体" w:eastAsia="宋体"/>
          <w:sz w:val="22"/>
        </w:rPr>
        <w:t>IntelligentAnalyzer：在 RECIST 结论之上提供风险评分、趋势预测与随访建议（辅助功能，不替代 RECIST 判定）。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四、核心概念详解</w:t>
      </w:r>
    </w:p>
    <w:p>
      <w:pPr>
        <w:pStyle w:val="Heading2"/>
      </w:pPr>
      <w:r>
        <w:rPr>
          <w:rFonts w:ascii="宋体" w:hAnsi="宋体" w:eastAsia="宋体"/>
          <w:b/>
          <w:color w:val="335588"/>
          <w:sz w:val="27"/>
        </w:rPr>
        <w:t>4.1 SLD 的计算</w:t>
      </w:r>
    </w:p>
    <w:p>
      <w:r>
        <w:rPr>
          <w:rFonts w:ascii="宋体" w:hAnsi="宋体" w:eastAsia="宋体"/>
          <w:b w:val="0"/>
          <w:sz w:val="22"/>
        </w:rPr>
        <w:t>对全部靶病灶，取每条病灶的「最长径（mm）」求和：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SLD = Σ 各靶病灶最长径</w:t>
      </w:r>
    </w:p>
    <w:p>
      <w:r>
        <w:rPr>
          <w:rFonts w:ascii="宋体" w:hAnsi="宋体" w:eastAsia="宋体"/>
          <w:b w:val="0"/>
          <w:sz w:val="22"/>
        </w:rPr>
        <w:t>基线 SLD 取自筛选期（基线）各靶病灶最长径之和，是后续比较的基准；当前 SLD 取自本次随访测量值。</w:t>
      </w:r>
    </w:p>
    <w:p>
      <w:pPr>
        <w:pStyle w:val="Heading2"/>
      </w:pPr>
      <w:r>
        <w:rPr>
          <w:rFonts w:ascii="宋体" w:hAnsi="宋体" w:eastAsia="宋体"/>
          <w:b/>
          <w:color w:val="335588"/>
          <w:sz w:val="27"/>
        </w:rPr>
        <w:t>4.2 Nadir（研究期间最低点）</w:t>
      </w:r>
    </w:p>
    <w:p>
      <w:r>
        <w:rPr>
          <w:rFonts w:ascii="宋体" w:hAnsi="宋体" w:eastAsia="宋体"/>
          <w:b w:val="0"/>
          <w:sz w:val="22"/>
        </w:rPr>
        <w:t>Nadir = min(基线 SLD, 随访1 SLD, 随访2 SLD, …)，即治疗过程中出现过的「最小肿瘤负荷」。</w:t>
      </w:r>
    </w:p>
    <w:p>
      <w:r>
        <w:rPr>
          <w:rFonts w:ascii="宋体" w:hAnsi="宋体" w:eastAsia="宋体"/>
          <w:b w:val="0"/>
          <w:sz w:val="22"/>
        </w:rPr>
        <w:t>关键：PD 的判定是「相对 Nadir 增加」，而不是「相对基线增加」。这是 RECIST 1.1 与旧版最重要的区别之一，也是临床上最容易误判之处（详见第八节）。</w:t>
      </w:r>
    </w:p>
    <w:p>
      <w:pPr>
        <w:pStyle w:val="Heading2"/>
      </w:pPr>
      <w:r>
        <w:rPr>
          <w:rFonts w:ascii="宋体" w:hAnsi="宋体" w:eastAsia="宋体"/>
          <w:b/>
          <w:color w:val="335588"/>
          <w:sz w:val="27"/>
        </w:rPr>
        <w:t>4.3 「不适用(NA)」与「不可评估(NE)」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情形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对整体评估的影响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不适用 NA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受试者基线本就无此类病灶（如无可测量靶病灶）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20"/>
              </w:rPr>
              <w:t>该维度不参与整体评估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20"/>
              </w:rPr>
              <w:t>不可评估 NE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存在该类病灶，但数据缺失/无法测量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20"/>
              </w:rPr>
              <w:t>视情况拖累或限制整体结论</w:t>
            </w:r>
          </w:p>
        </w:tc>
      </w:tr>
    </w:tbl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五、靶病灶判定 §6.1</w:t>
      </w:r>
    </w:p>
    <w:p>
      <w:r>
        <w:rPr>
          <w:rFonts w:ascii="宋体" w:hAnsi="宋体" w:eastAsia="宋体"/>
          <w:b w:val="0"/>
          <w:sz w:val="22"/>
        </w:rPr>
        <w:t>基于 SLD 的两条比较（相对基线、相对 Nadir）逐条判定，优先级从高到低：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疗效</w:t>
            </w:r>
          </w:p>
        </w:tc>
        <w:tc>
          <w:tcPr>
            <w:tcW w:type="dxa" w:w="5760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系统阈值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PD（新病灶）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20"/>
              </w:rPr>
              <w:t>出现任何新病灶（一票否决）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CR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20"/>
              </w:rPr>
              <w:t>所有靶病灶消失（SLD 当前 = 0），淋巴结短轴 &lt; 10 mm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PD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20"/>
              </w:rPr>
              <w:t>SLD 较 Nadir 增加 ≥20% 且 绝对值增加 ≥5 mm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+20% 且 +5 mm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PR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20"/>
              </w:rPr>
              <w:t>SLD 较基线下降 ≥30%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−30%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SD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20"/>
              </w:rPr>
              <w:t>既不达 PR，也未达 PD（介于两者之间）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公式：</w:t>
      </w:r>
    </w:p>
    <w:p>
      <w:pPr>
        <w:pStyle w:val="ListBullet"/>
      </w:pPr>
      <w:r>
        <w:rPr>
          <w:rFonts w:ascii="宋体" w:hAnsi="宋体" w:eastAsia="宋体"/>
          <w:sz w:val="22"/>
        </w:rPr>
        <w:t>PR：(SLD基线 − SLD当前) / SLD基线 × 100% ≥ 30%</w:t>
      </w:r>
    </w:p>
    <w:p>
      <w:pPr>
        <w:pStyle w:val="ListBullet"/>
      </w:pPr>
      <w:r>
        <w:rPr>
          <w:rFonts w:ascii="宋体" w:hAnsi="宋体" w:eastAsia="宋体"/>
          <w:sz w:val="22"/>
        </w:rPr>
        <w:t>PD：(SLD当前 − SLD最低点) / SLD最低点 × 100% ≥ 20% 且 (SLD当前 − SLD最低点) ≥ 5 mm，或 出现新病灶</w:t>
      </w:r>
    </w:p>
    <w:p>
      <w:r>
        <w:rPr>
          <w:rFonts w:ascii="宋体" w:hAnsi="宋体" w:eastAsia="宋体"/>
          <w:b w:val="0"/>
          <w:sz w:val="22"/>
        </w:rPr>
        <w:t>注意判定顺序：新病灶 → 是否全消失(CR) → 是否达 PD 双条件 → 是否达 PR → 否则 SD。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六、非靶病灶判定 §6.2</w:t>
      </w:r>
    </w:p>
    <w:p>
      <w:r>
        <w:rPr>
          <w:rFonts w:ascii="宋体" w:hAnsi="宋体" w:eastAsia="宋体"/>
          <w:b w:val="0"/>
          <w:sz w:val="22"/>
        </w:rPr>
        <w:t>非靶病灶不可测量，只用「状态」分类（消失 / 持续存在 / 进展），不用尺寸公式：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疗效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判定条件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CR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所有非靶病灶消失，淋巴结短轴 &lt; 10 mm，肿瘤标志物正常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Non-CR/Non-PD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存在 ≥1 个非靶病灶持续存在且未见明确进展；或肿瘤标志物持续高于正常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PD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任一非靶病灶明确(unequivocal)进展，或出现任何新病灶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⚠️ 重点：非靶 PD 必须是「明确进展」（如胸水从少量到大量、淋巴管炎从局限到弥漫）。非靶病灶的轻微增大不构成 PD——系统实现时严禁把尺寸小幅变化自动判为 PD。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七、新病灶规则（一票否决）</w:t>
      </w:r>
    </w:p>
    <w:p>
      <w:r>
        <w:rPr>
          <w:rFonts w:ascii="宋体" w:hAnsi="宋体" w:eastAsia="宋体"/>
          <w:b w:val="0"/>
          <w:sz w:val="22"/>
        </w:rPr>
        <w:t>无论新病灶大小、部位、以何种方式（含 CT、MRI、FDG-PET）发现，只要治疗过程中新出现，整体疗效即判为 PD，优先级高于靶/非靶的一切判定。系统以 has_new_lesion 标记，在整体决策矩阵中作为最高优先级处理。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八、整体疗效决策矩阵与合成逻辑</w:t>
      </w:r>
    </w:p>
    <w:p>
      <w:r>
        <w:rPr>
          <w:rFonts w:ascii="宋体" w:hAnsi="宋体" w:eastAsia="宋体"/>
          <w:b w:val="0"/>
          <w:sz w:val="22"/>
        </w:rPr>
        <w:t>将「靶病灶结论 + 非靶病灶结论 + 新病灶」按以下矩阵合成总体疗效：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靶病灶</w:t>
            </w:r>
          </w:p>
        </w:tc>
        <w:tc>
          <w:tcPr>
            <w:tcW w:type="dxa" w:w="3456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非靶病灶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新病灶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总体疗效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CR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20"/>
              </w:rPr>
              <w:t>CR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CR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CR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20"/>
              </w:rPr>
              <w:t>Non-CR/Non-PD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PR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20"/>
              </w:rPr>
              <w:t>CR 或 Non-CR/Non-PD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SD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20"/>
              </w:rPr>
              <w:t>CR 或 Non-CR/Non-PD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SD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PD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20"/>
              </w:rPr>
              <w:t>任意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任意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任意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20"/>
              </w:rPr>
              <w:t>PD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任意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任意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20"/>
              </w:rPr>
              <w:t>任意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20"/>
              </w:rPr>
              <w:t>有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PD（最高优先级）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335588"/>
          <w:sz w:val="27"/>
        </w:rPr>
        <w:t>合成优先级（最高 → 最低）</w:t>
      </w:r>
    </w:p>
    <w:p>
      <w:pPr>
        <w:pStyle w:val="ListNumber"/>
      </w:pPr>
      <w:r>
        <w:rPr>
          <w:rFonts w:ascii="宋体" w:hAnsi="宋体" w:eastAsia="宋体"/>
          <w:sz w:val="22"/>
        </w:rPr>
        <w:t>新病灶出现 → PD（覆盖其他一切）</w:t>
      </w:r>
    </w:p>
    <w:p>
      <w:pPr>
        <w:pStyle w:val="ListNumber"/>
      </w:pPr>
      <w:r>
        <w:rPr>
          <w:rFonts w:ascii="宋体" w:hAnsi="宋体" w:eastAsia="宋体"/>
          <w:sz w:val="22"/>
        </w:rPr>
        <w:t>非靶病灶明确进展 → PD</w:t>
      </w:r>
    </w:p>
    <w:p>
      <w:pPr>
        <w:pStyle w:val="ListNumber"/>
      </w:pPr>
      <w:r>
        <w:rPr>
          <w:rFonts w:ascii="宋体" w:hAnsi="宋体" w:eastAsia="宋体"/>
          <w:sz w:val="22"/>
        </w:rPr>
        <w:t>靶病灶 PD（较 Nadir ↑≥20% 且 绝对 ↑≥5 mm）→ PD</w:t>
      </w:r>
    </w:p>
    <w:p>
      <w:pPr>
        <w:pStyle w:val="ListNumber"/>
      </w:pPr>
      <w:r>
        <w:rPr>
          <w:rFonts w:ascii="宋体" w:hAnsi="宋体" w:eastAsia="宋体"/>
          <w:sz w:val="22"/>
        </w:rPr>
        <w:t>匹配标准矩阵 → CR / PR / SD / PD / NE</w:t>
      </w:r>
    </w:p>
    <w:p>
      <w:r>
        <w:rPr>
          <w:rFonts w:ascii="宋体" w:hAnsi="宋体" w:eastAsia="宋体"/>
          <w:b w:val="0"/>
          <w:sz w:val="22"/>
        </w:rPr>
        <w:t>系统同时处理「无靶病灶」「无非靶病灶」「某维度 NA/NE」等边界组合，例如：靶 CR 但非靶不可评估时，整体判 PR（最佳缓解，不能确认 CR）；无非靶病灶时，整体跟随靶病灶结论。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九、确认规则 §6.3</w:t>
      </w:r>
    </w:p>
    <w:p>
      <w:pPr>
        <w:pStyle w:val="ListBullet"/>
      </w:pPr>
      <w:r>
        <w:rPr>
          <w:rFonts w:ascii="宋体" w:hAnsi="宋体" w:eastAsia="宋体"/>
          <w:sz w:val="22"/>
        </w:rPr>
        <w:t>非随机试验中，CR 与 PR 须在治疗后 ≥4 周复查确认。</w:t>
      </w:r>
    </w:p>
    <w:p>
      <w:pPr>
        <w:pStyle w:val="ListBullet"/>
      </w:pPr>
      <w:r>
        <w:rPr>
          <w:rFonts w:ascii="宋体" w:hAnsi="宋体" w:eastAsia="宋体"/>
          <w:sz w:val="22"/>
        </w:rPr>
        <w:t>随机试验可由方案决定是否需确认（多数不强制）；确认后的 PR 在后续访视视为「持续 PR」，直至满足 PD 标准——后续判定参照 Nadir 而非基线。</w:t>
      </w:r>
    </w:p>
    <w:p>
      <w:pPr>
        <w:pStyle w:val="ListBullet"/>
      </w:pPr>
      <w:r>
        <w:rPr>
          <w:rFonts w:ascii="宋体" w:hAnsi="宋体" w:eastAsia="宋体"/>
          <w:sz w:val="22"/>
        </w:rPr>
        <w:t>PD 一般不需确认（除非影像模棱两可）。</w:t>
      </w:r>
    </w:p>
    <w:p>
      <w:r>
        <w:rPr>
          <w:rFonts w:ascii="宋体" w:hAnsi="宋体" w:eastAsia="宋体"/>
          <w:b w:val="0"/>
          <w:sz w:val="22"/>
        </w:rPr>
        <w:t>系统实现：build_confirmation() 依据该受试者全部评估的时间线，查找当前评估之后 ≥4 周的复查访视，若复查仍为 CR/PR/SD 则标记「已确认」，若为 PD 则标记「未确认最佳缓解」。确认说明会追加到总体疗效的判定理由中。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十、跨周期计算实现</w:t>
      </w:r>
    </w:p>
    <w:p>
      <w:r>
        <w:rPr>
          <w:rFonts w:ascii="宋体" w:hAnsi="宋体" w:eastAsia="宋体"/>
          <w:b w:val="0"/>
          <w:sz w:val="22"/>
        </w:rPr>
        <w:t>真实受试者有多轮评估（周期）。引擎在后端 _recompute_assessment() 中完成跨周期联动：</w:t>
      </w:r>
    </w:p>
    <w:p>
      <w:pPr>
        <w:pStyle w:val="ListBullet"/>
      </w:pPr>
      <w:r>
        <w:rPr>
          <w:rFonts w:ascii="宋体" w:hAnsi="宋体" w:eastAsia="宋体"/>
          <w:sz w:val="22"/>
        </w:rPr>
        <w:t>Nadir 计算：取「该受试者所有历史评估的 current_sum（含当前期）」的最小值，保证 Nadir 不高于当前期，符合「历史最低点」定义。</w:t>
      </w:r>
    </w:p>
    <w:p>
      <w:pPr>
        <w:pStyle w:val="ListBullet"/>
      </w:pPr>
      <w:r>
        <w:rPr>
          <w:rFonts w:ascii="宋体" w:hAnsi="宋体" w:eastAsia="宋体"/>
          <w:sz w:val="22"/>
        </w:rPr>
        <w:t>确认计算：依据全部评估按（日期, 周期号）排序的时间线，识别 ≥4 周的后续复查访视。</w:t>
      </w:r>
    </w:p>
    <w:p>
      <w:pPr>
        <w:pStyle w:val="ListBullet"/>
      </w:pPr>
      <w:r>
        <w:rPr>
          <w:rFonts w:ascii="宋体" w:hAnsi="宋体" w:eastAsia="宋体"/>
          <w:sz w:val="22"/>
        </w:rPr>
        <w:t>每次保存/编辑病灶都会重算该受试者所有相关评估，保证趋势图、报告、列表一致。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十一、综合评估模式（仅人工分类时）</w:t>
      </w:r>
    </w:p>
    <w:p>
      <w:r>
        <w:rPr>
          <w:rFonts w:ascii="宋体" w:hAnsi="宋体" w:eastAsia="宋体"/>
          <w:b w:val="0"/>
          <w:sz w:val="22"/>
        </w:rPr>
        <w:t>当导入数据只含 Excel 的「人工靶/非靶/新病灶分类」、没有逐病灶尺寸明细时，perform_assessment 无法按 SLD 计算。此时系统调用 assess_comprehensive()，用这三个人工分类直接套用决策矩阵推导靶/非靶/总体疗效，避免「无基线病灶 → 一概 NE」的误判。</w:t>
      </w:r>
    </w:p>
    <w:p>
      <w:pPr>
        <w:pStyle w:val="ListBullet"/>
      </w:pPr>
      <w:r>
        <w:rPr>
          <w:rFonts w:ascii="宋体" w:hAnsi="宋体" w:eastAsia="宋体"/>
          <w:sz w:val="22"/>
        </w:rPr>
        <w:t>人工「不适用(NA)」→ 该维度受试者基线无此类病灶（不计入）；</w:t>
      </w:r>
    </w:p>
    <w:p>
      <w:pPr>
        <w:pStyle w:val="ListBullet"/>
      </w:pPr>
      <w:r>
        <w:rPr>
          <w:rFonts w:ascii="宋体" w:hAnsi="宋体" w:eastAsia="宋体"/>
          <w:sz w:val="22"/>
        </w:rPr>
        <w:t>CR/PR/SD/PD → 对应状态；NE 或未知 → 不可评估；</w:t>
      </w:r>
    </w:p>
    <w:p>
      <w:pPr>
        <w:pStyle w:val="ListBullet"/>
      </w:pPr>
      <w:r>
        <w:rPr>
          <w:rFonts w:ascii="宋体" w:hAnsi="宋体" w:eastAsia="宋体"/>
          <w:sz w:val="22"/>
        </w:rPr>
        <w:t>新病灶（布尔）→ 参与总体决策矩阵。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十二、智能分析辅助（IntelligentAnalyzer）</w:t>
      </w:r>
    </w:p>
    <w:p>
      <w:r>
        <w:rPr>
          <w:rFonts w:ascii="宋体" w:hAnsi="宋体" w:eastAsia="宋体"/>
          <w:b w:val="0"/>
          <w:sz w:val="22"/>
        </w:rPr>
        <w:t>该模块在 RECIST 结论之上提供辅助信息，明确不替代 RECIST 判定：</w:t>
      </w:r>
    </w:p>
    <w:p>
      <w:pPr>
        <w:pStyle w:val="ListBullet"/>
      </w:pPr>
      <w:r>
        <w:rPr>
          <w:rFonts w:ascii="宋体" w:hAnsi="宋体" w:eastAsia="宋体"/>
          <w:sz w:val="22"/>
        </w:rPr>
        <w:t>风险评分（0–100）：综合变化率绝对值、新病灶、非靶状态、肿瘤标志物计算；</w:t>
      </w:r>
    </w:p>
    <w:p>
      <w:pPr>
        <w:pStyle w:val="ListBullet"/>
      </w:pPr>
      <w:r>
        <w:rPr>
          <w:rFonts w:ascii="宋体" w:hAnsi="宋体" w:eastAsia="宋体"/>
          <w:sz w:val="22"/>
        </w:rPr>
        <w:t>趋势预测：基于历史 SLD 变化率的线性回归，结合 Nadir 距离、新病灶与非靶进展趋势修正；</w:t>
      </w:r>
    </w:p>
    <w:p>
      <w:pPr>
        <w:pStyle w:val="ListBullet"/>
      </w:pPr>
      <w:r>
        <w:rPr>
          <w:rFonts w:ascii="宋体" w:hAnsi="宋体" w:eastAsia="宋体"/>
          <w:sz w:val="22"/>
        </w:rPr>
        <w:t>随访建议：按当前疗效（PD/PR/SD/CR）与风险等级生成提醒（如高风险加强监测）。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十三、判定理由的可追溯性（稽查与质疑）</w:t>
      </w:r>
    </w:p>
    <w:p>
      <w:r>
        <w:rPr>
          <w:rFonts w:ascii="宋体" w:hAnsi="宋体" w:eastAsia="宋体"/>
          <w:b w:val="0"/>
          <w:sz w:val="22"/>
        </w:rPr>
        <w:t>引擎为每一次判定同时产出结构化结果与「判定理由」文本（target_reason / non_target_reason /overall_reason），其中包含：所用公式、SLD 基线/最低点/当前值、变化率、命中哪条规则、依据的 RECIST 条款。该文本是稽查、数据质疑与人工复核的直接依据——系统在「EDC 数据稽查 / 一键下发质疑」中即导出这些不一致项及判定标准，供专业人员核对。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十四、引擎 API 与数据流向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608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主要调用点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perform_assessment</w:t>
            </w:r>
          </w:p>
        </w:tc>
        <w:tc>
          <w:tcPr>
            <w:tcW w:type="dxa" w:w="4608"/>
          </w:tcPr>
          <w:p>
            <w:r/>
            <w:r>
              <w:rPr>
                <w:rFonts w:ascii="宋体" w:hAnsi="宋体" w:eastAsia="宋体"/>
                <w:sz w:val="20"/>
              </w:rPr>
              <w:t>执行完整 RECIST 评估（靶+非靶+整体+理由）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assessments.py / data_io.py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assess_comprehensive</w:t>
            </w:r>
          </w:p>
        </w:tc>
        <w:tc>
          <w:tcPr>
            <w:tcW w:type="dxa" w:w="4608"/>
          </w:tcPr>
          <w:p>
            <w:r/>
            <w:r>
              <w:rPr>
                <w:rFonts w:ascii="宋体" w:hAnsi="宋体" w:eastAsia="宋体"/>
                <w:sz w:val="20"/>
              </w:rPr>
              <w:t>仅人工分类时综合推导疗效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data_io.py（导入）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build_confirmation</w:t>
            </w:r>
          </w:p>
        </w:tc>
        <w:tc>
          <w:tcPr>
            <w:tcW w:type="dxa" w:w="4608"/>
          </w:tcPr>
          <w:p>
            <w:r/>
            <w:r>
              <w:rPr>
                <w:rFonts w:ascii="宋体" w:hAnsi="宋体" w:eastAsia="宋体"/>
                <w:sz w:val="20"/>
              </w:rPr>
              <w:t>按时间线计算 §6.3 确认上下文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assessments.py / data_io.py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20"/>
              </w:rPr>
              <w:t>get_algorithm_summary</w:t>
            </w:r>
          </w:p>
        </w:tc>
        <w:tc>
          <w:tcPr>
            <w:tcW w:type="dxa" w:w="4608"/>
          </w:tcPr>
          <w:p>
            <w:r/>
            <w:r>
              <w:rPr>
                <w:rFonts w:ascii="宋体" w:hAnsi="宋体" w:eastAsia="宋体"/>
                <w:sz w:val="20"/>
              </w:rPr>
              <w:t>返回结构化算法说明（前端展示/报告 Tooltip）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GET /api/assessments/algorithm</w:t>
            </w:r>
          </w:p>
        </w:tc>
      </w:tr>
    </w:tbl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十五、三个极易出错的细节</w:t>
      </w:r>
    </w:p>
    <w:p>
      <w:pPr>
        <w:pStyle w:val="ListNumber"/>
      </w:pPr>
      <w:r>
        <w:rPr>
          <w:rFonts w:ascii="宋体" w:hAnsi="宋体" w:eastAsia="宋体"/>
          <w:sz w:val="22"/>
        </w:rPr>
        <w:t>PD 参照是 Nadir 而非基线。例：基线100→最低50→复查60：相对最低值 +20%（+10mm≥5）→ 判 PD；若回升到 58（+16% &lt; 20%）则仍 SD。</w:t>
      </w:r>
    </w:p>
    <w:p>
      <w:pPr>
        <w:pStyle w:val="ListNumber"/>
      </w:pPr>
      <w:r>
        <w:rPr>
          <w:rFonts w:ascii="宋体" w:hAnsi="宋体" w:eastAsia="宋体"/>
          <w:sz w:val="22"/>
        </w:rPr>
        <w:t>PD 双条件缺一不可：既需相对 +20%，又需绝对 +5 mm。小病灶的微小波动不应误判为进展。</w:t>
      </w:r>
    </w:p>
    <w:p>
      <w:pPr>
        <w:pStyle w:val="ListNumber"/>
      </w:pPr>
      <w:r>
        <w:rPr>
          <w:rFonts w:ascii="宋体" w:hAnsi="宋体" w:eastAsia="宋体"/>
          <w:sz w:val="22"/>
        </w:rPr>
        <w:t>新病灶 = PD，无论大小、部位、发现方式（含 FDG-PET）。</w:t>
      </w:r>
    </w:p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十六、术语表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全称 / 含义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SLD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Sum of Longest Diameters，靶病灶最长径之和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Baseline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筛选期（基线）测量结果，后续比较基准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Nadir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研究期间出现的最低 SLD（含基线），PD 判定参照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Target Lesion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可测量病灶（通常每器官≤2个，总计≤5个）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Non-Target Lesion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不可测量病灶（胸水、骨转移、淋巴管播散等）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New Lesion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治疗中新出现的任何病灶，出现即判 PD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20"/>
              </w:rPr>
              <w:t>Unequivocal</w:t>
            </w:r>
          </w:p>
        </w:tc>
        <w:tc>
          <w:tcPr>
            <w:tcW w:type="dxa" w:w="7200"/>
          </w:tcPr>
          <w:p>
            <w:r/>
            <w:r>
              <w:rPr>
                <w:rFonts w:ascii="宋体" w:hAnsi="宋体" w:eastAsia="宋体"/>
                <w:sz w:val="20"/>
              </w:rPr>
              <w:t>非靶病灶的「明确」进展；轻微增大不构成 PD</w:t>
            </w:r>
          </w:p>
        </w:tc>
      </w:tr>
    </w:tbl>
    <w:p>
      <w:pPr>
        <w:pStyle w:val="Heading1"/>
      </w:pPr>
      <w:r>
        <w:rPr>
          <w:rFonts w:ascii="宋体" w:hAnsi="宋体" w:eastAsia="宋体"/>
          <w:b/>
          <w:color w:val="1F3864"/>
          <w:sz w:val="32"/>
        </w:rPr>
        <w:t>十七、判定示例</w:t>
      </w:r>
    </w:p>
    <w:p>
      <w:r>
        <w:rPr>
          <w:rFonts w:ascii="宋体" w:hAnsi="宋体" w:eastAsia="宋体"/>
          <w:b w:val="0"/>
          <w:sz w:val="22"/>
        </w:rPr>
        <w:t>示例 A（PR）：基线 SLD = 100 mm，当前 SLD = 60 mm。(100−60)/100 = 40% ≥ 30% → PR。</w:t>
      </w:r>
    </w:p>
    <w:p>
      <w:r>
        <w:rPr>
          <w:rFonts w:ascii="宋体" w:hAnsi="宋体" w:eastAsia="宋体"/>
          <w:b w:val="0"/>
          <w:sz w:val="22"/>
        </w:rPr>
        <w:t>示例 B（PD，Nadir 参照）：基线 100 → 最低 50 → 复查 60。(60−50)/50 = 20% 且 60−50 = 10 mm ≥ 5 mm → PD。</w:t>
      </w:r>
    </w:p>
    <w:p>
      <w:r>
        <w:rPr>
          <w:rFonts w:ascii="宋体" w:hAnsi="宋体" w:eastAsia="宋体"/>
          <w:b w:val="0"/>
          <w:sz w:val="22"/>
        </w:rPr>
        <w:t>示例 C（新病灶一票否决）：靶病灶 SLD 下降 40%，但本次发现一处新病灶 → 整体 PD。</w:t>
      </w:r>
    </w:p>
    <w:p>
      <w:r>
        <w:rPr>
          <w:rFonts w:ascii="宋体" w:hAnsi="宋体" w:eastAsia="宋体"/>
          <w:b w:val="0"/>
          <w:sz w:val="22"/>
        </w:rPr>
        <w:t>示例 D（非靶 Non-CR/Non-PD）：靶病灶 CR，但存在持续的非靶病灶且无明确进展 → 整体 PR。</w:t>
      </w:r>
    </w:p>
    <w:p>
      <w:r>
        <w:rPr>
          <w:rFonts w:ascii="宋体" w:hAnsi="宋体" w:eastAsia="宋体"/>
          <w:b w:val="0"/>
          <w:sz w:val="22"/>
        </w:rPr>
      </w:r>
    </w:p>
    <w:p>
      <w:pPr>
        <w:jc w:val="center"/>
      </w:pPr>
      <w:r>
        <w:rPr>
          <w:rFonts w:ascii="宋体" w:hAnsi="宋体" w:eastAsia="宋体"/>
          <w:b w:val="0"/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