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多智能体项目交接与创新点分析</w:t>
      </w:r>
    </w:p>
    <w:p>
      <w:pPr/>
      <w:r>
        <w:rPr>
          <w:b/>
        </w:rPr>
        <w:t>项目：</w:t>
      </w:r>
      <w:r>
        <w:t xml:space="preserve"> HRL–MARL 多播服务功能树在线编排与重配置</w:t>
      </w:r>
    </w:p>
    <w:p>
      <w:pPr/>
      <w:r>
        <w:rPr>
          <w:b/>
        </w:rPr>
        <w:t>核对日期：</w:t>
      </w:r>
      <w:r>
        <w:t xml:space="preserve"> 2026-09-05　　</w:t>
      </w:r>
      <w:r>
        <w:rPr>
          <w:b/>
        </w:rPr>
        <w:t>用途：</w:t>
      </w:r>
      <w:r>
        <w:t xml:space="preserve"> 项目交接、导师讨论、创新点筛选</w:t>
      </w:r>
    </w:p>
    <w:p>
      <w:pPr/>
      <w:r>
        <w:rPr>
          <w:b/>
        </w:rPr>
        <w:t>项目根目录：</w:t>
      </w:r>
      <w:r>
        <w:t xml:space="preserve"> </w:t>
      </w:r>
      <w:r>
        <w:rPr>
          <w:rFonts w:ascii="Consolas" w:hAnsi="Consolas"/>
          <w:sz w:val="18"/>
        </w:rPr>
        <w:t>C:/​Users/​11353/​Desktop/​hrl_​marl_​reconfig_​starter</w:t>
      </w:r>
    </w:p>
    <w:p>
      <w:pPr/>
      <w:r>
        <w:t>本报告依据当前代码、配置、保存的实验报告及本次有限自检编写。历史结果均注明范围，不等于本次重新训练或重跑。创新方向是待检索、待实验证明的研究假设；本次没有开展新的系统文献查新，不能据此宣称“首次提出”。文中的 [E编号] 对应末尾证据索引。</w:t>
      </w:r>
    </w:p>
    <w:p>
      <w:pPr>
        <w:pStyle w:val="Heading1"/>
      </w:pPr>
      <w:r>
        <w:t>1. 项目现状与选题判断</w:t>
      </w:r>
    </w:p>
    <w:p>
      <w:pPr/>
      <w:r>
        <w:rPr>
          <w:b/>
        </w:rPr>
        <w:t>项目已经有较完整的研究平台，但尚未形成“学习算法在公平比较下稳定优于强基线”的证据闭环。</w:t>
      </w:r>
      <w:r>
        <w:t xml:space="preserve"> 最有价值的现成基础包括：完整 SFT 候选生成、请求级联合调度、有向资源账本、状态版本检查、迁移事务，以及 Ryu/Mininet 执行和探针接口。下一步应围绕一个可被证伪的问题形成算法贡献，而不是继续增加模型名称。</w:t>
      </w:r>
    </w:p>
    <w:p>
      <w:pPr/>
      <w:r>
        <w:t>目前最值得优先研究的是：</w:t>
      </w:r>
      <w:r>
        <w:rPr>
          <w:b/>
        </w:rPr>
        <w:t>存在批内资源冲突时，如何让价值学习、联合可行性解码和实际执行保持一致，并在有限决策时间内获得超过强启发式的收益。</w:t>
      </w:r>
      <w:r>
        <w:t xml:space="preserve"> 这个问题可直接复用主代码链，且有明确的当前性能边界。若更偏向“重配置”论文，则优先研究</w:t>
      </w:r>
      <w:r>
        <w:rPr>
          <w:b/>
        </w:rPr>
        <w:t>剩余生命周期与预测不确定性约束下的迁移决策</w:t>
      </w:r>
      <w:r>
        <w:t>，但需先补齐动作影响未来状态的环境。[E03–E08]</w:t>
      </w:r>
    </w:p>
    <w:p>
      <w:pPr/>
      <w:r>
        <w:t>三个必须先明确的事实：</w:t>
      </w:r>
    </w:p>
    <w:p>
      <w:pPr>
        <w:pStyle w:val="ListBullet"/>
        <w:numPr>
          <w:ilvl w:val="0"/>
          <w:numId w:val="80"/>
        </w:numPr>
      </w:pPr>
      <w:r>
        <w:t>3097 条在线请求全部接受的保存结果中，</w:t>
      </w:r>
      <w:r>
        <w:rPr>
          <w:rFonts w:ascii="Consolas" w:hAnsi="Consolas"/>
          <w:sz w:val="18"/>
        </w:rPr>
        <w:t>wqmix_​checkpoint=null</w:t>
      </w:r>
      <w:r>
        <w:t xml:space="preserve">，实际排序器是 </w:t>
      </w:r>
      <w:r>
        <w:rPr>
          <w:rFonts w:ascii="Consolas" w:hAnsi="Consolas"/>
          <w:sz w:val="18"/>
        </w:rPr>
        <w:t>BatchedHRLPolicyRanker</w:t>
      </w:r>
      <w:r>
        <w:t>。这是批量 HRL 策略评分与账本准入结果，不是 WQMIX 优势证据。</w:t>
      </w:r>
    </w:p>
    <w:p>
      <w:pPr>
        <w:pStyle w:val="ListBullet"/>
        <w:numPr>
          <w:ilvl w:val="0"/>
          <w:numId w:val="80"/>
        </w:numPr>
      </w:pPr>
      <w:r>
        <w:t xml:space="preserve">五个测试 seed、500 条请求的保存比较中，WQMIX 和 </w:t>
      </w:r>
      <w:r>
        <w:rPr>
          <w:rFonts w:ascii="Consolas" w:hAnsi="Consolas"/>
          <w:sz w:val="18"/>
        </w:rPr>
        <w:t>joint_​greedy</w:t>
      </w:r>
      <w:r>
        <w:t xml:space="preserve"> 都接受 439 条。WQMIX 的决策 P95 约 1.56 ms，joint-greedy 约 0.34 ms；这组数据尚未体现额外学习成本带来的接受率收益。</w:t>
      </w:r>
    </w:p>
    <w:p>
      <w:pPr>
        <w:pStyle w:val="ListBullet"/>
        <w:numPr>
          <w:ilvl w:val="0"/>
          <w:numId w:val="80"/>
        </w:numPr>
      </w:pPr>
      <w:r>
        <w:t xml:space="preserve">中央大脑仍为 </w:t>
      </w:r>
      <w:r>
        <w:rPr>
          <w:rFonts w:ascii="Consolas" w:hAnsi="Consolas"/>
          <w:sz w:val="18"/>
        </w:rPr>
        <w:t>RuleBasedBrainAgent</w:t>
      </w:r>
      <w:r>
        <w:t>。部署、迁移、重路由角色及 Skill 协议已经实现，但“中央大脑经过训练”及“三角色共同端到端学习”尚未得到当前主链证据支持。[E01–E03]</w:t>
      </w:r>
    </w:p>
    <w:p>
      <w:pPr/>
      <w:r>
        <w:t>最近完成的 Germany50 五个 HRL 变体打包属于单请求 HRL 基线/消融交付。它与请求级 WQMIX 联合调度是不同实验层次，不能把那 30 组 HRL 实验直接当成多智能体协作实验。</w:t>
      </w:r>
    </w:p>
    <w:p>
      <w:pPr>
        <w:pStyle w:val="Heading1"/>
      </w:pPr>
      <w:r>
        <w:t>2. 研究任务与三种多智能体含义</w:t>
      </w:r>
    </w:p>
    <w:p>
      <w:pPr>
        <w:pStyle w:val="Heading2"/>
      </w:pPr>
      <w:r>
        <w:t>2.1 任务对象</w:t>
      </w:r>
    </w:p>
    <w:p>
      <w:pPr/>
      <w:r>
        <w:t>一个请求包含源节点、多个目的节点、按顺序处理的 VNF 序列、资源需求及生命周期。系统要生成完整服务功能树：从源经过有序 VNF 阶段，再到达所有目的端；同时满足 CPU、内存和每条有向链路的带宽约束。部署后还需处理热点、SLA 风险、迁移和树重路由。</w:t>
      </w:r>
    </w:p>
    <w:p>
      <w:pPr/>
      <w:r>
        <w:t>成功不能只看“找到一条路”或“放置了 VNF”。完整映射、资源准入、真实执行、探针测得的 SLA 是四个不同层次。尤其要区分已启动请求中的条件 SLA 成功率与以全部到达请求为分母的端到端 SLA 成功率。[E09]</w:t>
      </w:r>
    </w:p>
    <w:p>
      <w:pPr>
        <w:pStyle w:val="Heading2"/>
      </w:pPr>
      <w:r>
        <w:t>2.2 不能混为一谈的三条算法线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00"/>
        <w:gridCol w:w="2500"/>
        <w:gridCol w:w="2630"/>
        <w:gridCol w:w="2630"/>
      </w:tblGrid>
      <w:tr>
        <w:trPr>
          <w:cantSplit/>
          <w:tblHeader/>
        </w:trPr>
        <w:tc>
          <w:tcPr>
            <w:tcW w:type="dxa" w:w="1600"/>
            <w:vAlign w:val="center"/>
            <w:shd w:fill="E8EEF5"/>
          </w:tcPr>
          <w:p>
            <w:pPr>
              <w:pStyle w:val="TableHeader"/>
            </w:pPr>
            <w:r>
              <w:t>算法线</w:t>
            </w:r>
          </w:p>
        </w:tc>
        <w:tc>
          <w:tcPr>
            <w:tcW w:type="dxa" w:w="2500"/>
            <w:vAlign w:val="center"/>
            <w:shd w:fill="E8EEF5"/>
          </w:tcPr>
          <w:p>
            <w:pPr>
              <w:pStyle w:val="TableHeader"/>
            </w:pPr>
            <w:r>
              <w:t>智能体是谁</w:t>
            </w:r>
          </w:p>
        </w:tc>
        <w:tc>
          <w:tcPr>
            <w:tcW w:type="dxa" w:w="2630"/>
            <w:vAlign w:val="center"/>
            <w:shd w:fill="E8EEF5"/>
          </w:tcPr>
          <w:p>
            <w:pPr>
              <w:pStyle w:val="TableHeader"/>
            </w:pPr>
            <w:r>
              <w:t>动作是什么</w:t>
            </w:r>
          </w:p>
        </w:tc>
        <w:tc>
          <w:tcPr>
            <w:tcW w:type="dxa" w:w="2630"/>
            <w:vAlign w:val="center"/>
            <w:shd w:fill="E8EEF5"/>
          </w:tcPr>
          <w:p>
            <w:pPr>
              <w:pStyle w:val="TableHeader"/>
            </w:pPr>
            <w:r>
              <w:t>当前定位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pStyle w:val="TableText"/>
            </w:pPr>
            <w:r>
              <w:t>早期 Role-MARL</w:t>
            </w:r>
          </w:p>
        </w:tc>
        <w:tc>
          <w:tcPr>
            <w:tcW w:type="dxa" w:w="2500"/>
            <w:vAlign w:val="center"/>
          </w:tcPr>
          <w:p>
            <w:pPr>
              <w:pStyle w:val="TableText"/>
            </w:pPr>
            <w:r>
              <w:t>SFT 选择、VNF 迁移、树重路由三个固定角色</w:t>
            </w:r>
          </w:p>
        </w:tc>
        <w:tc>
          <w:tcPr>
            <w:tcW w:type="dxa" w:w="2630"/>
            <w:vAlign w:val="center"/>
          </w:tcPr>
          <w:p>
            <w:pPr>
              <w:pStyle w:val="TableText"/>
            </w:pPr>
            <w:r>
              <w:t>选择目标 SFT、执行迁移/重路由候选或不动作</w:t>
            </w:r>
          </w:p>
        </w:tc>
        <w:tc>
          <w:tcPr>
            <w:tcW w:type="dxa" w:w="2630"/>
            <w:vAlign w:val="center"/>
          </w:tcPr>
          <w:p>
            <w:pPr>
              <w:pStyle w:val="TableText"/>
            </w:pPr>
            <w:r>
              <w:t>独立 DQN / QMIX 原型；默认配置仍为 independent_dqn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pStyle w:val="TableText"/>
            </w:pPr>
            <w:r>
              <w:t>请求级部署 WQMIX</w:t>
            </w:r>
          </w:p>
        </w:tc>
        <w:tc>
          <w:tcPr>
            <w:tcW w:type="dxa" w:w="2500"/>
            <w:vAlign w:val="center"/>
          </w:tcPr>
          <w:p>
            <w:pPr>
              <w:pStyle w:val="TableText"/>
            </w:pPr>
            <w:r>
              <w:t>同一微批中的每个待部署请求</w:t>
            </w:r>
          </w:p>
        </w:tc>
        <w:tc>
          <w:tcPr>
            <w:tcW w:type="dxa" w:w="2630"/>
            <w:vAlign w:val="center"/>
          </w:tcPr>
          <w:p>
            <w:pPr>
              <w:pStyle w:val="TableText"/>
            </w:pPr>
            <w:r>
              <w:t>选择一个完整候选或 reject</w:t>
            </w:r>
          </w:p>
        </w:tc>
        <w:tc>
          <w:tcPr>
            <w:tcW w:type="dxa" w:w="2630"/>
            <w:vAlign w:val="center"/>
          </w:tcPr>
          <w:p>
            <w:pPr>
              <w:pStyle w:val="TableText"/>
            </w:pPr>
            <w:r>
              <w:t>当前联合准入与调度主线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pStyle w:val="TableText"/>
            </w:pPr>
            <w:r>
              <w:t>中央大脑与专业角色</w:t>
            </w:r>
          </w:p>
        </w:tc>
        <w:tc>
          <w:tcPr>
            <w:tcW w:type="dxa" w:w="2500"/>
            <w:vAlign w:val="center"/>
          </w:tcPr>
          <w:p>
            <w:pPr>
              <w:pStyle w:val="TableText"/>
            </w:pPr>
            <w:r>
              <w:t>Brain + Deployment / Migration / Reroute</w:t>
            </w:r>
          </w:p>
        </w:tc>
        <w:tc>
          <w:tcPr>
            <w:tcW w:type="dxa" w:w="2630"/>
            <w:vAlign w:val="center"/>
          </w:tcPr>
          <w:p>
            <w:pPr>
              <w:pStyle w:val="TableText"/>
            </w:pPr>
            <w:r>
              <w:t>分派事件、调用 Skill、返回提案并仲裁执行</w:t>
            </w:r>
          </w:p>
        </w:tc>
        <w:tc>
          <w:tcPr>
            <w:tcW w:type="dxa" w:w="2630"/>
            <w:vAlign w:val="center"/>
          </w:tcPr>
          <w:p>
            <w:pPr>
              <w:pStyle w:val="TableText"/>
            </w:pPr>
            <w:r>
              <w:t>当前 Brain 为规则策略；角色接口不等于角色均已学得策略</w:t>
            </w:r>
          </w:p>
        </w:tc>
      </w:tr>
    </w:tbl>
    <w:p>
      <w:pPr>
        <w:spacing w:after="0"/>
      </w:pPr>
    </w:p>
    <w:p>
      <w:pPr/>
      <w:r>
        <w:t>迁移 WQMIX 另以“被选中的 VNF 迁移任务”为临时智能体，动作是完整目标 DC 方案或 no-migration。部署和迁移 checkpoint 类型不同，不可互换。物理节点不是上述请求级 WQMIX 的智能体，拓扑扩大不会自动把智能体数变成物理节点数。[E01、E06、E10]</w:t>
      </w:r>
    </w:p>
    <w:p>
      <w:pPr>
        <w:pStyle w:val="Heading2"/>
      </w:pPr>
      <w:r>
        <w:t>2.3 当前主链与实际运行边界</w:t>
      </w:r>
    </w:p>
    <w:p>
      <w:pPr>
        <w:pStyle w:val="CodeBlock"/>
        <w:keepLines/>
        <w:shd w:fill="F4F6F9"/>
      </w:pPr>
      <w:r>
        <w:rPr>
          <w:rFonts w:ascii="Consolas" w:hAnsi="Consolas"/>
          <w:sz w:val="18"/>
        </w:rPr>
        <w:t>请求到达 / 生命周期事件</w:t>
        <w:br/>
        <w:t xml:space="preserve">    → 规则中央大脑派发任务</w:t>
        <w:br/>
        <w:t xml:space="preserve">    → HRL rollout，或完整候选生成 + 批量 HRL 策略评分</w:t>
        <w:br/>
        <w:t xml:space="preserve">    → 可选 WQMIX 候选排序</w:t>
        <w:br/>
        <w:t xml:space="preserve">    → 有时间/候选预算的联合可行性解码</w:t>
        <w:br/>
        <w:t xml:space="preserve">    → 版本校验 + 原子资源提交</w:t>
        <w:br/>
        <w:t xml:space="preserve">    → 导出完整计划</w:t>
        <w:br/>
        <w:t xml:space="preserve">    → Ryu/Mininet 执行 + VNF Agent + UDP SLA 探针</w:t>
        <w:br/>
        <w:t xml:space="preserve">    → 可选迁移 / 重路由</w:t>
      </w:r>
    </w:p>
    <w:p>
      <w:pPr/>
      <w:r>
        <w:t>必须区分两种 HRL 路径：</w:t>
      </w:r>
      <w:r>
        <w:rPr>
          <w:rFonts w:ascii="Consolas" w:hAnsi="Consolas"/>
          <w:sz w:val="18"/>
        </w:rPr>
        <w:t>legacy</w:t>
      </w:r>
      <w:r>
        <w:t xml:space="preserve"> 模式执行有状态双层 rollout；</w:t>
      </w:r>
      <w:r>
        <w:rPr>
          <w:rFonts w:ascii="Consolas" w:hAnsi="Consolas"/>
          <w:sz w:val="18"/>
        </w:rPr>
        <w:t>batched-policy</w:t>
      </w:r>
      <w:r>
        <w:t xml:space="preserve"> 模式用已有编码器及高低层策略给纯函数生成的完整候选评分，保存结果明确写有 </w:t>
      </w:r>
      <w:r>
        <w:rPr>
          <w:rFonts w:ascii="Consolas" w:hAnsi="Consolas"/>
          <w:sz w:val="18"/>
        </w:rPr>
        <w:t>rollout_​vectorized=false</w:t>
      </w:r>
      <w:r>
        <w:t>。后者不能描述成已经把完整 HRL 环境交互向量化。</w:t>
      </w:r>
    </w:p>
    <w:p>
      <w:pPr/>
      <w:r>
        <w:rPr>
          <w:rFonts w:ascii="Consolas" w:hAnsi="Consolas"/>
          <w:sz w:val="18"/>
        </w:rPr>
        <w:t>run_​multiagent_​online.py</w:t>
      </w:r>
      <w:r>
        <w:t xml:space="preserve"> 已能串接规划层的候选、可选 WQMIX 与账本；它不包含数据面 SLA 测量。真实执行入口中的在线 HRL、在线 WQMIX、预生成计划仍有模式互斥关系。当前应表述为“规划层闭环已存在，数据面可阶段式接入”，不能笼统宣称所有环节已在同一进程端到端联训或在线串联。[E02、E09、E11]</w:t>
      </w:r>
    </w:p>
    <w:p>
      <w:pPr>
        <w:pStyle w:val="Heading1"/>
      </w:pPr>
      <w:r>
        <w:t>3. 关键实现与代码导航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550"/>
        <w:gridCol w:w="3650"/>
        <w:gridCol w:w="4160"/>
      </w:tblGrid>
      <w:tr>
        <w:trPr>
          <w:cantSplit/>
          <w:tblHeader/>
        </w:trPr>
        <w:tc>
          <w:tcPr>
            <w:tcW w:type="dxa" w:w="1550"/>
            <w:vAlign w:val="center"/>
            <w:shd w:fill="E8EEF5"/>
          </w:tcPr>
          <w:p>
            <w:pPr>
              <w:pStyle w:val="TableHeader"/>
            </w:pPr>
            <w:r>
              <w:t>组件</w:t>
            </w:r>
          </w:p>
        </w:tc>
        <w:tc>
          <w:tcPr>
            <w:tcW w:type="dxa" w:w="3650"/>
            <w:vAlign w:val="center"/>
            <w:shd w:fill="E8EEF5"/>
          </w:tcPr>
          <w:p>
            <w:pPr>
              <w:pStyle w:val="TableHeader"/>
            </w:pPr>
            <w:r>
              <w:t>关键文件</w:t>
            </w:r>
          </w:p>
        </w:tc>
        <w:tc>
          <w:tcPr>
            <w:tcW w:type="dxa" w:w="4160"/>
            <w:vAlign w:val="center"/>
            <w:shd w:fill="E8EEF5"/>
          </w:tcPr>
          <w:p>
            <w:pPr>
              <w:pStyle w:val="TableHeader"/>
            </w:pPr>
            <w:r>
              <w:t>已有能力与边界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pStyle w:val="TableText"/>
            </w:pPr>
            <w:r>
              <w:t>单请求 HRL</w:t>
            </w:r>
          </w:p>
        </w:tc>
        <w:tc>
          <w:tcPr>
            <w:tcW w:type="dxa" w:w="3650"/>
            <w:vAlign w:val="center"/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train_​tahrl.py</w:t>
            </w:r>
            <w:r>
              <w:t>；</w:t>
            </w:r>
            <w:r>
              <w:rPr>
                <w:rFonts w:ascii="Consolas" w:hAnsi="Consolas"/>
                <w:sz w:val="18"/>
              </w:rPr>
              <w:t>core/​hrl/​</w:t>
            </w:r>
            <w:r>
              <w:t>；</w:t>
            </w:r>
            <w:r>
              <w:rPr>
                <w:rFonts w:ascii="Consolas" w:hAnsi="Consolas"/>
                <w:sz w:val="18"/>
              </w:rPr>
              <w:t>core/​gnn/​</w:t>
            </w:r>
          </w:p>
        </w:tc>
        <w:tc>
          <w:tcPr>
            <w:tcW w:type="dxa" w:w="4160"/>
            <w:vAlign w:val="center"/>
          </w:tcPr>
          <w:p>
            <w:pPr>
              <w:pStyle w:val="TableText"/>
            </w:pPr>
            <w:r>
              <w:t>高低层策略、图编码、IL 与 RL；候选和动作 mask 是正确性重点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pStyle w:val="TableText"/>
            </w:pPr>
            <w:r>
              <w:t>HRL 环境</w:t>
            </w:r>
          </w:p>
        </w:tc>
        <w:tc>
          <w:tcPr>
            <w:tcW w:type="dxa" w:w="3650"/>
            <w:vAlign w:val="center"/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envs/​sfc_​env.py</w:t>
            </w:r>
            <w:r>
              <w:t>；</w:t>
            </w:r>
            <w:r>
              <w:rPr>
                <w:rFonts w:ascii="Consolas" w:hAnsi="Consolas"/>
                <w:sz w:val="18"/>
              </w:rPr>
              <w:t>envs/​modules/​HRL_​Coordinator.py</w:t>
            </w:r>
          </w:p>
        </w:tc>
        <w:tc>
          <w:tcPr>
            <w:tcW w:type="dxa" w:w="4160"/>
            <w:vAlign w:val="center"/>
          </w:tcPr>
          <w:p>
            <w:pPr>
              <w:pStyle w:val="TableText"/>
            </w:pPr>
            <w:r>
              <w:t>有向 SFT 语义、资源及生命周期；不是部署 MARL 账本的同一实例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pStyle w:val="TableText"/>
            </w:pPr>
            <w:r>
              <w:t>完整候选生成</w:t>
            </w:r>
          </w:p>
        </w:tc>
        <w:tc>
          <w:tcPr>
            <w:tcW w:type="dxa" w:w="3650"/>
            <w:vAlign w:val="center"/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core/​marl/​deployment_​topk.py</w:t>
            </w:r>
          </w:p>
        </w:tc>
        <w:tc>
          <w:tcPr>
            <w:tcW w:type="dxa" w:w="4160"/>
            <w:vAlign w:val="center"/>
          </w:tcPr>
          <w:p>
            <w:pPr>
              <w:pStyle w:val="TableText"/>
            </w:pPr>
            <w:r>
              <w:t>完整放置、分段路径、组播树、资源 footprint；候选生成质量决定上限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pStyle w:val="TableText"/>
            </w:pPr>
            <w:r>
              <w:t>批量策略与候选流水线</w:t>
            </w:r>
          </w:p>
        </w:tc>
        <w:tc>
          <w:tcPr>
            <w:tcW w:type="dxa" w:w="3650"/>
            <w:vAlign w:val="center"/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core/​hrl/​batched_​policy.py</w:t>
            </w:r>
            <w:r>
              <w:t>；</w:t>
            </w:r>
            <w:r>
              <w:rPr>
                <w:rFonts w:ascii="Consolas" w:hAnsi="Consolas"/>
                <w:sz w:val="18"/>
              </w:rPr>
              <w:t>core/​marl/​online_​parallel_​pipeline.py</w:t>
            </w:r>
          </w:p>
        </w:tc>
        <w:tc>
          <w:tcPr>
            <w:tcW w:type="dxa" w:w="4160"/>
            <w:vAlign w:val="center"/>
          </w:tcPr>
          <w:p>
            <w:pPr>
              <w:pStyle w:val="TableText"/>
            </w:pPr>
            <w:r>
              <w:t>批量评分、工作线程、同快照候选、有限重试；不能据线程数宣称推理并行收益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pStyle w:val="TableText"/>
            </w:pPr>
            <w:r>
              <w:t>请求级 WQMIX</w:t>
            </w:r>
          </w:p>
        </w:tc>
        <w:tc>
          <w:tcPr>
            <w:tcW w:type="dxa" w:w="3650"/>
            <w:vAlign w:val="center"/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core/​marl/​batch_​deployment_​wqmix.py</w:t>
            </w:r>
          </w:p>
        </w:tc>
        <w:tc>
          <w:tcPr>
            <w:tcW w:type="dxa" w:w="4160"/>
            <w:vAlign w:val="center"/>
          </w:tcPr>
          <w:p>
            <w:pPr>
              <w:pStyle w:val="TableText"/>
            </w:pPr>
            <w:r>
              <w:t>共享候选 Q 网络、mask、单调 mixer、乐观加权 TD、可选模仿损失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pStyle w:val="TableText"/>
            </w:pPr>
            <w:r>
              <w:t>联合解码</w:t>
            </w:r>
          </w:p>
        </w:tc>
        <w:tc>
          <w:tcPr>
            <w:tcW w:type="dxa" w:w="3650"/>
            <w:vAlign w:val="center"/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core/​marl/​joint_​candidate_​decoder.py</w:t>
            </w:r>
          </w:p>
        </w:tc>
        <w:tc>
          <w:tcPr>
            <w:tcW w:type="dxa" w:w="4160"/>
            <w:vAlign w:val="center"/>
          </w:tcPr>
          <w:p>
            <w:pPr>
              <w:pStyle w:val="TableText"/>
            </w:pPr>
            <w:r>
              <w:t>候选集合内的有界搜索/修复，接受数优先，Q 分数次之；非全局最优保证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pStyle w:val="TableText"/>
            </w:pPr>
            <w:r>
              <w:t>原子提交</w:t>
            </w:r>
          </w:p>
        </w:tc>
        <w:tc>
          <w:tcPr>
            <w:tcW w:type="dxa" w:w="3650"/>
            <w:vAlign w:val="center"/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core/​marl/​joint_​candidate_​transaction.py</w:t>
            </w:r>
            <w:r>
              <w:t>；</w:t>
            </w:r>
            <w:r>
              <w:rPr>
                <w:rFonts w:ascii="Consolas" w:hAnsi="Consolas"/>
                <w:sz w:val="18"/>
              </w:rPr>
              <w:t>AtomicResourceLedger</w:t>
            </w:r>
          </w:p>
        </w:tc>
        <w:tc>
          <w:tcPr>
            <w:tcW w:type="dxa" w:w="4160"/>
            <w:vAlign w:val="center"/>
          </w:tcPr>
          <w:p>
            <w:pPr>
              <w:pStyle w:val="TableText"/>
            </w:pPr>
            <w:r>
              <w:t>快照版本检查、联合提交、实例复用、释放及 replacement 准备/回滚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pStyle w:val="TableText"/>
            </w:pPr>
            <w:r>
              <w:t>动态部署环境</w:t>
            </w:r>
          </w:p>
        </w:tc>
        <w:tc>
          <w:tcPr>
            <w:tcW w:type="dxa" w:w="3650"/>
            <w:vAlign w:val="center"/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core/​marl/​deployment_​env.py</w:t>
            </w:r>
          </w:p>
        </w:tc>
        <w:tc>
          <w:tcPr>
            <w:tcW w:type="dxa" w:w="4160"/>
            <w:vAlign w:val="center"/>
          </w:tcPr>
          <w:p>
            <w:pPr>
              <w:pStyle w:val="TableText"/>
            </w:pPr>
            <w:r>
              <w:t>动作改变账本，下一微批据更新状态重建候选；训练执行共用解码提交接口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pStyle w:val="TableText"/>
            </w:pPr>
            <w:r>
              <w:t>角色编排</w:t>
            </w:r>
          </w:p>
        </w:tc>
        <w:tc>
          <w:tcPr>
            <w:tcW w:type="dxa" w:w="3650"/>
            <w:vAlign w:val="center"/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core/​marl/​orchestration/​</w:t>
            </w:r>
          </w:p>
        </w:tc>
        <w:tc>
          <w:tcPr>
            <w:tcW w:type="dxa" w:w="4160"/>
            <w:vAlign w:val="center"/>
          </w:tcPr>
          <w:p>
            <w:pPr>
              <w:pStyle w:val="TableText"/>
            </w:pPr>
            <w:r>
              <w:t>协议、Brain、Skill 权限和提案；无执行器时明确 PLANNED_ONLY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pStyle w:val="TableText"/>
            </w:pPr>
            <w:r>
              <w:t>迁移学习与触发</w:t>
            </w:r>
          </w:p>
        </w:tc>
        <w:tc>
          <w:tcPr>
            <w:tcW w:type="dxa" w:w="3650"/>
            <w:vAlign w:val="center"/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envs/​migration_​wqmix_​env.py</w:t>
            </w:r>
            <w:r>
              <w:t>；</w:t>
            </w:r>
            <w:r>
              <w:rPr>
                <w:rFonts w:ascii="Consolas" w:hAnsi="Consolas"/>
                <w:sz w:val="18"/>
              </w:rPr>
              <w:t>core/​marl/​migration_​*</w:t>
            </w:r>
            <w:r>
              <w:t>；</w:t>
            </w:r>
            <w:r>
              <w:rPr>
                <w:rFonts w:ascii="Consolas" w:hAnsi="Consolas"/>
                <w:sz w:val="18"/>
              </w:rPr>
              <w:t>sdn/​migration_​monitor.py</w:t>
            </w:r>
          </w:p>
        </w:tc>
        <w:tc>
          <w:tcPr>
            <w:tcW w:type="dxa" w:w="4160"/>
            <w:vAlign w:val="center"/>
          </w:tcPr>
          <w:p>
            <w:pPr>
              <w:pStyle w:val="TableText"/>
            </w:pPr>
            <w:r>
              <w:t>候选、趋势筛选、冷却和生命周期门控；离线环境仍按记录向后读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pStyle w:val="TableText"/>
            </w:pPr>
            <w:r>
              <w:t>实际网络执行</w:t>
            </w:r>
          </w:p>
        </w:tc>
        <w:tc>
          <w:tcPr>
            <w:tcW w:type="dxa" w:w="3650"/>
            <w:vAlign w:val="center"/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sdn/​</w:t>
            </w:r>
            <w:r>
              <w:t>；</w:t>
            </w:r>
            <w:r>
              <w:rPr>
                <w:rFonts w:ascii="Consolas" w:hAnsi="Consolas"/>
                <w:sz w:val="18"/>
              </w:rPr>
              <w:t>scripts/​run_​sdn_​runtime_​requests.py</w:t>
            </w:r>
          </w:p>
        </w:tc>
        <w:tc>
          <w:tcPr>
            <w:tcW w:type="dxa" w:w="4160"/>
            <w:vAlign w:val="center"/>
          </w:tcPr>
          <w:p>
            <w:pPr>
              <w:pStyle w:val="TableText"/>
            </w:pPr>
            <w:r>
              <w:t>VNF、Ryu/OVS、UDP 探针、迁移 prepare/commit/abort；依赖 Linux/WSL 环境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pStyle w:val="TableText"/>
            </w:pPr>
            <w:r>
              <w:t>Telecom Italia 实验</w:t>
            </w:r>
          </w:p>
        </w:tc>
        <w:tc>
          <w:tcPr>
            <w:tcW w:type="dxa" w:w="3650"/>
            <w:vAlign w:val="center"/>
          </w:tcPr>
          <w:p>
            <w:pPr>
              <w:pStyle w:val="TableText"/>
            </w:pPr>
            <w:r>
              <w:rPr>
                <w:rFonts w:ascii="Consolas" w:hAnsi="Consolas"/>
                <w:sz w:val="18"/>
              </w:rPr>
              <w:t>experiments/​telecom_​italia_​migration/​</w:t>
            </w:r>
          </w:p>
        </w:tc>
        <w:tc>
          <w:tcPr>
            <w:tcW w:type="dxa" w:w="4160"/>
            <w:vAlign w:val="center"/>
          </w:tcPr>
          <w:p>
            <w:pPr>
              <w:pStyle w:val="TableText"/>
            </w:pPr>
            <w:r>
              <w:t>真实活动曲线驱动的独立仿真支线；规则策略，非已训练 MARL</w:t>
            </w:r>
          </w:p>
        </w:tc>
      </w:tr>
    </w:tbl>
    <w:p>
      <w:pPr>
        <w:spacing w:after="0"/>
      </w:pPr>
    </w:p>
    <w:p>
      <w:pPr>
        <w:pStyle w:val="Heading2"/>
      </w:pPr>
      <w:r>
        <w:t>3.1 WQMIX 实际做了什么</w:t>
      </w:r>
    </w:p>
    <w:p>
      <w:pPr/>
      <w:r>
        <w:t xml:space="preserve">请求 Q 网络输出每个候选的偏好，mixer 在集中训练时估计联合价值。当前 </w:t>
      </w:r>
      <w:r>
        <w:rPr>
          <w:rFonts w:ascii="Consolas" w:hAnsi="Consolas"/>
          <w:sz w:val="18"/>
        </w:rPr>
        <w:t>WeightedQMIXLearner</w:t>
      </w:r>
      <w:r>
        <w:t xml:space="preserve"> 在联合 Q 低估 TD target 时使用权重 1，其余样本使用 alpha；损失为加权 Smooth-L1，可叠加 teacher action 的交叉熵。宜称为 OW-QMIX 风格实现，不应未经对照就声称完全复现了原论文全部机制。</w:t>
      </w:r>
    </w:p>
    <w:p>
      <w:pPr/>
      <w:r>
        <w:t xml:space="preserve">在线执行不直接接受各请求 argmax 的组合，而是再经联合解码器。单请求 action mask 只能证明候选各自可行，不能保证多个候选合起来不争抢同一资源。真正的硬约束由联合解码和 </w:t>
      </w:r>
      <w:r>
        <w:rPr>
          <w:rFonts w:ascii="Consolas" w:hAnsi="Consolas"/>
          <w:sz w:val="18"/>
        </w:rPr>
        <w:t>commit_​exact</w:t>
      </w:r>
      <w:r>
        <w:t xml:space="preserve"> 兜底。[E04、E05]</w:t>
      </w:r>
    </w:p>
    <w:p>
      <w:pPr>
        <w:pStyle w:val="Heading2"/>
      </w:pPr>
      <w:r>
        <w:t>3.2 资源账本中的研究价值</w:t>
      </w:r>
    </w:p>
    <w:p>
      <w:pPr/>
      <w:r>
        <w:t xml:space="preserve">账本按有向边计费；同一 </w:t>
      </w:r>
      <w:r>
        <w:rPr>
          <w:rFonts w:ascii="Consolas" w:hAnsi="Consolas"/>
          <w:sz w:val="18"/>
        </w:rPr>
        <w:t>(node, vnf_​type)</w:t>
      </w:r>
      <w:r>
        <w:t xml:space="preserve"> 的活跃实例可以共享 CPU/MEM。共享实例意味着多个请求的资源代价不能简单相加。联合提交还检查 snapshot version，过期方案应重新解码，不能部分写入。迁移先准备新路径/实例、维持新旧状态重叠，再切换并释放旧资源，因此迁移可行性比“最终状态能放下”更严格。</w:t>
      </w:r>
    </w:p>
    <w:p>
      <w:pPr/>
      <w:r>
        <w:t>这些是有价值的工程及建模基础，但“用了原子事务、mask 或 make-before-break”本身不自动构成算法创新。需要提出可量化的机制，例如冲突结构如何进入价值估计、重叠预留如何影响长期迁移收益。[E04–E07]</w:t>
      </w:r>
    </w:p>
    <w:p>
      <w:pPr>
        <w:pStyle w:val="Heading1"/>
      </w:pPr>
      <w:r>
        <w:t>4. 实验与数据：什么可以相信，什么仍欠缺</w:t>
      </w:r>
    </w:p>
    <w:p>
      <w:pPr>
        <w:pStyle w:val="Heading2"/>
      </w:pPr>
      <w:r>
        <w:t>4.1 已保存结果的核对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00"/>
        <w:gridCol w:w="2500"/>
        <w:gridCol w:w="2630"/>
        <w:gridCol w:w="2630"/>
      </w:tblGrid>
      <w:tr>
        <w:trPr>
          <w:cantSplit/>
          <w:tblHeader/>
        </w:trPr>
        <w:tc>
          <w:tcPr>
            <w:tcW w:type="dxa" w:w="1600"/>
            <w:vAlign w:val="center"/>
            <w:shd w:fill="E8EEF5"/>
          </w:tcPr>
          <w:p>
            <w:pPr>
              <w:pStyle w:val="TableHeader"/>
            </w:pPr>
            <w:r>
              <w:t>证据</w:t>
            </w:r>
          </w:p>
        </w:tc>
        <w:tc>
          <w:tcPr>
            <w:tcW w:type="dxa" w:w="2500"/>
            <w:vAlign w:val="center"/>
            <w:shd w:fill="E8EEF5"/>
          </w:tcPr>
          <w:p>
            <w:pPr>
              <w:pStyle w:val="TableHeader"/>
            </w:pPr>
            <w:r>
              <w:t>核对到的结果</w:t>
            </w:r>
          </w:p>
        </w:tc>
        <w:tc>
          <w:tcPr>
            <w:tcW w:type="dxa" w:w="2630"/>
            <w:vAlign w:val="center"/>
            <w:shd w:fill="E8EEF5"/>
          </w:tcPr>
          <w:p>
            <w:pPr>
              <w:pStyle w:val="TableHeader"/>
            </w:pPr>
            <w:r>
              <w:t>可以支持</w:t>
            </w:r>
          </w:p>
        </w:tc>
        <w:tc>
          <w:tcPr>
            <w:tcW w:type="dxa" w:w="2630"/>
            <w:vAlign w:val="center"/>
            <w:shd w:fill="E8EEF5"/>
          </w:tcPr>
          <w:p>
            <w:pPr>
              <w:pStyle w:val="TableHeader"/>
            </w:pPr>
            <w:r>
              <w:t>不能支持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pStyle w:val="TableText"/>
            </w:pPr>
            <w:r>
              <w:t>3097 请求规划报告</w:t>
            </w:r>
          </w:p>
        </w:tc>
        <w:tc>
          <w:tcPr>
            <w:tcW w:type="dxa" w:w="2500"/>
            <w:vAlign w:val="center"/>
          </w:tcPr>
          <w:p>
            <w:pPr>
              <w:pStyle w:val="TableText"/>
            </w:pPr>
            <w:r>
              <w:t>3097/3097 接受；2965 微批；52.55 s；批次 P95 24.80 ms；最终账本分配为 0</w:t>
            </w:r>
          </w:p>
        </w:tc>
        <w:tc>
          <w:tcPr>
            <w:tcW w:type="dxa" w:w="2630"/>
            <w:vAlign w:val="center"/>
          </w:tcPr>
          <w:p>
            <w:pPr>
              <w:pStyle w:val="TableText"/>
            </w:pPr>
            <w:r>
              <w:t>单 trace 的批量评分、候选与生命周期准入路径可运行</w:t>
            </w:r>
          </w:p>
        </w:tc>
        <w:tc>
          <w:tcPr>
            <w:tcW w:type="dxa" w:w="2630"/>
            <w:vAlign w:val="center"/>
          </w:tcPr>
          <w:p>
            <w:pPr>
              <w:pStyle w:val="TableText"/>
            </w:pPr>
            <w:r>
              <w:t>WQMIX 优于基线、真实 SLA、跨 seed 泛化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pStyle w:val="TableText"/>
            </w:pPr>
            <w:r>
              <w:t>100 请求规划报告</w:t>
            </w:r>
          </w:p>
        </w:tc>
        <w:tc>
          <w:tcPr>
            <w:tcW w:type="dxa" w:w="2500"/>
            <w:vAlign w:val="center"/>
          </w:tcPr>
          <w:p>
            <w:pPr>
              <w:pStyle w:val="TableText"/>
            </w:pPr>
            <w:r>
              <w:t>100/100；95 微批；2.14 s；P95 34.31 ms</w:t>
            </w:r>
          </w:p>
        </w:tc>
        <w:tc>
          <w:tcPr>
            <w:tcW w:type="dxa" w:w="2630"/>
            <w:vAlign w:val="center"/>
          </w:tcPr>
          <w:p>
            <w:pPr>
              <w:pStyle w:val="TableText"/>
            </w:pPr>
            <w:r>
              <w:t>小样本规划性能参考</w:t>
            </w:r>
          </w:p>
        </w:tc>
        <w:tc>
          <w:tcPr>
            <w:tcW w:type="dxa" w:w="2630"/>
            <w:vAlign w:val="center"/>
          </w:tcPr>
          <w:p>
            <w:pPr>
              <w:pStyle w:val="TableText"/>
            </w:pPr>
            <w:r>
              <w:t>全量并发与数据面性能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pStyle w:val="TableText"/>
            </w:pPr>
            <w:r>
              <w:t>HRL mask-fix 导出</w:t>
            </w:r>
          </w:p>
        </w:tc>
        <w:tc>
          <w:tcPr>
            <w:tcW w:type="dxa" w:w="2500"/>
            <w:vAlign w:val="center"/>
          </w:tcPr>
          <w:p>
            <w:pPr>
              <w:pStyle w:val="TableText"/>
            </w:pPr>
            <w:r>
              <w:t>100 条计划全部被报告为接受，含 checkpoint/trace/profile 哈希</w:t>
            </w:r>
          </w:p>
        </w:tc>
        <w:tc>
          <w:tcPr>
            <w:tcW w:type="dxa" w:w="2630"/>
            <w:vAlign w:val="center"/>
          </w:tcPr>
          <w:p>
            <w:pPr>
              <w:pStyle w:val="TableText"/>
            </w:pPr>
            <w:r>
              <w:t>比旧文档更新的合法计划导出参考</w:t>
            </w:r>
          </w:p>
        </w:tc>
        <w:tc>
          <w:tcPr>
            <w:tcW w:type="dxa" w:w="2630"/>
            <w:vAlign w:val="center"/>
          </w:tcPr>
          <w:p>
            <w:pPr>
              <w:pStyle w:val="TableText"/>
            </w:pPr>
            <w:r>
              <w:t>所有旧 HRL 权重问题已解决、各拓扑均收敛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pStyle w:val="TableText"/>
            </w:pPr>
            <w:r>
              <w:t>部署五 seed 比较</w:t>
            </w:r>
          </w:p>
        </w:tc>
        <w:tc>
          <w:tcPr>
            <w:tcW w:type="dxa" w:w="2500"/>
            <w:vAlign w:val="center"/>
          </w:tcPr>
          <w:p>
            <w:pPr>
              <w:pStyle w:val="TableText"/>
            </w:pPr>
            <w:r>
              <w:t>500 请求，WQMIX 与 joint-greedy 均接受 439</w:t>
            </w:r>
          </w:p>
        </w:tc>
        <w:tc>
          <w:tcPr>
            <w:tcW w:type="dxa" w:w="2630"/>
            <w:vAlign w:val="center"/>
          </w:tcPr>
          <w:p>
            <w:pPr>
              <w:pStyle w:val="TableText"/>
            </w:pPr>
            <w:r>
              <w:t>当前候选域与测试条件下，两者接受率相同</w:t>
            </w:r>
          </w:p>
        </w:tc>
        <w:tc>
          <w:tcPr>
            <w:tcW w:type="dxa" w:w="2630"/>
            <w:vAlign w:val="center"/>
          </w:tcPr>
          <w:p>
            <w:pPr>
              <w:pStyle w:val="TableText"/>
            </w:pPr>
            <w:r>
              <w:t>WQMIX 已优于强启发式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pStyle w:val="TableText"/>
            </w:pPr>
            <w:r>
              <w:t>迁移 fixture</w:t>
            </w:r>
          </w:p>
        </w:tc>
        <w:tc>
          <w:tcPr>
            <w:tcW w:type="dxa" w:w="2500"/>
            <w:vAlign w:val="center"/>
          </w:tcPr>
          <w:p>
            <w:pPr>
              <w:pStyle w:val="TableText"/>
            </w:pPr>
            <w:r>
              <w:t>12 条记录；100 条基础计划；本次检查 464 个回放候选无结构错误</w:t>
            </w:r>
          </w:p>
        </w:tc>
        <w:tc>
          <w:tcPr>
            <w:tcW w:type="dxa" w:w="2630"/>
            <w:vAlign w:val="center"/>
          </w:tcPr>
          <w:p>
            <w:pPr>
              <w:pStyle w:val="TableText"/>
            </w:pPr>
            <w:r>
              <w:t>接口、候选物化、mask、事务与监测检查</w:t>
            </w:r>
          </w:p>
        </w:tc>
        <w:tc>
          <w:tcPr>
            <w:tcW w:type="dxa" w:w="2630"/>
            <w:vAlign w:val="center"/>
          </w:tcPr>
          <w:p>
            <w:pPr>
              <w:pStyle w:val="TableText"/>
            </w:pPr>
            <w:r>
              <w:t>在线长期迁移收益或实测中断改善</w:t>
            </w:r>
          </w:p>
        </w:tc>
      </w:tr>
    </w:tbl>
    <w:p>
      <w:pPr>
        <w:spacing w:after="0"/>
      </w:pPr>
    </w:p>
    <w:p>
      <w:pPr/>
      <w:r>
        <w:t>前四行是读取历史产物，不是本次重跑；迁移行包括本次自检输出。[E02、E03、E12、E13]</w:t>
      </w:r>
    </w:p>
    <w:p>
      <w:pPr/>
      <w:r>
        <w:t xml:space="preserve">3097 请求报告中的平均微批大小为 </w:t>
      </w:r>
      <w:r>
        <w:rPr>
          <w:b/>
        </w:rPr>
        <w:t>3097/2965 ≈ 1.045</w:t>
      </w:r>
      <w:r>
        <w:t xml:space="preserve">。因此“max_agents=32”只是容量上限，实际大多是单请求批。若到达近似泊松，首个请求触发固定窗口时，未触及上限的期望批大小约为 </w:t>
      </w:r>
      <w:r>
        <w:rPr>
          <w:rFonts w:ascii="Consolas" w:hAnsi="Consolas"/>
          <w:sz w:val="18"/>
        </w:rPr>
        <w:t>1 + λΔ</w:t>
      </w:r>
      <w:r>
        <w:t>；总到达率 8 req/s、窗口 5 ms 时约 1.04，与该结果相符。这个场景本来就很难证明多请求协作的优势。</w:t>
      </w:r>
    </w:p>
    <w:p>
      <w:pPr/>
      <w:r>
        <w:t>保存的 58.94 req/s 是规划回放的总请求数除以该次规划耗时，不等于系统在真实网络、给定到达率和严格截止时间下可持续承载的吞吐。批次耗时也不能替代包含等待、注册、流表下发和探针的端到端时延。</w:t>
      </w:r>
    </w:p>
    <w:p>
      <w:pPr>
        <w:pStyle w:val="Heading2"/>
      </w:pPr>
      <w:r>
        <w:t>4.2 五 seed 部署比较的关键数值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00"/>
        <w:gridCol w:w="1900"/>
        <w:gridCol w:w="1700"/>
        <w:gridCol w:w="2760"/>
      </w:tblGrid>
      <w:tr>
        <w:trPr>
          <w:cantSplit/>
          <w:tblHeader/>
        </w:trPr>
        <w:tc>
          <w:tcPr>
            <w:tcW w:type="dxa" w:w="3000"/>
            <w:vAlign w:val="center"/>
            <w:shd w:fill="E8EEF5"/>
          </w:tcPr>
          <w:p>
            <w:pPr>
              <w:pStyle w:val="TableHeader"/>
            </w:pPr>
            <w:r>
              <w:t>方法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pStyle w:val="TableHeader"/>
              <w:jc w:val="center"/>
            </w:pPr>
            <w:r>
              <w:t>接受请求/500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pStyle w:val="TableHeader"/>
              <w:jc w:val="center"/>
            </w:pPr>
            <w:r>
              <w:t>接受率</w:t>
            </w:r>
          </w:p>
        </w:tc>
        <w:tc>
          <w:tcPr>
            <w:tcW w:type="dxa" w:w="2760"/>
            <w:vAlign w:val="center"/>
            <w:shd w:fill="E8EEF5"/>
          </w:tcPr>
          <w:p>
            <w:pPr>
              <w:pStyle w:val="TableHeader"/>
              <w:jc w:val="center"/>
            </w:pPr>
            <w:r>
              <w:t>决策 P95（ms）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pStyle w:val="TableText"/>
            </w:pPr>
            <w:r>
              <w:t>independent_top1</w:t>
            </w:r>
          </w:p>
        </w:tc>
        <w:tc>
          <w:tcPr>
            <w:tcW w:type="dxa" w:w="1900"/>
            <w:vAlign w:val="center"/>
          </w:tcPr>
          <w:p>
            <w:pPr>
              <w:pStyle w:val="TableText"/>
              <w:jc w:val="center"/>
            </w:pPr>
            <w:r>
              <w:t>435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87.0%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  <w:jc w:val="center"/>
            </w:pPr>
            <w:r>
              <w:t>0.37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pStyle w:val="TableText"/>
            </w:pPr>
            <w:r>
              <w:t>random_feasible</w:t>
            </w:r>
          </w:p>
        </w:tc>
        <w:tc>
          <w:tcPr>
            <w:tcW w:type="dxa" w:w="1900"/>
            <w:vAlign w:val="center"/>
          </w:tcPr>
          <w:p>
            <w:pPr>
              <w:pStyle w:val="TableText"/>
              <w:jc w:val="center"/>
            </w:pPr>
            <w:r>
              <w:t>438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87.6%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  <w:jc w:val="center"/>
            </w:pPr>
            <w:r>
              <w:t>0.33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pStyle w:val="TableText"/>
            </w:pPr>
            <w:r>
              <w:t>objective_greedy</w:t>
            </w:r>
          </w:p>
        </w:tc>
        <w:tc>
          <w:tcPr>
            <w:tcW w:type="dxa" w:w="1900"/>
            <w:vAlign w:val="center"/>
          </w:tcPr>
          <w:p>
            <w:pPr>
              <w:pStyle w:val="TableText"/>
              <w:jc w:val="center"/>
            </w:pPr>
            <w:r>
              <w:t>438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87.6%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  <w:jc w:val="center"/>
            </w:pPr>
            <w:r>
              <w:t>0.35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pStyle w:val="TableText"/>
            </w:pPr>
            <w:r>
              <w:t>joint_greedy</w:t>
            </w:r>
          </w:p>
        </w:tc>
        <w:tc>
          <w:tcPr>
            <w:tcW w:type="dxa" w:w="1900"/>
            <w:vAlign w:val="center"/>
          </w:tcPr>
          <w:p>
            <w:pPr>
              <w:pStyle w:val="TableText"/>
              <w:jc w:val="center"/>
            </w:pPr>
            <w:r>
              <w:t>439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87.8%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  <w:jc w:val="center"/>
            </w:pPr>
            <w:r>
              <w:t>0.34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pStyle w:val="TableText"/>
            </w:pPr>
            <w:r>
              <w:t>WQMIX</w:t>
            </w:r>
          </w:p>
        </w:tc>
        <w:tc>
          <w:tcPr>
            <w:tcW w:type="dxa" w:w="1900"/>
            <w:vAlign w:val="center"/>
          </w:tcPr>
          <w:p>
            <w:pPr>
              <w:pStyle w:val="TableText"/>
              <w:jc w:val="center"/>
            </w:pPr>
            <w:r>
              <w:t>439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87.8%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  <w:jc w:val="center"/>
            </w:pPr>
            <w:r>
              <w:t>1.56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pStyle w:val="TableText"/>
            </w:pPr>
            <w:r>
              <w:t>MILP 标签回放</w:t>
            </w:r>
          </w:p>
        </w:tc>
        <w:tc>
          <w:tcPr>
            <w:tcW w:type="dxa" w:w="1900"/>
            <w:vAlign w:val="center"/>
          </w:tcPr>
          <w:p>
            <w:pPr>
              <w:pStyle w:val="TableText"/>
              <w:jc w:val="center"/>
            </w:pPr>
            <w:r>
              <w:t>439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>
              <w:t>87.8%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  <w:jc w:val="center"/>
            </w:pPr>
            <w:r>
              <w:t>不作为求解耗时比较</w:t>
            </w:r>
          </w:p>
        </w:tc>
      </w:tr>
    </w:tbl>
    <w:p>
      <w:pPr>
        <w:spacing w:after="0"/>
      </w:pPr>
    </w:p>
    <w:p>
      <w:pPr/>
      <w:r>
        <w:t>上述值为保存报告四舍五入后的数值。MILP 行是预计算标签读取，报告中的极小耗时不是 MILP 真实求解耗时；其最优性范围也受候选集合和问题建模限制。</w:t>
      </w:r>
      <w:r>
        <w:rPr>
          <w:rFonts w:ascii="Consolas" w:hAnsi="Consolas"/>
          <w:sz w:val="18"/>
        </w:rPr>
        <w:t>legacy_​hrl_​only</w:t>
      </w:r>
      <w:r>
        <w:t xml:space="preserve"> 在该报告中为 0，必须先核对数据是否含对应来源候选，不能把候选缺失算作 HRL 算法性能为零。[E03]</w:t>
      </w:r>
    </w:p>
    <w:p>
      <w:pPr>
        <w:pStyle w:val="Heading2"/>
      </w:pPr>
      <w:r>
        <w:t>4.3 数据清单与使用建议</w:t>
      </w:r>
    </w:p>
    <w:p>
      <w:pPr/>
      <w:r>
        <w:rPr>
          <w:b/>
        </w:rPr>
        <w:t>部署主数据：</w:t>
      </w:r>
      <w:r>
        <w:t xml:space="preserve"> </w:t>
      </w:r>
      <w:r>
        <w:rPr>
          <w:rFonts w:ascii="Consolas" w:hAnsi="Consolas"/>
          <w:sz w:val="18"/>
        </w:rPr>
        <w:t>data/​deployment_​v4_​tree_​bw_​rate24_​sla80</w:t>
      </w:r>
      <w:r>
        <w:t xml:space="preserve"> 声明训练 seed 7101–7110、验证 7201–7203、测试 7301–7305，集合不重叠；每 seed 前 100 条，5 ms 微批、Top-8。适合起步，但应补高冲突、较长生命周期、突发到达和跨拓扑测试。数据集里的 HRL 候选占比应单独统计，不能从文件夹名推断。[E14]</w:t>
      </w:r>
    </w:p>
    <w:p>
      <w:pPr/>
      <w:r>
        <w:rPr>
          <w:b/>
        </w:rPr>
        <w:t>迁移主数据：</w:t>
      </w:r>
      <w:r>
        <w:t xml:space="preserve"> </w:t>
      </w:r>
      <w:r>
        <w:rPr>
          <w:rFonts w:ascii="Consolas" w:hAnsi="Consolas"/>
          <w:sz w:val="18"/>
        </w:rPr>
        <w:t>migration_​wqmix_​v1_​seed7071_​train/​val/​test</w:t>
      </w:r>
      <w:r>
        <w:t xml:space="preserve"> 同源于一个历史运行报告并注入热点。改变热点注入 seed 不等于独立请求 trace，当前分割不足以证明泛化。</w:t>
      </w:r>
      <w:r>
        <w:rPr>
          <w:rFonts w:ascii="Consolas" w:hAnsi="Consolas"/>
          <w:sz w:val="18"/>
        </w:rPr>
        <w:t>migration_​wqmix_​smoke_​seed7071</w:t>
      </w:r>
      <w:r>
        <w:t xml:space="preserve"> 只用于自检。[E06、E13]</w:t>
      </w:r>
    </w:p>
    <w:p>
      <w:pPr/>
      <w:r>
        <w:rPr>
          <w:b/>
        </w:rPr>
        <w:t>真实活动数据：</w:t>
      </w:r>
      <w:r>
        <w:t xml:space="preserve"> 本地有 Telecom Italia 米兰 2013-11-01 原始日文件。预处理元数据记录 MD5 已验证、40 个网格、144 个时间点、5760 行活动数据。这里的 Internet activity 经归一化映射到 Mbps，网络拓扑及 VNF 参数是仿真假设；不能把它称作真实 SFC/VNF 迁移标注数据集。[E15]</w:t>
      </w:r>
    </w:p>
    <w:p>
      <w:pPr/>
      <w:r>
        <w:rPr>
          <w:b/>
        </w:rPr>
        <w:t>本次验证：</w:t>
      </w:r>
      <w:r>
        <w:t xml:space="preserve"> </w:t>
      </w:r>
      <w:r>
        <w:rPr>
          <w:rFonts w:ascii="Consolas" w:hAnsi="Consolas"/>
          <w:sz w:val="18"/>
        </w:rPr>
        <w:t>check_​delivery_​bundle.py</w:t>
      </w:r>
      <w:r>
        <w:t xml:space="preserve"> 全部通过，覆盖 3 个低层候选 mask 单元测试、角色编排、replacement 账本、迁移事务、rate8 SFT 回归和迁移 WQMIX 流水线；另运行了 </w:t>
      </w:r>
      <w:r>
        <w:rPr>
          <w:rFonts w:ascii="Consolas" w:hAnsi="Consolas"/>
          <w:sz w:val="18"/>
        </w:rPr>
        <w:t>check_​qmix.py</w:t>
      </w:r>
      <w:r>
        <w:t>、</w:t>
      </w:r>
      <w:r>
        <w:rPr>
          <w:rFonts w:ascii="Consolas" w:hAnsi="Consolas"/>
          <w:sz w:val="18"/>
        </w:rPr>
        <w:t>check_​batch_​deployment_​wqmix.py</w:t>
      </w:r>
      <w:r>
        <w:t xml:space="preserve"> 及 Telecom Italia 聚合/仿真单元测试，均退出成功。本次未训练新模型、未启动 Mininet、未重跑历史性能表。[E16]</w:t>
      </w:r>
    </w:p>
    <w:p>
      <w:pPr>
        <w:pStyle w:val="Heading1"/>
      </w:pPr>
      <w:r>
        <w:t>5. 创新前需要解决的证据缺口</w:t>
      </w:r>
    </w:p>
    <w:p>
      <w:pPr>
        <w:pStyle w:val="Heading2"/>
      </w:pPr>
      <w:r>
        <w:t>5.1 价值备份与执行动作可能不一致</w:t>
      </w:r>
    </w:p>
    <w:p>
      <w:pPr/>
      <w:r>
        <w:rPr>
          <w:rFonts w:ascii="Consolas" w:hAnsi="Consolas"/>
          <w:sz w:val="18"/>
        </w:rPr>
        <w:t>WeightedQMIXLearner.train_​step</w:t>
      </w:r>
      <w:r>
        <w:t xml:space="preserve"> 的下一动作通过逐智能体 masked argmax 产生，再送入 target mixer；该处没有调用联合解码器。实际部署则执行经过联合可行性解码后的动作。若各局部最优争抢资源，TD target 可能对应实际不可执行的组合。</w:t>
      </w:r>
    </w:p>
    <w:p>
      <w:pPr/>
      <w:r>
        <w:t>这是代码级可定位的研究问题，并非本次已经证明的性能缺陷。应先统计独立 argmax 的联合冲突率、解码改动率和 target 偏差，再检验是否需要解码一致的备份。尤其不能沿用“训练和线上都用了同一解码器”就推断所有学习目标也一致。[E04、E05]</w:t>
      </w:r>
    </w:p>
    <w:p>
      <w:pPr>
        <w:pStyle w:val="Heading2"/>
      </w:pPr>
      <w:r>
        <w:t>5.2 解码器可能解释了大部分收益</w:t>
      </w:r>
    </w:p>
    <w:p>
      <w:pPr/>
      <w:r>
        <w:t>现有解码器优先最大化接受数，分数次之；当前 WQMIX 与 joint-greedy 接受数相同。因此算法贡献必须用“固定相同候选、相同解码预算、仅替换排序器”的实验隔离。还需测试关闭 WQMIX safety guard，否则结果可能来自基线回退，而非学得的排序。[E03、E05、E11]</w:t>
      </w:r>
    </w:p>
    <w:p>
      <w:pPr>
        <w:pStyle w:val="Heading2"/>
      </w:pPr>
      <w:r>
        <w:t>5.3 迁移环境还不是完整的策略依赖动态环境</w:t>
      </w:r>
    </w:p>
    <w:p>
      <w:pPr/>
      <w:r>
        <w:rPr>
          <w:rFonts w:ascii="Consolas" w:hAnsi="Consolas"/>
          <w:sz w:val="18"/>
        </w:rPr>
        <w:t>MigrationWQMIXEnv.step_​rankings</w:t>
      </w:r>
      <w:r>
        <w:t xml:space="preserve"> 对当前候选计算奖励后递增记录索引；下一观测来自保存的下一条记录，所选动作不会在这个离线环境中改写后续快照。它可做记录回放和当前候选比较，但不足以研究迁移改变未来拥塞、实例复用和反复迁移的长期价值。[E06]</w:t>
      </w:r>
    </w:p>
    <w:p>
      <w:pPr/>
      <w:r>
        <w:t xml:space="preserve">当前迁移奖励对 no-migration 使用 </w:t>
      </w:r>
      <w:r>
        <w:rPr>
          <w:rFonts w:ascii="Consolas" w:hAnsi="Consolas"/>
          <w:sz w:val="18"/>
        </w:rPr>
        <w:t>-1 - 2×sla_​risk</w:t>
      </w:r>
      <w:r>
        <w:t>，可行迁移则包含固定 SLA 正奖励及较小的迁移耗时惩罚。这是应做敏感性分析的取舍：若场景中迁移本无必要，固定不动作惩罚可能使策略过度迁移。应以相同未来负载下的增量收益、剩余寿命和中断成本验证，不能只看奖励变高。[E07]</w:t>
      </w:r>
    </w:p>
    <w:p>
      <w:pPr>
        <w:pStyle w:val="Heading2"/>
      </w:pPr>
      <w:r>
        <w:t>5.4 Telecom Italia 支线有前视信息</w:t>
      </w:r>
    </w:p>
    <w:p>
      <w:pPr/>
      <w:r>
        <w:rPr>
          <w:rFonts w:ascii="Consolas" w:hAnsi="Consolas"/>
          <w:sz w:val="18"/>
        </w:rPr>
        <w:t>simulator.py</w:t>
      </w:r>
      <w:r>
        <w:t xml:space="preserve"> 的 </w:t>
      </w:r>
      <w:r>
        <w:rPr>
          <w:rFonts w:ascii="Consolas" w:hAnsi="Consolas"/>
          <w:sz w:val="18"/>
        </w:rPr>
        <w:t>brain_​rule_​marl</w:t>
      </w:r>
      <w:r>
        <w:t xml:space="preserve"> 在迁移选择时调用 </w:t>
      </w:r>
      <w:r>
        <w:rPr>
          <w:rFonts w:ascii="Consolas" w:hAnsi="Consolas"/>
          <w:sz w:val="18"/>
        </w:rPr>
        <w:t>sfc.flow(slot + offset)</w:t>
      </w:r>
      <w:r>
        <w:t xml:space="preserve"> 读取未来窗口峰值；</w:t>
      </w:r>
      <w:r>
        <w:rPr>
          <w:rFonts w:ascii="Consolas" w:hAnsi="Consolas"/>
          <w:sz w:val="18"/>
        </w:rPr>
        <w:t>_​forecast</w:t>
      </w:r>
      <w:r>
        <w:t xml:space="preserve"> 用全曲线最大值限幅；归一化分位数也来自整段曲线，早期历史索引使用循环取模。因此当前结果应标作含已知轨迹信息的规则回放，不能作为严格因果预测式 MARL 成果。</w:t>
      </w:r>
    </w:p>
    <w:p>
      <w:pPr/>
      <w:r>
        <w:t>应将未来峰值版本单列为预知未来的参考对照；在线版本仅使用决策时刻之前的数据，归一化参数在训练时间段固定，序列开始处不得以末尾样本补历史。已有 24 行 gated 汇总的 SLA satisfaction 均为 1.0，说明该 SLA 指标在这组模型参数下缺乏区分度。[E15、E17]</w:t>
      </w:r>
    </w:p>
    <w:p>
      <w:pPr>
        <w:pStyle w:val="Heading2"/>
      </w:pPr>
      <w:r>
        <w:t>5.5 架构与结果的可追溯性不足</w:t>
      </w:r>
    </w:p>
    <w:p>
      <w:pPr/>
      <w:r>
        <w:t xml:space="preserve">8 月 26 日交接文档、8 月 30 日在线文档和当前交付 README 存在时间差。旧文档中的失败 checkpoint、后续 mask-fix 计划和批量评分结果不能相互覆盖；在线报告还记录了外部 </w:t>
      </w:r>
      <w:r>
        <w:rPr>
          <w:rFonts w:ascii="Consolas" w:hAnsi="Consolas"/>
          <w:sz w:val="18"/>
        </w:rPr>
        <w:t>Desktop/​hrl</w:t>
      </w:r>
      <w:r>
        <w:t xml:space="preserve"> 目录。发表前需冻结每次实验的代码哈希、候选生成模式、模型、原始 trace 和 profile，避免两个 HRL 目录的行为混用。</w:t>
      </w:r>
    </w:p>
    <w:p>
      <w:pPr>
        <w:pStyle w:val="Heading1"/>
      </w:pPr>
      <w:r>
        <w:t>6. 值得优先检索和验证的创新方向</w:t>
      </w:r>
    </w:p>
    <w:p>
      <w:pPr/>
      <w:r>
        <w:t>以下方向按与现有主线的衔接程度排序。每个方向都需要查新，且应保留“强启发式已经足够好”的否定结果。</w:t>
      </w:r>
    </w:p>
    <w:p>
      <w:pPr>
        <w:pStyle w:val="Heading2"/>
      </w:pPr>
      <w:r>
        <w:t>方向 A：联合可行性感知的价值学习（优先）</w:t>
      </w:r>
    </w:p>
    <w:p>
      <w:pPr/>
      <w:r>
        <w:rPr>
          <w:b/>
        </w:rPr>
        <w:t>问题：</w:t>
      </w:r>
      <w:r>
        <w:t xml:space="preserve"> 单个候选可行不代表联合动作可行；局部 TD 备份与接受数优先的解码可能优化不同对象。</w:t>
      </w:r>
    </w:p>
    <w:p>
      <w:pPr/>
      <w:r>
        <w:rPr>
          <w:b/>
        </w:rPr>
        <w:t>可提出的机制：</w:t>
      </w:r>
      <w:r>
        <w:t xml:space="preserve"> 用候选资源 footprint 构建请求冲突关系；在训练中以同一预算下的联合解码动作计算下一状态价值，或让 critic 学习“经过解码后”的价值。若加入冲突图编码，需要证明其解决的是跨请求竞争和共享实例，而非仅增加参数。</w:t>
      </w:r>
    </w:p>
    <w:p>
      <w:pPr/>
      <w:r>
        <w:rPr>
          <w:b/>
        </w:rPr>
        <w:t>最小验证：</w:t>
      </w:r>
      <w:r>
        <w:t xml:space="preserve"> 固定 Top-K 生成器、训练数据、网络规模和解码预算，对比原 WQMIX、解码一致备份 WQMIX、joint-greedy、BC 以及小批次候选域精确求解器。设置批大小 1/2/4/8/16，并控制资源重叠率；同时报告接受率、每请求效用、联合冲突率、解码改动率和决策 P95。</w:t>
      </w:r>
    </w:p>
    <w:p>
      <w:pPr/>
      <w:r>
        <w:rPr>
          <w:b/>
        </w:rPr>
        <w:t>否定条件：</w:t>
      </w:r>
      <w:r>
        <w:t xml:space="preserve"> 在相同预算及相同候选下，学习法仍不能超过 joint-greedy，或收益仅来自更长搜索，则不支持该算法贡献。此时可将它保留为诊断结果，不应通过削弱基线制造差距。</w:t>
      </w:r>
    </w:p>
    <w:p>
      <w:pPr/>
      <w:r>
        <w:rPr>
          <w:b/>
        </w:rPr>
        <w:t>检索词：</w:t>
      </w:r>
      <w:r>
        <w:t xml:space="preserve"> constrained cooperative MARL；action correction/shielding；feasible Bellman backup；value factorisation with coupled constraints；learning to optimize SFC admission。</w:t>
      </w:r>
    </w:p>
    <w:p>
      <w:pPr>
        <w:pStyle w:val="Heading2"/>
      </w:pPr>
      <w:r>
        <w:t>方向 B：截止时间约束下的自适应微批与候选预算</w:t>
      </w:r>
    </w:p>
    <w:p>
      <w:pPr/>
      <w:r>
        <w:rPr>
          <w:b/>
        </w:rPr>
        <w:t>问题：</w:t>
      </w:r>
      <w:r>
        <w:t xml:space="preserve"> 5 ms 窗口在低到达率下几乎没有多智能体；扩大窗口虽可能提高协调机会，也增加等待、快照过期和请求来不及启动的风险。</w:t>
      </w:r>
    </w:p>
    <w:p>
      <w:pPr/>
      <w:r>
        <w:rPr>
          <w:b/>
        </w:rPr>
        <w:t>可提出的机制：</w:t>
      </w:r>
      <w:r>
        <w:t xml:space="preserve"> 根据队列长度、请求剩余截止时间、预测资源冲突和解码耗时，联合选择微批窗口、Top-K/Top-R 或计算预算。目标应是截止时间内的有效准入/完成效用，计入排队与决策时间，而非单独最大化回放吞吐。</w:t>
      </w:r>
    </w:p>
    <w:p>
      <w:pPr/>
      <w:r>
        <w:rPr>
          <w:b/>
        </w:rPr>
        <w:t>最小验证：</w:t>
      </w:r>
      <w:r>
        <w:t xml:space="preserve"> 与固定窗口网格、即时逐请求、最早截止时间优先、固定自适应阈值启发式比较。对泊松、突发和长短寿命混合到达做同 trace 配对测试；统计等待 P95、规划 P95、截止时间前启动率、冲突率、版本重试和端到端 SLA。</w:t>
      </w:r>
    </w:p>
    <w:p>
      <w:pPr/>
      <w:r>
        <w:rPr>
          <w:b/>
        </w:rPr>
        <w:t>否定条件：</w:t>
      </w:r>
      <w:r>
        <w:t xml:space="preserve"> 简单阈值调度已达到相同效用，或所谓收益来自提前读取未来 trace，则不足以支持学习调度的必要性。</w:t>
      </w:r>
    </w:p>
    <w:p>
      <w:pPr/>
      <w:r>
        <w:rPr>
          <w:b/>
        </w:rPr>
        <w:t>检索词：</w:t>
      </w:r>
      <w:r>
        <w:t xml:space="preserve"> deadline-aware online batching；adaptive inference scheduling；resource-constrained admission control；anytime combinatorial optimization。</w:t>
      </w:r>
    </w:p>
    <w:p>
      <w:pPr>
        <w:pStyle w:val="Heading2"/>
      </w:pPr>
      <w:r>
        <w:t>方向 C：生命周期与不确定性感知的预测迁移（重配置论文优先）</w:t>
      </w:r>
    </w:p>
    <w:p>
      <w:pPr/>
      <w:r>
        <w:rPr>
          <w:b/>
        </w:rPr>
        <w:t>问题：</w:t>
      </w:r>
      <w:r>
        <w:t xml:space="preserve"> 短寿命服务可能在迁移收益兑现前离开；错误预测可能增加迁移、中断和资源重叠，甚至导致来回迁移。</w:t>
      </w:r>
    </w:p>
    <w:p>
      <w:pPr/>
      <w:r>
        <w:rPr>
          <w:b/>
        </w:rPr>
        <w:t>可提出的机制：</w:t>
      </w:r>
      <w:r>
        <w:t xml:space="preserve"> 预测未来负载及不确定性，以剩余寿命内预期拥塞/SLA 损失的减少，抵扣状态传输、临时资源预留和中断成本；允许有意义的不动作。中央策略决定是否触发与资源预算，任务级策略选择迁移对象和目标，安全层保留确定性约束。</w:t>
      </w:r>
    </w:p>
    <w:p>
      <w:pPr/>
      <w:r>
        <w:rPr>
          <w:b/>
        </w:rPr>
        <w:t>前置工作：</w:t>
      </w:r>
      <w:r>
        <w:t xml:space="preserve"> 建立动作会改变后续放置、实例引用、带宽和队列的动态环境；把未来流量隔离为外生 trace；修正 Telecom Italia 前视信息，按不同日期/请求 seed 划分训练验证测试。现有记录回放环境不够。</w:t>
      </w:r>
    </w:p>
    <w:p>
      <w:pPr/>
      <w:r>
        <w:rPr>
          <w:b/>
        </w:rPr>
        <w:t>最小验证：</w:t>
      </w:r>
      <w:r>
        <w:t xml:space="preserve"> no-migration、reactive、causal predictive heuristic、WQMIX、生命周期门控、风险门控及其消融。用未来已知的规划器只作上界参考。指标包括过载面积、有效服务时长、中断、迁移数、反复迁移率、能耗和增量成本，并做多种预测误差测试。</w:t>
      </w:r>
    </w:p>
    <w:p>
      <w:pPr/>
      <w:r>
        <w:rPr>
          <w:b/>
        </w:rPr>
        <w:t>否定条件：</w:t>
      </w:r>
      <w:r>
        <w:t xml:space="preserve"> 去掉学习仅保留冷却期和寿命阈值就得到同等收益，或只改善手工奖励而损害服务质量，则创新应归因于门控机制或重新选题。</w:t>
      </w:r>
    </w:p>
    <w:p>
      <w:pPr/>
      <w:r>
        <w:rPr>
          <w:b/>
        </w:rPr>
        <w:t>检索词：</w:t>
      </w:r>
      <w:r>
        <w:t xml:space="preserve"> uncertainty-aware VNF migration；remaining service lifetime；counterfactual migration benefit；safe hierarchical MARL；make-before-break resource reservation。</w:t>
      </w:r>
    </w:p>
    <w:p>
      <w:pPr>
        <w:pStyle w:val="Heading2"/>
      </w:pPr>
      <w:r>
        <w:t>方向 D：学习式中央大脑与跨操作协作（成本较高）</w:t>
      </w:r>
    </w:p>
    <w:p>
      <w:pPr/>
      <w:r>
        <w:rPr>
          <w:b/>
        </w:rPr>
        <w:t>问题：</w:t>
      </w:r>
      <w:r>
        <w:t xml:space="preserve"> 部署、迁移、重路由处于不同时间尺度；规则路由未学习何时该迁移、何时只重路由，以及两者的冲突。</w:t>
      </w:r>
    </w:p>
    <w:p>
      <w:pPr/>
      <w:r>
        <w:rPr>
          <w:b/>
        </w:rPr>
        <w:t>可提出的机制：</w:t>
      </w:r>
      <w:r>
        <w:t xml:space="preserve"> 在共享系统状态上学习事件调度或 option 选择；专业角色产生候选，由仲裁器保证安全。先保持“同一 SFT 每轮单个安全动作”，验证学习触发是否有增益，再考虑迁移与重路由的联合事务。</w:t>
      </w:r>
    </w:p>
    <w:p>
      <w:pPr/>
      <w:r>
        <w:rPr>
          <w:b/>
        </w:rPr>
        <w:t>必须比较：</w:t>
      </w:r>
      <w:r>
        <w:t xml:space="preserve"> 当前规则 Brain、平面单智能体策略、学习 Brain + 固定专业策略、完整层次策略。奖励需包含长期服务效用与执行失败，训练数据必须有动作后的真实状态演化。</w:t>
      </w:r>
    </w:p>
    <w:p>
      <w:pPr/>
      <w:r>
        <w:rPr>
          <w:b/>
        </w:rPr>
        <w:t>风险：</w:t>
      </w:r>
      <w:r>
        <w:t xml:space="preserve"> 只把类名改成 Agent、接入一个 PPO、或把 Skill 注册表包装成“智能体框架”，不构成足够研究贡献。跨操作原子事务目前尚未实现，这条路线的实现和归因成本最高。[E01]</w:t>
      </w:r>
    </w:p>
    <w:p>
      <w:pPr>
        <w:pStyle w:val="Heading2"/>
      </w:pPr>
      <w:r>
        <w:t>6.5 建议的选题组合</w:t>
      </w:r>
    </w:p>
    <w:p>
      <w:pPr/>
      <w:r>
        <w:t xml:space="preserve">若希望最快形成可检验的算法论文，选择 </w:t>
      </w:r>
      <w:r>
        <w:rPr>
          <w:b/>
        </w:rPr>
        <w:t>方向 A 为主，方向 B 作为系统预算约束</w:t>
      </w:r>
      <w:r>
        <w:t xml:space="preserve">；第一步先证明冲突数据上存在超越 greedy 的空间。若论文明确围绕 VNF 重配置，选择 </w:t>
      </w:r>
      <w:r>
        <w:rPr>
          <w:b/>
        </w:rPr>
        <w:t>方向 C 为主</w:t>
      </w:r>
      <w:r>
        <w:t>，Brain 先保留规则，避免同时训练多个尚不稳定的层。方向 D 暂作后续扩展。</w:t>
      </w:r>
    </w:p>
    <w:p>
      <w:pPr/>
      <w:r>
        <w:t>候选题目可写为：“面向动态多播服务功能树的联合可行性感知多智能体调度”或“面向服务剩余生命周期的风险约束预测式 VNF 迁移”。这只是工作题目，不代表已完成新颖性认定。</w:t>
      </w:r>
    </w:p>
    <w:p>
      <w:pPr>
        <w:pStyle w:val="Heading1"/>
      </w:pPr>
      <w:r>
        <w:t>7. 实验路线与交接操作</w:t>
      </w:r>
    </w:p>
    <w:p>
      <w:pPr>
        <w:pStyle w:val="Heading2"/>
      </w:pPr>
      <w:r>
        <w:t>7.1 建议按四个门槛推进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550"/>
        <w:gridCol w:w="3450"/>
        <w:gridCol w:w="4360"/>
      </w:tblGrid>
      <w:tr>
        <w:trPr>
          <w:cantSplit/>
          <w:tblHeader/>
        </w:trPr>
        <w:tc>
          <w:tcPr>
            <w:tcW w:type="dxa" w:w="1550"/>
            <w:vAlign w:val="center"/>
            <w:shd w:fill="E8EEF5"/>
          </w:tcPr>
          <w:p>
            <w:pPr>
              <w:pStyle w:val="TableHeader"/>
            </w:pPr>
            <w:r>
              <w:t>阶段</w:t>
            </w:r>
          </w:p>
        </w:tc>
        <w:tc>
          <w:tcPr>
            <w:tcW w:type="dxa" w:w="3450"/>
            <w:vAlign w:val="center"/>
            <w:shd w:fill="E8EEF5"/>
          </w:tcPr>
          <w:p>
            <w:pPr>
              <w:pStyle w:val="TableHeader"/>
            </w:pPr>
            <w:r>
              <w:t>要回答的问题</w:t>
            </w:r>
          </w:p>
        </w:tc>
        <w:tc>
          <w:tcPr>
            <w:tcW w:type="dxa" w:w="4360"/>
            <w:vAlign w:val="center"/>
            <w:shd w:fill="E8EEF5"/>
          </w:tcPr>
          <w:p>
            <w:pPr>
              <w:pStyle w:val="TableHeader"/>
            </w:pPr>
            <w:r>
              <w:t>最小交付物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pStyle w:val="TableText"/>
            </w:pPr>
            <w:r>
              <w:t>证据冻结</w:t>
            </w:r>
          </w:p>
        </w:tc>
        <w:tc>
          <w:tcPr>
            <w:tcW w:type="dxa" w:w="3450"/>
            <w:vAlign w:val="center"/>
          </w:tcPr>
          <w:p>
            <w:pPr>
              <w:pStyle w:val="TableText"/>
            </w:pPr>
            <w:r>
              <w:t>实际跑的是哪条链、哪个模型、什么数据？</w:t>
            </w:r>
          </w:p>
        </w:tc>
        <w:tc>
          <w:tcPr>
            <w:tcW w:type="dxa" w:w="4360"/>
            <w:vAlign w:val="center"/>
          </w:tcPr>
          <w:p>
            <w:pPr>
              <w:pStyle w:val="TableText"/>
            </w:pPr>
            <w:r>
              <w:t>源码/模型/trace/profile 哈希；候选来源统计；配置与命令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pStyle w:val="TableText"/>
            </w:pPr>
            <w:r>
              <w:t>难点确认</w:t>
            </w:r>
          </w:p>
        </w:tc>
        <w:tc>
          <w:tcPr>
            <w:tcW w:type="dxa" w:w="3450"/>
            <w:vAlign w:val="center"/>
          </w:tcPr>
          <w:p>
            <w:pPr>
              <w:pStyle w:val="TableText"/>
            </w:pPr>
            <w:r>
              <w:t>当前任务是否存在足够多的协作冲突或长期迁移收益？</w:t>
            </w:r>
          </w:p>
        </w:tc>
        <w:tc>
          <w:tcPr>
            <w:tcW w:type="dxa" w:w="4360"/>
            <w:vAlign w:val="center"/>
          </w:tcPr>
          <w:p>
            <w:pPr>
              <w:pStyle w:val="TableText"/>
            </w:pPr>
            <w:r>
              <w:t>批大小分布、资源冲突率、greedy 与候选域上界差距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pStyle w:val="TableText"/>
            </w:pPr>
            <w:r>
              <w:t>单机制验证</w:t>
            </w:r>
          </w:p>
        </w:tc>
        <w:tc>
          <w:tcPr>
            <w:tcW w:type="dxa" w:w="3450"/>
            <w:vAlign w:val="center"/>
          </w:tcPr>
          <w:p>
            <w:pPr>
              <w:pStyle w:val="TableText"/>
            </w:pPr>
            <w:r>
              <w:t>新机制贡献能否脱离候选生成、解码预算和回退策略单独成立？</w:t>
            </w:r>
          </w:p>
        </w:tc>
        <w:tc>
          <w:tcPr>
            <w:tcW w:type="dxa" w:w="4360"/>
            <w:vAlign w:val="center"/>
          </w:tcPr>
          <w:p>
            <w:pPr>
              <w:pStyle w:val="TableText"/>
            </w:pPr>
            <w:r>
              <w:t>同候选、同预算、同 seed 的主比较及消融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pStyle w:val="TableText"/>
            </w:pPr>
            <w:r>
              <w:t>泛化与执行</w:t>
            </w:r>
          </w:p>
        </w:tc>
        <w:tc>
          <w:tcPr>
            <w:tcW w:type="dxa" w:w="3450"/>
            <w:vAlign w:val="center"/>
          </w:tcPr>
          <w:p>
            <w:pPr>
              <w:pStyle w:val="TableText"/>
            </w:pPr>
            <w:r>
              <w:t>是否跨 seed/日期/拓扑成立，并能转化为实际服务收益？</w:t>
            </w:r>
          </w:p>
        </w:tc>
        <w:tc>
          <w:tcPr>
            <w:tcW w:type="dxa" w:w="4360"/>
            <w:vAlign w:val="center"/>
          </w:tcPr>
          <w:p>
            <w:pPr>
              <w:pStyle w:val="TableText"/>
            </w:pPr>
            <w:r>
              <w:t>配对置信区间、未见场景测试、小规模 Mininet 实测</w:t>
            </w:r>
          </w:p>
        </w:tc>
      </w:tr>
    </w:tbl>
    <w:p>
      <w:pPr>
        <w:spacing w:after="0"/>
      </w:pPr>
    </w:p>
    <w:p>
      <w:pPr/>
      <w:r>
        <w:t>正式结果以独立训练 seed 为重复单位，测试 trace 做配对；先报告均值、95% 置信区间和效应量，再决定是否做配对显著性检验。不要把同一策略中的每个请求都视为独立训练重复，也不要用相邻窗口随机拆分替代跨日期验证。</w:t>
      </w:r>
    </w:p>
    <w:p>
      <w:pPr>
        <w:pStyle w:val="Heading2"/>
      </w:pPr>
      <w:r>
        <w:t>7.2 优先阅读顺序</w:t>
      </w:r>
    </w:p>
    <w:p>
      <w:pPr/>
      <w:r>
        <w:t xml:space="preserve">先读本报告第 4–6 节，确定要解决的差距；再看 </w:t>
      </w:r>
      <w:r>
        <w:rPr>
          <w:rFonts w:ascii="Consolas" w:hAnsi="Consolas"/>
          <w:sz w:val="18"/>
        </w:rPr>
        <w:t>run_​multiagent_​online.py</w:t>
      </w:r>
      <w:r>
        <w:t xml:space="preserve"> 和 </w:t>
      </w:r>
      <w:r>
        <w:rPr>
          <w:rFonts w:ascii="Consolas" w:hAnsi="Consolas"/>
          <w:sz w:val="18"/>
        </w:rPr>
        <w:t>online_​parallel_​pipeline.py</w:t>
      </w:r>
      <w:r>
        <w:t xml:space="preserve"> 了解主执行链；随后阅读 </w:t>
      </w:r>
      <w:r>
        <w:rPr>
          <w:rFonts w:ascii="Consolas" w:hAnsi="Consolas"/>
          <w:sz w:val="18"/>
        </w:rPr>
        <w:t>WeightedQMIXLearner.train_​step</w:t>
      </w:r>
      <w:r>
        <w:t>、</w:t>
      </w:r>
      <w:r>
        <w:rPr>
          <w:rFonts w:ascii="Consolas" w:hAnsi="Consolas"/>
          <w:sz w:val="18"/>
        </w:rPr>
        <w:t>joint_​candidate_​decoder.py</w:t>
      </w:r>
      <w:r>
        <w:t xml:space="preserve"> 与 </w:t>
      </w:r>
      <w:r>
        <w:rPr>
          <w:rFonts w:ascii="Consolas" w:hAnsi="Consolas"/>
          <w:sz w:val="18"/>
        </w:rPr>
        <w:t>BatchDeploymentEnv</w:t>
      </w:r>
      <w:r>
        <w:t xml:space="preserve">。如果选迁移路线，再读 </w:t>
      </w:r>
      <w:r>
        <w:rPr>
          <w:rFonts w:ascii="Consolas" w:hAnsi="Consolas"/>
          <w:sz w:val="18"/>
        </w:rPr>
        <w:t>MigrationWQMIXEnv</w:t>
      </w:r>
      <w:r>
        <w:t>、</w:t>
      </w:r>
      <w:r>
        <w:rPr>
          <w:rFonts w:ascii="Consolas" w:hAnsi="Consolas"/>
          <w:sz w:val="18"/>
        </w:rPr>
        <w:t>migration_​reward.py</w:t>
      </w:r>
      <w:r>
        <w:t>、monitor 与事务实现。旧 README 和旧交接文档只作历史背景。</w:t>
      </w:r>
    </w:p>
    <w:p>
      <w:pPr>
        <w:pStyle w:val="Heading2"/>
      </w:pPr>
      <w:r>
        <w:t>7.3 可直接使用的检查命令</w:t>
      </w:r>
    </w:p>
    <w:p>
      <w:pPr/>
      <w:r>
        <w:t>在项目根目录、已安装依赖的 Python 环境中执行：</w:t>
      </w:r>
    </w:p>
    <w:p>
      <w:pPr>
        <w:pStyle w:val="CodeBlock"/>
        <w:keepLines/>
        <w:shd w:fill="F4F6F9"/>
      </w:pPr>
      <w:r>
        <w:rPr>
          <w:rFonts w:ascii="Consolas" w:hAnsi="Consolas"/>
          <w:sz w:val="18"/>
        </w:rPr>
        <w:t>python -m sfc_project list</w:t>
        <w:br/>
        <w:t>python -m sfc_project doctor</w:t>
        <w:br/>
        <w:t>python scripts/check_delivery_bundle.py</w:t>
        <w:br/>
        <w:t>python scripts/check_qmix.py</w:t>
        <w:br/>
        <w:t>python scripts/check_batch_deployment_wqmix.py</w:t>
        <w:br/>
        <w:t>python -m unittest tests.test_telecom_italia_migration -v</w:t>
      </w:r>
    </w:p>
    <w:p>
      <w:pPr/>
      <w:r>
        <w:t xml:space="preserve">统一 CLI 的 </w:t>
      </w:r>
      <w:r>
        <w:rPr>
          <w:rFonts w:ascii="Consolas" w:hAnsi="Consolas"/>
          <w:sz w:val="18"/>
        </w:rPr>
        <w:t>run</w:t>
      </w:r>
      <w:r>
        <w:t xml:space="preserve"> 默认是预览命令，实际执行需 </w:t>
      </w:r>
      <w:r>
        <w:rPr>
          <w:rFonts w:ascii="Consolas" w:hAnsi="Consolas"/>
          <w:sz w:val="18"/>
        </w:rPr>
        <w:t>--execute</w:t>
      </w:r>
      <w:r>
        <w:t xml:space="preserve">；涉及 Mininet 的工作流还需相应系统环境与确认参数。上述检查验证接口和不变量，不代替性能实验。迁移训练入口为 </w:t>
      </w:r>
      <w:r>
        <w:rPr>
          <w:rFonts w:ascii="Consolas" w:hAnsi="Consolas"/>
          <w:sz w:val="18"/>
        </w:rPr>
        <w:t>scripts/​train_​migration_​baselines.py</w:t>
      </w:r>
      <w:r>
        <w:t xml:space="preserve">，部署训练入口为 </w:t>
      </w:r>
      <w:r>
        <w:rPr>
          <w:rFonts w:ascii="Consolas" w:hAnsi="Consolas"/>
          <w:sz w:val="18"/>
        </w:rPr>
        <w:t>scripts/​train_​deployment_​wqmix.py</w:t>
      </w:r>
      <w:r>
        <w:t>；两者的数据和权重需按各自语义配置。</w:t>
      </w:r>
    </w:p>
    <w:p>
      <w:pPr>
        <w:pStyle w:val="Heading2"/>
      </w:pPr>
      <w:r>
        <w:t>7.4 给导师或下一位研究者的交接摘要</w:t>
      </w:r>
    </w:p>
    <w:p>
      <w:pPr>
        <w:pStyle w:val="Quote"/>
      </w:pPr>
      <w:r>
        <w:t>本项目已经实现多播 SFT 的 HRL 候选/批量策略评分、请求级 WQMIX、联合可行性解码、原子资源账本和迁移执行接口。中央大脑当前是规则策略。现有 3097 请求规划结果未启用 WQMIX；五 seed、500 请求比较中 WQMIX 与 joint-greedy 接受率相同。希望优先研究联合可行性约束下的价值学习与执行一致性，或在完善因果动态环境后研究生命周期和不确定性感知迁移。请围绕具体机制与最接近文献审查新颖性，不把架构组合、规则 Agent 或小样本成功率视为已证实创新。</w:t>
      </w:r>
    </w:p>
    <w:p>
      <w:pPr>
        <w:pStyle w:val="Heading1"/>
      </w:pPr>
      <w:r>
        <w:t>8. 证据索引与范围说明</w:t>
      </w:r>
    </w:p>
    <w:p>
      <w:pPr/>
      <w:r>
        <w:t>下列路径均相对于报告首页的项目根目录。定位同时给出类/函数/字段，便于文件后续变动后重新核查。历史报告是原始结果记录，旧 Markdown 仅为说明材料。</w:t>
      </w:r>
    </w:p>
    <w:p>
      <w:pPr>
        <w:pStyle w:val="Evidence"/>
      </w:pPr>
      <w:r>
        <w:rPr>
          <w:b/>
        </w:rPr>
        <w:t>[E01] 角色编排：</w:t>
      </w:r>
      <w:r>
        <w:t xml:space="preserve"> </w:t>
      </w:r>
      <w:r>
        <w:rPr>
          <w:rFonts w:ascii="Consolas" w:hAnsi="Consolas"/>
          <w:sz w:val="18"/>
        </w:rPr>
        <w:t>core/​marl/​orchestration/​agents.py</w:t>
      </w:r>
      <w:r>
        <w:t>（RuleBasedBrainAgent）；</w:t>
      </w:r>
      <w:r>
        <w:rPr>
          <w:rFonts w:ascii="Consolas" w:hAnsi="Consolas"/>
          <w:sz w:val="18"/>
        </w:rPr>
        <w:t>orchestrator.py</w:t>
      </w:r>
      <w:r>
        <w:t>（MultiAgentSFTOrchestrator、PLANNED_ONLY、single-safe-action）；</w:t>
      </w:r>
      <w:r>
        <w:rPr>
          <w:rFonts w:ascii="Consolas" w:hAnsi="Consolas"/>
          <w:sz w:val="18"/>
        </w:rPr>
        <w:t>configs/​multiagent_​orchestration.yaml</w:t>
      </w:r>
      <w:r>
        <w:t>。</w:t>
      </w:r>
    </w:p>
    <w:p>
      <w:pPr>
        <w:pStyle w:val="Evidence"/>
      </w:pPr>
      <w:r>
        <w:rPr>
          <w:b/>
        </w:rPr>
        <w:t>[E02] 在线规划结果：</w:t>
      </w:r>
      <w:r>
        <w:t xml:space="preserve"> </w:t>
      </w:r>
      <w:r>
        <w:rPr>
          <w:rFonts w:ascii="Consolas" w:hAnsi="Consolas"/>
          <w:sz w:val="18"/>
        </w:rPr>
        <w:t>artifacts/​runs/​multiagent_​online/​batched_​policy_​online_​rate8_​full_​3097.json</w:t>
      </w:r>
      <w:r>
        <w:t>；</w:t>
      </w:r>
      <w:r>
        <w:rPr>
          <w:rFonts w:ascii="Consolas" w:hAnsi="Consolas"/>
          <w:sz w:val="18"/>
        </w:rPr>
        <w:t>batched_​policy_​online_​100_​semantic_​features.json</w:t>
      </w:r>
      <w:r>
        <w:t>。重点字段：config.wqmix_checkpoint、summary、adapter.ranker、pipeline.ranker、data_plane_sla_measured。</w:t>
      </w:r>
    </w:p>
    <w:p>
      <w:pPr>
        <w:pStyle w:val="Evidence"/>
      </w:pPr>
      <w:r>
        <w:rPr>
          <w:b/>
        </w:rPr>
        <w:t>[E03] 五 seed 比较：</w:t>
      </w:r>
      <w:r>
        <w:t xml:space="preserve"> </w:t>
      </w:r>
      <w:r>
        <w:rPr>
          <w:rFonts w:ascii="Consolas" w:hAnsi="Consolas"/>
          <w:sz w:val="18"/>
        </w:rPr>
        <w:t>artifacts/​runs/​deployment/​baseline_​eval_​decoder_​optimized_​20260829/​deployment_​baseline_​report.json</w:t>
      </w:r>
      <w:r>
        <w:t>。重点字段：datasets、checkpoint_source_overlap、algorithms。</w:t>
      </w:r>
    </w:p>
    <w:p>
      <w:pPr>
        <w:pStyle w:val="Evidence"/>
      </w:pPr>
      <w:r>
        <w:rPr>
          <w:b/>
        </w:rPr>
        <w:t>[E04] WQMIX 与账本：</w:t>
      </w:r>
      <w:r>
        <w:t xml:space="preserve"> </w:t>
      </w:r>
      <w:r>
        <w:rPr>
          <w:rFonts w:ascii="Consolas" w:hAnsi="Consolas"/>
          <w:sz w:val="18"/>
        </w:rPr>
        <w:t>core/​marl/​batch_​deployment_​wqmix.py</w:t>
      </w:r>
      <w:r>
        <w:t>，WeightedQMIXLearner.train_step、AtomicResourceLedger.commit_exact、replacement 相关方法。</w:t>
      </w:r>
    </w:p>
    <w:p>
      <w:pPr>
        <w:pStyle w:val="Evidence"/>
      </w:pPr>
      <w:r>
        <w:rPr>
          <w:b/>
        </w:rPr>
        <w:t>[E05] 联合执行语义：</w:t>
      </w:r>
      <w:r>
        <w:t xml:space="preserve"> </w:t>
      </w:r>
      <w:r>
        <w:rPr>
          <w:rFonts w:ascii="Consolas" w:hAnsi="Consolas"/>
          <w:sz w:val="18"/>
        </w:rPr>
        <w:t>core/​marl/​joint_​candidate_​decoder.py</w:t>
      </w:r>
      <w:r>
        <w:t>，decode_joint_candidates；</w:t>
      </w:r>
      <w:r>
        <w:rPr>
          <w:rFonts w:ascii="Consolas" w:hAnsi="Consolas"/>
          <w:sz w:val="18"/>
        </w:rPr>
        <w:t>core/​marl/​joint_​candidate_​transaction.py</w:t>
      </w:r>
      <w:r>
        <w:t>；</w:t>
      </w:r>
      <w:r>
        <w:rPr>
          <w:rFonts w:ascii="Consolas" w:hAnsi="Consolas"/>
          <w:sz w:val="18"/>
        </w:rPr>
        <w:t>core/​marl/​deployment_​env.py</w:t>
      </w:r>
      <w:r>
        <w:t>。</w:t>
      </w:r>
    </w:p>
    <w:p>
      <w:pPr>
        <w:pStyle w:val="Evidence"/>
      </w:pPr>
      <w:r>
        <w:rPr>
          <w:b/>
        </w:rPr>
        <w:t>[E06] 迁移回放：</w:t>
      </w:r>
      <w:r>
        <w:t xml:space="preserve"> </w:t>
      </w:r>
      <w:r>
        <w:rPr>
          <w:rFonts w:ascii="Consolas" w:hAnsi="Consolas"/>
          <w:sz w:val="18"/>
        </w:rPr>
        <w:t>envs/​migration_​wqmix_​env.py</w:t>
      </w:r>
      <w:r>
        <w:t>，step_rankings；</w:t>
      </w:r>
      <w:r>
        <w:rPr>
          <w:rFonts w:ascii="Consolas" w:hAnsi="Consolas"/>
          <w:sz w:val="18"/>
        </w:rPr>
        <w:t>core/​marl/​migration_​dataset.py</w:t>
      </w:r>
      <w:r>
        <w:t>，next_index；</w:t>
      </w:r>
      <w:r>
        <w:rPr>
          <w:rFonts w:ascii="Consolas" w:hAnsi="Consolas"/>
          <w:sz w:val="18"/>
        </w:rPr>
        <w:t>docs/​migration_​wqmix_​pipeline.md</w:t>
      </w:r>
      <w:r>
        <w:t>。</w:t>
      </w:r>
    </w:p>
    <w:p>
      <w:pPr>
        <w:pStyle w:val="Evidence"/>
      </w:pPr>
      <w:r>
        <w:rPr>
          <w:b/>
        </w:rPr>
        <w:t>[E07] 迁移收益与执行：</w:t>
      </w:r>
      <w:r>
        <w:t xml:space="preserve"> </w:t>
      </w:r>
      <w:r>
        <w:rPr>
          <w:rFonts w:ascii="Consolas" w:hAnsi="Consolas"/>
          <w:sz w:val="18"/>
        </w:rPr>
        <w:t>core/​marl/​migration_​reward.py</w:t>
      </w:r>
      <w:r>
        <w:t>；</w:t>
      </w:r>
      <w:r>
        <w:rPr>
          <w:rFonts w:ascii="Consolas" w:hAnsi="Consolas"/>
          <w:sz w:val="18"/>
        </w:rPr>
        <w:t>sdn/​migration_​monitor.py</w:t>
      </w:r>
      <w:r>
        <w:t>；</w:t>
      </w:r>
      <w:r>
        <w:rPr>
          <w:rFonts w:ascii="Consolas" w:hAnsi="Consolas"/>
          <w:sz w:val="18"/>
        </w:rPr>
        <w:t>sdn/​online_​migration_​wqmix_​planner.py</w:t>
      </w:r>
      <w:r>
        <w:t>；</w:t>
      </w:r>
      <w:r>
        <w:rPr>
          <w:rFonts w:ascii="Consolas" w:hAnsi="Consolas"/>
          <w:sz w:val="18"/>
        </w:rPr>
        <w:t>scripts/​check_​migration_​runtime_​transaction.py</w:t>
      </w:r>
      <w:r>
        <w:t>。</w:t>
      </w:r>
    </w:p>
    <w:p>
      <w:pPr>
        <w:pStyle w:val="Evidence"/>
      </w:pPr>
      <w:r>
        <w:rPr>
          <w:b/>
        </w:rPr>
        <w:t>[E08] 候选与并行：</w:t>
      </w:r>
      <w:r>
        <w:t xml:space="preserve"> </w:t>
      </w:r>
      <w:r>
        <w:rPr>
          <w:rFonts w:ascii="Consolas" w:hAnsi="Consolas"/>
          <w:sz w:val="18"/>
        </w:rPr>
        <w:t>core/​marl/​deployment_​topk.py</w:t>
      </w:r>
      <w:r>
        <w:t>；</w:t>
      </w:r>
      <w:r>
        <w:rPr>
          <w:rFonts w:ascii="Consolas" w:hAnsi="Consolas"/>
          <w:sz w:val="18"/>
        </w:rPr>
        <w:t>core/​marl/​online_​parallel_​pipeline.py</w:t>
      </w:r>
      <w:r>
        <w:t>；</w:t>
      </w:r>
      <w:r>
        <w:rPr>
          <w:rFonts w:ascii="Consolas" w:hAnsi="Consolas"/>
          <w:sz w:val="18"/>
        </w:rPr>
        <w:t>core/​marl/​deployment_​worker_​pool.py</w:t>
      </w:r>
      <w:r>
        <w:t>。</w:t>
      </w:r>
    </w:p>
    <w:p>
      <w:pPr>
        <w:pStyle w:val="Evidence"/>
      </w:pPr>
      <w:r>
        <w:rPr>
          <w:b/>
        </w:rPr>
        <w:t>[E09] 数据面边界：</w:t>
      </w:r>
      <w:r>
        <w:t xml:space="preserve"> </w:t>
      </w:r>
      <w:r>
        <w:rPr>
          <w:rFonts w:ascii="Consolas" w:hAnsi="Consolas"/>
          <w:sz w:val="18"/>
        </w:rPr>
        <w:t>scripts/​run_​sdn_​runtime_​requests.py</w:t>
      </w:r>
      <w:r>
        <w:t>；</w:t>
      </w:r>
      <w:r>
        <w:rPr>
          <w:rFonts w:ascii="Consolas" w:hAnsi="Consolas"/>
          <w:sz w:val="18"/>
        </w:rPr>
        <w:t>README.md</w:t>
      </w:r>
      <w:r>
        <w:t>；</w:t>
      </w:r>
      <w:r>
        <w:rPr>
          <w:rFonts w:ascii="Consolas" w:hAnsi="Consolas"/>
          <w:sz w:val="18"/>
        </w:rPr>
        <w:t>docs/​ARCHITECTURE.md</w:t>
      </w:r>
      <w:r>
        <w:t>。涉及真实执行的本次判断为代码/文档核对，未重新启动网络。</w:t>
      </w:r>
    </w:p>
    <w:p>
      <w:pPr>
        <w:pStyle w:val="Evidence"/>
      </w:pPr>
      <w:r>
        <w:rPr>
          <w:b/>
        </w:rPr>
        <w:t>[E10] 早期三角色 QMIX：</w:t>
      </w:r>
      <w:r>
        <w:t xml:space="preserve"> </w:t>
      </w:r>
      <w:r>
        <w:rPr>
          <w:rFonts w:ascii="Consolas" w:hAnsi="Consolas"/>
          <w:sz w:val="18"/>
        </w:rPr>
        <w:t>core/​marl/​qmix.py</w:t>
      </w:r>
      <w:r>
        <w:t>；</w:t>
      </w:r>
      <w:r>
        <w:rPr>
          <w:rFonts w:ascii="Consolas" w:hAnsi="Consolas"/>
          <w:sz w:val="18"/>
        </w:rPr>
        <w:t>core/​marl/​trainable_​role_​agents.py</w:t>
      </w:r>
      <w:r>
        <w:t>；</w:t>
      </w:r>
      <w:r>
        <w:rPr>
          <w:rFonts w:ascii="Consolas" w:hAnsi="Consolas"/>
          <w:sz w:val="18"/>
        </w:rPr>
        <w:t>trainer/​role_​marl_​trainer.py</w:t>
      </w:r>
      <w:r>
        <w:t>；</w:t>
      </w:r>
      <w:r>
        <w:rPr>
          <w:rFonts w:ascii="Consolas" w:hAnsi="Consolas"/>
          <w:sz w:val="18"/>
        </w:rPr>
        <w:t>configs/​role_​marl_​train.yaml</w:t>
      </w:r>
      <w:r>
        <w:t>。</w:t>
      </w:r>
    </w:p>
    <w:p>
      <w:pPr>
        <w:pStyle w:val="Evidence"/>
      </w:pPr>
      <w:r>
        <w:rPr>
          <w:b/>
        </w:rPr>
        <w:t>[E11] 在线入口：</w:t>
      </w:r>
      <w:r>
        <w:t xml:space="preserve"> </w:t>
      </w:r>
      <w:r>
        <w:rPr>
          <w:rFonts w:ascii="Consolas" w:hAnsi="Consolas"/>
          <w:sz w:val="18"/>
        </w:rPr>
        <w:t>scripts/​run_​multiagent_​online.py</w:t>
      </w:r>
      <w:r>
        <w:t>；</w:t>
      </w:r>
      <w:r>
        <w:rPr>
          <w:rFonts w:ascii="Consolas" w:hAnsi="Consolas"/>
          <w:sz w:val="18"/>
        </w:rPr>
        <w:t>core/​hrl/​batched_​policy.py</w:t>
      </w:r>
      <w:r>
        <w:t>；</w:t>
      </w:r>
      <w:r>
        <w:rPr>
          <w:rFonts w:ascii="Consolas" w:hAnsi="Consolas"/>
          <w:sz w:val="18"/>
        </w:rPr>
        <w:t>docs/​multiagent_​online.md</w:t>
      </w:r>
      <w:r>
        <w:t>。关注 hrl-mode、trace-lookahead-prefetch、wqmix-safety-guard。</w:t>
      </w:r>
    </w:p>
    <w:p>
      <w:pPr>
        <w:pStyle w:val="Evidence"/>
      </w:pPr>
      <w:r>
        <w:rPr>
          <w:b/>
        </w:rPr>
        <w:t>[E12] 更新的 HRL 导出：</w:t>
      </w:r>
      <w:r>
        <w:t xml:space="preserve"> </w:t>
      </w:r>
      <w:r>
        <w:rPr>
          <w:rFonts w:ascii="Consolas" w:hAnsi="Consolas"/>
          <w:sz w:val="18"/>
        </w:rPr>
        <w:t>artifacts/​runs/​hrl/​export_​current_​seed7071_​rate8_​100_​mask_​fix_​v2/​summary.json</w:t>
      </w:r>
      <w:r>
        <w:t>。记录 checkpoint、请求、profile 和计划的 SHA-256。</w:t>
      </w:r>
    </w:p>
    <w:p>
      <w:pPr>
        <w:pStyle w:val="Evidence"/>
      </w:pPr>
      <w:r>
        <w:rPr>
          <w:b/>
        </w:rPr>
        <w:t>[E13] 迁移 fixture：</w:t>
      </w:r>
      <w:r>
        <w:t xml:space="preserve"> </w:t>
      </w:r>
      <w:r>
        <w:rPr>
          <w:rFonts w:ascii="Consolas" w:hAnsi="Consolas"/>
          <w:sz w:val="18"/>
        </w:rPr>
        <w:t>data/​migration_​wqmix_​smoke_​seed7071/​batches.jsonl</w:t>
      </w:r>
      <w:r>
        <w:t>；</w:t>
      </w:r>
      <w:r>
        <w:rPr>
          <w:rFonts w:ascii="Consolas" w:hAnsi="Consolas"/>
          <w:sz w:val="18"/>
        </w:rPr>
        <w:t>artifacts/​reference_​runs/​migration/​migration_​baselines_​smoke/​migration_​wqmix.pt</w:t>
      </w:r>
      <w:r>
        <w:t>；</w:t>
      </w:r>
      <w:r>
        <w:rPr>
          <w:rFonts w:ascii="Consolas" w:hAnsi="Consolas"/>
          <w:sz w:val="18"/>
        </w:rPr>
        <w:t>runtime_​rate8_​seed7071_​first100.json</w:t>
      </w:r>
      <w:r>
        <w:t>。</w:t>
      </w:r>
    </w:p>
    <w:p>
      <w:pPr>
        <w:pStyle w:val="Evidence"/>
      </w:pPr>
      <w:r>
        <w:rPr>
          <w:b/>
        </w:rPr>
        <w:t>[E14] 部署数据：</w:t>
      </w:r>
      <w:r>
        <w:t xml:space="preserve"> </w:t>
      </w:r>
      <w:r>
        <w:rPr>
          <w:rFonts w:ascii="Consolas" w:hAnsi="Consolas"/>
          <w:sz w:val="18"/>
        </w:rPr>
        <w:t>data/​deployment_​v4_​tree_​bw_​rate24_​sla80/​manifest.json</w:t>
      </w:r>
      <w:r>
        <w:t>；</w:t>
      </w:r>
      <w:r>
        <w:rPr>
          <w:rFonts w:ascii="Consolas" w:hAnsi="Consolas"/>
          <w:sz w:val="18"/>
        </w:rPr>
        <w:t>data/​CATALOG.md</w:t>
      </w:r>
      <w:r>
        <w:t>。目录册为 8 月 26 日快照，应与实际 manifest 联读。</w:t>
      </w:r>
    </w:p>
    <w:p>
      <w:pPr>
        <w:pStyle w:val="Evidence"/>
      </w:pPr>
      <w:r>
        <w:rPr>
          <w:b/>
        </w:rPr>
        <w:t>[E15] Telecom Italia 来源：</w:t>
      </w:r>
      <w:r>
        <w:t xml:space="preserve"> </w:t>
      </w:r>
      <w:r>
        <w:rPr>
          <w:rFonts w:ascii="Consolas" w:hAnsi="Consolas"/>
          <w:sz w:val="18"/>
        </w:rPr>
        <w:t>data/​telecom_​italia/​processed/​milan_​internet_​activity.metadata.json</w:t>
      </w:r>
      <w:r>
        <w:t>；</w:t>
      </w:r>
      <w:r>
        <w:rPr>
          <w:rFonts w:ascii="Consolas" w:hAnsi="Consolas"/>
          <w:sz w:val="18"/>
        </w:rPr>
        <w:t>experiments/​telecom_​italia_​migration/​simulator.py</w:t>
      </w:r>
      <w:r>
        <w:t xml:space="preserve"> 的 _robust_scale、_forecast、_migrate；数据 DOI：10.7910/DVN/EGZHFV（本次仅核对本地来源记录）。</w:t>
      </w:r>
    </w:p>
    <w:p>
      <w:pPr>
        <w:pStyle w:val="Evidence"/>
      </w:pPr>
      <w:r>
        <w:rPr>
          <w:b/>
        </w:rPr>
        <w:t>[E16] 本次自检：</w:t>
      </w:r>
      <w:r>
        <w:t xml:space="preserve"> </w:t>
      </w:r>
      <w:r>
        <w:rPr>
          <w:rFonts w:ascii="Consolas" w:hAnsi="Consolas"/>
          <w:sz w:val="18"/>
        </w:rPr>
        <w:t>artifacts/​handoff_​audit_​20260905/​delivery_​check.log</w:t>
      </w:r>
      <w:r>
        <w:t>、</w:t>
      </w:r>
      <w:r>
        <w:rPr>
          <w:rFonts w:ascii="Consolas" w:hAnsi="Consolas"/>
          <w:sz w:val="18"/>
        </w:rPr>
        <w:t>deployment_​wqmix_​check.log</w:t>
      </w:r>
      <w:r>
        <w:t>、</w:t>
      </w:r>
      <w:r>
        <w:rPr>
          <w:rFonts w:ascii="Consolas" w:hAnsi="Consolas"/>
          <w:sz w:val="18"/>
        </w:rPr>
        <w:t>role_​qmix_​check.log</w:t>
      </w:r>
      <w:r>
        <w:t>、</w:t>
      </w:r>
      <w:r>
        <w:rPr>
          <w:rFonts w:ascii="Consolas" w:hAnsi="Consolas"/>
          <w:sz w:val="18"/>
        </w:rPr>
        <w:t>telecom_​check.log</w:t>
      </w:r>
      <w:r>
        <w:t>。未据短测试推断收敛或最终性能。</w:t>
      </w:r>
    </w:p>
    <w:p>
      <w:pPr>
        <w:pStyle w:val="Evidence"/>
      </w:pPr>
      <w:r>
        <w:rPr>
          <w:b/>
        </w:rPr>
        <w:t>[E17] Telecom Italia 保存汇总：</w:t>
      </w:r>
      <w:r>
        <w:t xml:space="preserve"> </w:t>
      </w:r>
      <w:r>
        <w:rPr>
          <w:rFonts w:ascii="Consolas" w:hAnsi="Consolas"/>
          <w:sz w:val="18"/>
        </w:rPr>
        <w:t>artifacts/​runs/​telecom_​italia_​migration/​real_​day1_​full_​sweep_​gated/​experiment_​spec.json</w:t>
      </w:r>
      <w:r>
        <w:t>、</w:t>
      </w:r>
      <w:r>
        <w:rPr>
          <w:rFonts w:ascii="Consolas" w:hAnsi="Consolas"/>
          <w:sz w:val="18"/>
        </w:rPr>
        <w:t>summary.csv</w:t>
      </w:r>
      <w:r>
        <w:t>。4 个规则/启发式版本，6 档 SFC 数量，144 时隙。</w:t>
      </w:r>
    </w:p>
    <w:p>
      <w:pPr/>
      <w:r>
        <w:t>本报告仅新增交接文档和核查产物，没有实现上述研究方向，也没有修改现有算法来追求更高实验指标。进行新颖性检索时，应围绕方向 A–D 的具体约束、机制、最接近方法与验证差距，逐项决定保留、缩小或放弃。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2026-09-05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HRL–MARL 项目交接  |  创新点分析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Microsoft YaHei"/>
      <w:b w:val="0"/>
      <w:color w:val="666666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Microsoft YaHei"/>
      <w:b w:val="0"/>
      <w:color w:val="666666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20" w:line="30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00" w:line="300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80" w:line="300" w:lineRule="auto"/>
      <w:contextualSpacing/>
    </w:pPr>
    <w:rPr>
      <w:rFonts w:ascii="Calibri" w:hAnsi="Calibri" w:eastAsia="Microsoft YaHei"/>
      <w:b w:val="0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  <w:spacing w:before="100" w:after="140" w:line="300" w:lineRule="auto"/>
    </w:pPr>
    <w:rPr>
      <w:rFonts w:ascii="Calibri" w:hAnsi="Calibri" w:eastAsia="Microsoft YaHei"/>
      <w:b w:val="0"/>
      <w:i/>
      <w:iCs/>
      <w:color w:val="1F4D78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/>
      <w:spacing w:before="80" w:after="120" w:line="264" w:lineRule="auto"/>
    </w:pPr>
    <w:rPr>
      <w:rFonts w:ascii="Calibri" w:hAnsi="Calibri" w:eastAsia="Microsoft YaHei"/>
      <w:b w:val="0"/>
      <w:color w:val="1F4D78"/>
      <w:sz w:val="18"/>
    </w:rPr>
  </w:style>
  <w:style w:type="paragraph" w:customStyle="1" w:styleId="TableText">
    <w:name w:val="Table Text"/>
    <w:pPr>
      <w:widowControl/>
      <w:spacing w:before="0" w:after="60" w:line="276" w:lineRule="auto"/>
    </w:pPr>
    <w:rPr>
      <w:rFonts w:ascii="Calibri" w:hAnsi="Calibri" w:eastAsia="Microsoft YaHei"/>
      <w:b w:val="0"/>
      <w:color w:val="222222"/>
      <w:sz w:val="18"/>
    </w:rPr>
  </w:style>
  <w:style w:type="paragraph" w:customStyle="1" w:styleId="TableHeader">
    <w:name w:val="Table Header"/>
    <w:pPr>
      <w:widowControl/>
      <w:spacing w:before="0" w:after="60" w:line="276" w:lineRule="auto"/>
    </w:pPr>
    <w:rPr>
      <w:rFonts w:ascii="Calibri" w:hAnsi="Calibri" w:eastAsia="Microsoft YaHei"/>
      <w:b/>
      <w:color w:val="0B2545"/>
      <w:sz w:val="18"/>
    </w:rPr>
  </w:style>
  <w:style w:type="paragraph" w:customStyle="1" w:styleId="Evidence">
    <w:name w:val="Evidence"/>
    <w:pPr>
      <w:widowControl/>
      <w:spacing w:before="80" w:after="80" w:line="276" w:lineRule="auto"/>
    </w:pPr>
    <w:rPr>
      <w:rFonts w:ascii="Calibri" w:hAnsi="Calibri" w:eastAsia="Microsoft YaHei"/>
      <w:b w:val="0"/>
      <w:color w:val="44444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多智能体项目交接与创新点分析</dc:title>
  <dc:subject>代码、证据与研究方向核查，2026-09-05</dc:subject>
  <dc:creator/>
  <cp:keywords>HRL, MARL, WQMIX, SFT, VNF migration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