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经济常识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Day1:</w:t>
      </w:r>
      <w:r>
        <w:rPr>
          <w:rFonts w:hint="eastAsia" w:ascii="黑体" w:hAnsi="黑体" w:eastAsia="黑体"/>
          <w:sz w:val="32"/>
          <w:szCs w:val="32"/>
        </w:rPr>
        <w:t>财政政策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与货币政策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bookmarkStart w:id="2" w:name="_GoBack"/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【学习重点】财政政策和货币政策的制定主体及基本手段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2405" cy="1880235"/>
            <wp:effectExtent l="0" t="0" r="635" b="9525"/>
            <wp:docPr id="1" name="图片 1" descr="财政政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财政政策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1135" cy="1760220"/>
            <wp:effectExtent l="0" t="0" r="1905" b="7620"/>
            <wp:docPr id="2" name="图片 2" descr="货币政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货币政策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1.财政政策的制定主体是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，可以分为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  <w:u w:val="single"/>
          <w:lang w:val="en-US" w:eastAsia="zh-CN"/>
        </w:rPr>
        <w:t>性</w:t>
      </w:r>
      <w:r>
        <w:rPr>
          <w:rFonts w:hint="eastAsia" w:ascii="宋体" w:hAnsi="宋体"/>
        </w:rPr>
        <w:t>财政政策（又称</w:t>
      </w:r>
      <w:r>
        <w:rPr>
          <w:rFonts w:hint="eastAsia" w:ascii="宋体" w:hAnsi="宋体"/>
          <w:lang w:val="en-US" w:eastAsia="zh-CN"/>
        </w:rPr>
        <w:t>积极</w:t>
      </w:r>
      <w:r>
        <w:rPr>
          <w:rFonts w:hint="eastAsia" w:ascii="宋体" w:hAnsi="宋体"/>
          <w:u w:val="none"/>
          <w:lang w:val="en-US" w:eastAsia="zh-CN"/>
        </w:rPr>
        <w:t>的</w:t>
      </w:r>
      <w:r>
        <w:rPr>
          <w:rFonts w:hint="eastAsia" w:ascii="宋体" w:hAnsi="宋体"/>
        </w:rPr>
        <w:t>财政政策）和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性财政政策（又称</w:t>
      </w:r>
      <w:r>
        <w:rPr>
          <w:rFonts w:hint="eastAsia" w:ascii="宋体" w:hAnsi="宋体"/>
          <w:lang w:val="en-US" w:eastAsia="zh-CN"/>
        </w:rPr>
        <w:t>消极</w:t>
      </w:r>
      <w:r>
        <w:rPr>
          <w:rFonts w:hint="eastAsia" w:ascii="宋体" w:hAnsi="宋体"/>
          <w:u w:val="none"/>
          <w:lang w:val="en-US" w:eastAsia="zh-CN"/>
        </w:rPr>
        <w:t>的</w:t>
      </w:r>
      <w:r>
        <w:rPr>
          <w:rFonts w:hint="eastAsia" w:ascii="宋体" w:hAnsi="宋体"/>
        </w:rPr>
        <w:t>财政政策）。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2.</w:t>
      </w:r>
      <w:r>
        <w:rPr>
          <w:rFonts w:hint="eastAsia" w:ascii="宋体" w:hAnsi="宋体"/>
          <w:u w:val="single"/>
        </w:rPr>
        <w:t xml:space="preserve">      </w:t>
      </w:r>
      <w:r>
        <w:rPr>
          <w:rFonts w:hint="eastAsia" w:ascii="宋体" w:hAnsi="宋体"/>
        </w:rPr>
        <w:t>性财政政策是指通过财政分配活动来</w:t>
      </w:r>
      <w:r>
        <w:rPr>
          <w:rFonts w:hint="eastAsia" w:ascii="宋体" w:hAnsi="宋体"/>
          <w:u w:val="none"/>
          <w:lang w:val="en-US" w:eastAsia="zh-CN"/>
        </w:rPr>
        <w:t>增加和刺激</w:t>
      </w:r>
      <w:r>
        <w:rPr>
          <w:rFonts w:hint="eastAsia" w:ascii="宋体" w:hAnsi="宋体"/>
        </w:rPr>
        <w:t>社会总需求。</w:t>
      </w:r>
    </w:p>
    <w:p>
      <w:pPr>
        <w:ind w:firstLine="420"/>
        <w:rPr>
          <w:rFonts w:ascii="宋体" w:hAnsi="宋体"/>
          <w:szCs w:val="22"/>
        </w:rPr>
      </w:pPr>
      <w:r>
        <w:rPr>
          <w:rFonts w:hint="default" w:ascii="宋体" w:hAnsi="宋体"/>
          <w:lang w:eastAsia="zh-CN"/>
        </w:rPr>
        <w:t>3</w:t>
      </w:r>
      <w:r>
        <w:rPr>
          <w:rFonts w:hint="eastAsia" w:ascii="宋体" w:hAnsi="宋体"/>
        </w:rPr>
        <w:t>.我国的银行体系分为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</w:rPr>
        <w:t>和商业银行三类。</w:t>
      </w:r>
    </w:p>
    <w:p>
      <w:pPr>
        <w:ind w:firstLine="420"/>
        <w:rPr>
          <w:rFonts w:ascii="宋体" w:hAnsi="宋体"/>
        </w:rPr>
      </w:pPr>
      <w:r>
        <w:rPr>
          <w:rFonts w:hint="default" w:ascii="宋体" w:hAnsi="宋体"/>
          <w:lang w:eastAsia="zh-CN"/>
        </w:rPr>
        <w:t>4</w:t>
      </w:r>
      <w:r>
        <w:rPr>
          <w:rFonts w:hint="eastAsia" w:ascii="宋体" w:hAnsi="宋体"/>
        </w:rPr>
        <w:t>.我国的中央银行是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hint="eastAsia" w:ascii="宋体" w:hAnsi="宋体"/>
        </w:rPr>
      </w:pPr>
      <w:r>
        <w:rPr>
          <w:rFonts w:hint="default" w:ascii="宋体" w:hAnsi="宋体"/>
          <w:lang w:eastAsia="zh-CN"/>
        </w:rPr>
        <w:t>5</w:t>
      </w:r>
      <w:r>
        <w:rPr>
          <w:rFonts w:hint="eastAsia" w:ascii="宋体" w:hAnsi="宋体"/>
        </w:rPr>
        <w:t>.存款准备金率、再贴现率、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</w:rPr>
        <w:t>合称为货币政策的“三大法宝”。</w:t>
      </w:r>
    </w:p>
    <w:p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.我国财政政策的基本手段有国家预算、税收、政府购买、政府转移性支付和国债。</w:t>
      </w:r>
    </w:p>
    <w:p>
      <w:pPr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color w:val="000000"/>
          <w:shd w:val="clear" w:color="auto" w:fill="FFFFFF"/>
          <w:lang w:val="en-US" w:eastAsia="zh-CN"/>
        </w:rPr>
        <w:t>2</w:t>
      </w:r>
      <w:r>
        <w:rPr>
          <w:rFonts w:ascii="宋体" w:hAnsi="宋体"/>
          <w:color w:val="000000"/>
          <w:shd w:val="clear" w:color="auto" w:fill="FFFFFF"/>
        </w:rPr>
        <w:t>.</w:t>
      </w:r>
      <w:r>
        <w:rPr>
          <w:rFonts w:hint="eastAsia" w:ascii="宋体" w:hAnsi="宋体"/>
        </w:rPr>
        <w:t>发生通货膨胀的时候，增加国家预算；反之，减少国家预算。</w:t>
      </w:r>
    </w:p>
    <w:p>
      <w:pPr>
        <w:ind w:firstLine="420" w:firstLineChars="200"/>
        <w:jc w:val="left"/>
        <w:rPr>
          <w:rFonts w:hint="eastAsia" w:ascii="宋体" w:hAnsi="宋体"/>
        </w:rPr>
      </w:pPr>
      <w:r>
        <w:rPr>
          <w:rFonts w:hint="default" w:ascii="宋体" w:hAnsi="宋体"/>
          <w:lang w:eastAsia="zh-CN"/>
        </w:rPr>
        <w:t>3</w:t>
      </w:r>
      <w:r>
        <w:rPr>
          <w:rFonts w:hint="eastAsia" w:ascii="宋体" w:hAnsi="宋体"/>
        </w:rPr>
        <w:t>建设性国债，发生通货膨胀的时候，减少发行；若为回笼资金，发生通货膨胀时，增加发行。</w:t>
      </w:r>
    </w:p>
    <w:p>
      <w:pPr>
        <w:ind w:firstLine="420"/>
        <w:rPr>
          <w:rFonts w:ascii="宋体" w:hAnsi="宋体"/>
        </w:rPr>
      </w:pPr>
      <w:r>
        <w:rPr>
          <w:rFonts w:hint="default" w:ascii="宋体" w:hAnsi="宋体"/>
          <w:lang w:eastAsia="zh-CN"/>
        </w:rPr>
        <w:t>4</w:t>
      </w:r>
      <w:r>
        <w:rPr>
          <w:rFonts w:hint="eastAsia" w:ascii="宋体" w:hAnsi="宋体"/>
        </w:rPr>
        <w:t>.中国进出口银行、国家开发银行、亚洲基础设施投资银行均属于政策性银行。</w:t>
      </w:r>
    </w:p>
    <w:p>
      <w:pPr>
        <w:ind w:firstLine="420"/>
        <w:rPr>
          <w:rFonts w:ascii="宋体" w:hAnsi="宋体"/>
        </w:rPr>
      </w:pPr>
      <w:r>
        <w:rPr>
          <w:rFonts w:hint="default" w:ascii="宋体" w:hAnsi="宋体"/>
          <w:lang w:eastAsia="zh-CN"/>
        </w:rPr>
        <w:t>5</w:t>
      </w:r>
      <w:r>
        <w:rPr>
          <w:rFonts w:hint="eastAsia" w:ascii="宋体" w:hAnsi="宋体"/>
        </w:rPr>
        <w:t>.中国银行、工商银行、建设银行、农业银行等属于商业银行。</w:t>
      </w:r>
    </w:p>
    <w:p>
      <w:pPr>
        <w:ind w:firstLine="420"/>
        <w:rPr>
          <w:rFonts w:ascii="宋体" w:hAnsi="宋体"/>
        </w:rPr>
      </w:pPr>
      <w:r>
        <w:rPr>
          <w:rFonts w:hint="default" w:ascii="宋体" w:hAnsi="宋体"/>
          <w:lang w:eastAsia="zh-CN"/>
        </w:rPr>
        <w:t>6</w:t>
      </w:r>
      <w:r>
        <w:rPr>
          <w:rFonts w:hint="eastAsia" w:ascii="宋体" w:hAnsi="宋体"/>
        </w:rPr>
        <w:t>.货币政策由中国人民银行制定，主要的手段是改变存款准备金率、调整再贴现率、推行公开市场业务。</w:t>
      </w:r>
    </w:p>
    <w:p>
      <w:pPr>
        <w:ind w:firstLine="420"/>
        <w:rPr>
          <w:rFonts w:ascii="宋体" w:hAnsi="宋体"/>
        </w:rPr>
      </w:pPr>
      <w:r>
        <w:rPr>
          <w:rFonts w:hint="default" w:ascii="宋体" w:hAnsi="宋体"/>
          <w:lang w:eastAsia="zh-CN"/>
        </w:rPr>
        <w:t>7</w:t>
      </w:r>
      <w:r>
        <w:rPr>
          <w:rFonts w:ascii="宋体" w:hAnsi="宋体"/>
        </w:rPr>
        <w:t>.</w:t>
      </w:r>
      <w:r>
        <w:rPr>
          <w:rFonts w:hint="eastAsia" w:ascii="宋体" w:hAnsi="宋体"/>
        </w:rPr>
        <w:t>发生通货膨胀时，降低存款准备金率；反之，提高存款准备金率。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bookmarkEnd w:id="0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2</w:t>
      </w:r>
      <w:r>
        <w:rPr>
          <w:rFonts w:hint="eastAsia" w:ascii="宋体" w:hAnsi="宋体"/>
          <w:color w:val="FF0000"/>
        </w:rPr>
        <w:t>.</w:t>
      </w:r>
      <w:bookmarkStart w:id="1" w:name="_Hlk98853948"/>
      <w:bookmarkEnd w:id="1"/>
      <w:r>
        <w:rPr>
          <w:rFonts w:hint="eastAsia" w:ascii="宋体" w:hAnsi="宋体"/>
          <w:color w:val="FF0000"/>
        </w:rPr>
        <w:t>错误；</w:t>
      </w:r>
      <w:r>
        <w:rPr>
          <w:rFonts w:hint="default" w:ascii="宋体" w:hAnsi="宋体"/>
          <w:color w:val="FF0000"/>
          <w:lang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default" w:ascii="宋体" w:hAnsi="宋体" w:cs="Calibri"/>
          <w:color w:val="FF0000"/>
          <w:lang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default" w:ascii="宋体" w:hAnsi="宋体" w:cs="Calibri"/>
          <w:color w:val="FF0000"/>
          <w:lang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default" w:ascii="宋体" w:hAnsi="宋体"/>
          <w:color w:val="FF0000"/>
          <w:lang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default" w:ascii="宋体" w:hAnsi="宋体"/>
          <w:color w:val="FF0000"/>
          <w:lang w:eastAsia="zh-CN"/>
        </w:rPr>
        <w:t>7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425"/>
    <w:rsid w:val="0024615C"/>
    <w:rsid w:val="00907373"/>
    <w:rsid w:val="00A1660B"/>
    <w:rsid w:val="00A70B0D"/>
    <w:rsid w:val="00B95159"/>
    <w:rsid w:val="00BE3425"/>
    <w:rsid w:val="00BF7055"/>
    <w:rsid w:val="00C62886"/>
    <w:rsid w:val="00D636B9"/>
    <w:rsid w:val="012D7C9B"/>
    <w:rsid w:val="01B628B0"/>
    <w:rsid w:val="247759DA"/>
    <w:rsid w:val="2B754065"/>
    <w:rsid w:val="33FFAC78"/>
    <w:rsid w:val="614929EE"/>
    <w:rsid w:val="6434127D"/>
    <w:rsid w:val="648F75FF"/>
    <w:rsid w:val="66E8024A"/>
    <w:rsid w:val="6D9C6B82"/>
    <w:rsid w:val="7A2C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character" w:customStyle="1" w:styleId="5">
    <w:name w:val="15"/>
    <w:basedOn w:val="4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6">
    <w:name w:val="16"/>
    <w:basedOn w:val="4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529</Words>
  <Characters>552</Characters>
  <Lines>5</Lines>
  <Paragraphs>1</Paragraphs>
  <TotalTime>2</TotalTime>
  <ScaleCrop>false</ScaleCrop>
  <LinksUpToDate>false</LinksUpToDate>
  <CharactersWithSpaces>603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2022-03-23T09:57:00Z</dcterms:created>
  <dc:creator>Yiko</dc:creator>
  <cp:lastModifiedBy>余勋元</cp:lastModifiedBy>
  <dcterms:modified xsi:type="dcterms:W3CDTF">2022-03-29T03:46:54Z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421981392E6E47A5A4C6FDA695762F1C</vt:lpwstr>
  </property>
</Properties>
</file>