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044" w:firstLineChars="200"/>
        <w:textAlignment w:val="auto"/>
        <w:rPr>
          <w:rFonts w:hint="default"/>
          <w:b/>
          <w:bCs/>
          <w:color w:val="C81D31" w:themeColor="accent6" w:themeShade="BF"/>
          <w:sz w:val="52"/>
          <w:szCs w:val="52"/>
          <w:highlight w:val="none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eastAsia="zh-CN"/>
        </w:rPr>
        <w:t>热点对策</w:t>
      </w:r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val="en-US" w:eastAsia="zh-CN"/>
        </w:rPr>
        <w:t>002：</w:t>
      </w:r>
      <w:r>
        <w:rPr>
          <w:rFonts w:hint="default"/>
          <w:b/>
          <w:bCs/>
          <w:color w:val="C81D31" w:themeColor="accent6" w:themeShade="BF"/>
          <w:sz w:val="52"/>
          <w:szCs w:val="52"/>
          <w:highlight w:val="none"/>
          <w:lang w:val="en-US" w:eastAsia="zh-CN"/>
        </w:rPr>
        <w:t>治理舌尖上的浪费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1.注重宣传引导。倡导绿色低碳生活方式，拒绝餐饮浪费，积极开展标语宣传、提醒适量点餐、餐后环保打包等多种服务，引导消费者主动节约粮食。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2.完善管理制度。细化餐饮制售的标准规范，推动将制止餐饮浪费纳入日常监督检查项目和餐饮企业自查项目，深化反餐饮浪费及相关法规教育，让节约粮食在全社会形成自觉习惯。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3.科技赋能管理。</w:t>
      </w: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将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大数据、物联网、人工智能等科技手段融入现代化食堂管理，将消费者餐饮数据、生产链预定数据与现场加工数据精准匹配，提高配餐精确性。对消费者整体口味偏好进行数据分析，实现按需精准备餐和菜品营养搭配，满足顾客多元化需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4.落实主体责任。网络外卖平台和线下餐饮企业要顺应消费者健康饮食习惯，做到菜品的口味、食材、分量等信息公开透明，标明建议用餐人数，推出分量适中、搭配营养的“小份菜”“半份菜”套餐等。杜绝通过起送价格、满减优惠等方式诱导消费者过量点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5.加强监督管理。各单位成立节约用餐监督小组，对浪费行为进行监督。执法部门加大反食品浪费法执法力度，定期对餐饮企业进行检查，发现问题及时进行处理。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b/>
          <w:bCs/>
          <w:sz w:val="32"/>
          <w:szCs w:val="32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62AE1061-615B-4C9C-BD1F-0A755FBFB179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21944C72-2B91-4F97-B8BE-E441AD3B23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6593F1D"/>
    <w:rsid w:val="0E79744D"/>
    <w:rsid w:val="16593F1D"/>
    <w:rsid w:val="3E2704A8"/>
    <w:rsid w:val="59866830"/>
    <w:rsid w:val="69B9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2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2024-09-06T03:50:00Z</dcterms:created>
  <dc:creator>michael</dc:creator>
  <cp:lastModifiedBy>michael</cp:lastModifiedBy>
  <dcterms:modified xsi:type="dcterms:W3CDTF">2024-09-23T01:05:48Z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95AADE9069274C958481C72DAE8ABFCC_13</vt:lpwstr>
  </property>
</Properties>
</file>