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华文中宋" w:hAnsi="华文中宋" w:eastAsia="华文中宋" w:cs="华文中宋"/>
          <w:b/>
          <w:bCs/>
          <w:color w:val="C00000"/>
          <w:sz w:val="44"/>
          <w:szCs w:val="44"/>
          <w:lang w:val="en-US" w:eastAsia="zh-CN"/>
        </w:rPr>
      </w:pPr>
      <w:r>
        <w:rPr>
          <w:rFonts w:hint="eastAsia" w:ascii="华文中宋" w:hAnsi="华文中宋" w:eastAsia="华文中宋" w:cs="华文中宋"/>
          <w:b/>
          <w:bCs/>
          <w:color w:val="C00000"/>
          <w:sz w:val="44"/>
          <w:szCs w:val="44"/>
          <w:lang w:val="en-US" w:eastAsia="zh-CN"/>
        </w:rPr>
        <w:t>合力防范毕业生求职“踩坑”</w:t>
      </w:r>
    </w:p>
    <w:p>
      <w:pPr>
        <w:keepNext w:val="0"/>
        <w:keepLines w:val="0"/>
        <w:pageBreakBefore w:val="0"/>
        <w:widowControl w:val="0"/>
        <w:kinsoku/>
        <w:wordWrap/>
        <w:overflowPunct/>
        <w:topLinePunct w:val="0"/>
        <w:autoSpaceDE/>
        <w:autoSpaceDN/>
        <w:bidi w:val="0"/>
        <w:adjustRightInd/>
        <w:snapToGrid/>
        <w:spacing w:line="400" w:lineRule="exact"/>
        <w:ind w:firstLine="482" w:firstLineChars="200"/>
        <w:jc w:val="center"/>
        <w:textAlignment w:val="auto"/>
        <w:rPr>
          <w:rFonts w:hint="eastAsia"/>
          <w:sz w:val="24"/>
          <w:szCs w:val="24"/>
          <w:vertAlign w:val="baseline"/>
        </w:rPr>
      </w:pPr>
      <w:r>
        <w:rPr>
          <w:rFonts w:hint="eastAsia"/>
          <w:b/>
          <w:bCs/>
          <w:sz w:val="24"/>
          <w:szCs w:val="24"/>
          <w:vertAlign w:val="baseline"/>
          <w:lang w:eastAsia="zh-CN"/>
        </w:rPr>
        <w:t>经济日报</w:t>
      </w:r>
    </w:p>
    <w:tbl>
      <w:tblPr>
        <w:tblStyle w:val="6"/>
        <w:tblpPr w:leftFromText="180" w:rightFromText="180" w:vertAnchor="text" w:horzAnchor="page" w:tblpX="1137" w:tblpY="398"/>
        <w:tblOverlap w:val="never"/>
        <w:tblW w:w="10173" w:type="dxa"/>
        <w:tblInd w:w="0" w:type="dxa"/>
        <w:tblBorders>
          <w:top w:val="single" w:color="C00000" w:sz="18" w:space="0"/>
          <w:left w:val="none" w:color="auto" w:sz="0" w:space="0"/>
          <w:bottom w:val="none" w:color="auto" w:sz="0" w:space="0"/>
          <w:right w:val="none" w:color="auto" w:sz="0" w:space="0"/>
          <w:insideH w:val="single" w:color="auto" w:sz="4" w:space="0"/>
          <w:insideV w:val="single" w:color="C00000" w:sz="18" w:space="0"/>
        </w:tblBorders>
        <w:tblLayout w:type="autofit"/>
        <w:tblCellMar>
          <w:top w:w="0" w:type="dxa"/>
          <w:left w:w="108" w:type="dxa"/>
          <w:bottom w:w="0" w:type="dxa"/>
          <w:right w:w="108" w:type="dxa"/>
        </w:tblCellMar>
      </w:tblPr>
      <w:tblGrid>
        <w:gridCol w:w="7270"/>
        <w:gridCol w:w="2903"/>
      </w:tblGrid>
      <w:tr>
        <w:tblPrEx>
          <w:tblBorders>
            <w:top w:val="single" w:color="C00000" w:sz="18" w:space="0"/>
            <w:left w:val="none" w:color="auto" w:sz="0" w:space="0"/>
            <w:bottom w:val="none" w:color="auto" w:sz="0" w:space="0"/>
            <w:right w:val="none" w:color="auto" w:sz="0" w:space="0"/>
            <w:insideH w:val="single" w:color="auto" w:sz="4" w:space="0"/>
            <w:insideV w:val="single" w:color="C00000" w:sz="18" w:space="0"/>
          </w:tblBorders>
          <w:tblCellMar>
            <w:top w:w="0" w:type="dxa"/>
            <w:left w:w="108" w:type="dxa"/>
            <w:bottom w:w="0" w:type="dxa"/>
            <w:right w:w="108" w:type="dxa"/>
          </w:tblCellMar>
        </w:tblPrEx>
        <w:trPr>
          <w:trHeight w:val="821" w:hRule="atLeast"/>
        </w:trPr>
        <w:tc>
          <w:tcPr>
            <w:tcW w:w="7270"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vertAlign w:val="baseline"/>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近段时间，</w:t>
            </w:r>
            <w:r>
              <w:rPr>
                <w:rFonts w:hint="eastAsia" w:ascii="宋体" w:hAnsi="宋体" w:eastAsia="宋体" w:cs="宋体"/>
                <w:b/>
                <w:bCs/>
                <w:color w:val="FFC000"/>
                <w:sz w:val="24"/>
                <w:szCs w:val="24"/>
              </w:rPr>
              <w:t>在求职市场上，一些高校毕业生不时遭遇骗局，被“割韭菜”</w:t>
            </w:r>
            <w:r>
              <w:rPr>
                <w:rFonts w:hint="eastAsia" w:ascii="宋体" w:hAnsi="宋体" w:eastAsia="宋体" w:cs="宋体"/>
                <w:sz w:val="24"/>
                <w:szCs w:val="24"/>
              </w:rPr>
              <w:t>。比如在一些职业中介服务中，五花八门的培训机构、招聘公司，以及形形色色的所谓资深从业“导师”，以进名企、拿高薪为诱饵，采用虚假宣传配合社交圈“杀熟”的方式，向求职大学生收取高额费用。更有“黑心”中介开发出“假实习”“培训贷”等职场骗局，令不少毕业生落入陷阱，最终钱财、岗位两空。</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“割韭菜”盯上求职高校毕业生危害极大。</w:t>
            </w:r>
            <w:r>
              <w:rPr>
                <w:rFonts w:hint="eastAsia" w:ascii="宋体" w:hAnsi="宋体" w:eastAsia="宋体" w:cs="宋体"/>
                <w:b/>
                <w:bCs/>
                <w:color w:val="0070C0"/>
                <w:sz w:val="24"/>
                <w:szCs w:val="24"/>
              </w:rPr>
              <w:t>一边是某些公司和个人已经形成成熟的套路和完整的上下游链条，另一边是不少毕业生涉世未深且缺乏社会经验，因而极易受到利诱，上当受骗</w:t>
            </w:r>
            <w:r>
              <w:rPr>
                <w:rFonts w:hint="eastAsia" w:ascii="宋体" w:hAnsi="宋体" w:eastAsia="宋体" w:cs="宋体"/>
                <w:sz w:val="24"/>
                <w:szCs w:val="24"/>
              </w:rPr>
              <w:t>。作为受害方的高校毕业生处于相对弱势，很多情况下“被割韭菜”还不敢投诉，造成的后果越来越严重。</w:t>
            </w:r>
            <w:r>
              <w:rPr>
                <w:rFonts w:hint="eastAsia" w:ascii="宋体" w:hAnsi="宋体" w:eastAsia="宋体" w:cs="宋体"/>
                <w:b/>
                <w:bCs/>
                <w:color w:val="843F0B" w:themeColor="accent2" w:themeShade="80"/>
                <w:sz w:val="24"/>
                <w:szCs w:val="24"/>
              </w:rPr>
              <w:t>这一乱象如果不解决，势必会影响就业市场的良好氛围乃至社会的和谐稳定</w:t>
            </w:r>
            <w:r>
              <w:rPr>
                <w:rFonts w:hint="eastAsia" w:ascii="宋体" w:hAnsi="宋体" w:eastAsia="宋体" w:cs="宋体"/>
                <w:sz w:val="24"/>
                <w:szCs w:val="24"/>
              </w:rPr>
              <w:t>。针对此，社会上下、校园内外要形成合力，</w:t>
            </w:r>
            <w:r>
              <w:rPr>
                <w:rFonts w:hint="eastAsia" w:ascii="宋体" w:hAnsi="宋体" w:eastAsia="宋体" w:cs="宋体"/>
                <w:b/>
                <w:bCs/>
                <w:color w:val="C00000"/>
                <w:sz w:val="24"/>
                <w:szCs w:val="24"/>
              </w:rPr>
              <w:t>构建让“割韭菜”行为无处遁形的坚强“盾牌”，维护就业市场健康稳定，为毕业生进入职场护航</w:t>
            </w:r>
            <w:r>
              <w:rPr>
                <w:rFonts w:hint="eastAsia" w:ascii="宋体" w:hAnsi="宋体" w:eastAsia="宋体" w:cs="宋体"/>
                <w:sz w:val="24"/>
                <w:szCs w:val="24"/>
              </w:rPr>
              <w:t>。</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一方面，</w:t>
            </w:r>
            <w:r>
              <w:rPr>
                <w:rFonts w:hint="eastAsia" w:ascii="宋体" w:hAnsi="宋体" w:eastAsia="宋体" w:cs="宋体"/>
                <w:b/>
                <w:bCs/>
                <w:color w:val="7030A0"/>
                <w:sz w:val="24"/>
                <w:szCs w:val="24"/>
              </w:rPr>
              <w:t>建立就业诚信体系。将用人单位、职介机构、毕业生和高校都纳入进来。用人单位不得为了追求发展利益动辄随意毁约，尤其是集体性毁约。职介机构要依法依规开展劳动中介服务，不得为了经济利益越过法律红线和社会道德底线。高校要对毕业生加强诚信就业教育，同时引导学生利用法律武器维护自身权益</w:t>
            </w:r>
            <w:r>
              <w:rPr>
                <w:rFonts w:hint="eastAsia" w:ascii="宋体" w:hAnsi="宋体" w:eastAsia="宋体" w:cs="宋体"/>
                <w:sz w:val="24"/>
                <w:szCs w:val="24"/>
              </w:rPr>
              <w:t>。</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另一方面，</w:t>
            </w:r>
            <w:r>
              <w:rPr>
                <w:rFonts w:hint="eastAsia" w:ascii="宋体" w:hAnsi="宋体" w:eastAsia="宋体" w:cs="宋体"/>
                <w:b/>
                <w:bCs/>
                <w:color w:val="002060"/>
                <w:sz w:val="24"/>
                <w:szCs w:val="24"/>
              </w:rPr>
              <w:t>加强就业市场治理。建立人社、教育、司法等多部门协同治理机制，畅通投诉渠道，加大对“黑职介”的惩处打击力度。各级地方政府要把促进高校毕业生就业与营商环境建设挂起钩来，着力提升人力资源服务质效，定期开展人力服务市场专项整顿行动</w:t>
            </w:r>
            <w:r>
              <w:rPr>
                <w:rFonts w:hint="eastAsia" w:ascii="宋体" w:hAnsi="宋体" w:eastAsia="宋体" w:cs="宋体"/>
                <w:sz w:val="24"/>
                <w:szCs w:val="24"/>
              </w:rPr>
              <w:t>。</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vertAlign w:val="baseline"/>
                <w:lang w:val="en-US" w:eastAsia="zh-CN"/>
              </w:rPr>
            </w:pPr>
            <w:r>
              <w:rPr>
                <w:rFonts w:hint="eastAsia" w:ascii="宋体" w:hAnsi="宋体" w:eastAsia="宋体" w:cs="宋体"/>
                <w:sz w:val="24"/>
                <w:szCs w:val="24"/>
              </w:rPr>
              <w:t>此外，</w:t>
            </w:r>
            <w:bookmarkStart w:id="0" w:name="_GoBack"/>
            <w:r>
              <w:rPr>
                <w:rFonts w:hint="eastAsia" w:ascii="宋体" w:hAnsi="宋体" w:eastAsia="宋体" w:cs="宋体"/>
                <w:b/>
                <w:bCs/>
                <w:color w:val="588E31" w:themeColor="accent4" w:themeShade="BF"/>
                <w:sz w:val="24"/>
                <w:szCs w:val="24"/>
              </w:rPr>
              <w:t>建立就业预警机制。实行“黑名单”制度，将不具备服务资质或违法开展服务的中介机构以及违法服务项目等，列入校园招聘、社会招聘黑名单，并向全社会公布。加强警示教育，跟踪就业诈骗新骗术、新花样，向毕业生和学校及时发送警戒提示。加强就业现象研究，针对劳动力市场供求关系，运用大数据和人工智能介入分析预测模型，科学预测行业核心发展指标，指导毕业生合理选择就业方向，实现与用人单位的“双向奔赴”</w:t>
            </w:r>
            <w:bookmarkEnd w:id="0"/>
            <w:r>
              <w:rPr>
                <w:rFonts w:hint="eastAsia" w:ascii="宋体" w:hAnsi="宋体" w:eastAsia="宋体" w:cs="宋体"/>
                <w:sz w:val="24"/>
                <w:szCs w:val="24"/>
              </w:rPr>
              <w:t>。</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vertAlign w:val="baseline"/>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vertAlign w:val="baseline"/>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vertAlign w:val="baseline"/>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vertAlign w:val="baseline"/>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vertAlign w:val="baseline"/>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vertAlign w:val="baseline"/>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vertAlign w:val="baseline"/>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vertAlign w:val="baseline"/>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vertAlign w:val="baseline"/>
                <w:lang w:val="en-US" w:eastAsia="zh-CN"/>
              </w:rPr>
            </w:pPr>
          </w:p>
        </w:tc>
        <w:tc>
          <w:tcPr>
            <w:tcW w:w="2903" w:type="dxa"/>
            <w:tcBorders>
              <w:tl2br w:val="nil"/>
              <w:tr2bl w:val="nil"/>
            </w:tcBorders>
            <w:vAlign w:val="top"/>
          </w:tcPr>
          <w:p>
            <w:pPr>
              <w:rPr>
                <w:rFonts w:hint="eastAsia" w:ascii="仿宋" w:hAnsi="仿宋" w:eastAsia="仿宋" w:cs="仿宋"/>
                <w:b/>
                <w:bCs/>
                <w:color w:val="C00000"/>
                <w:sz w:val="24"/>
                <w:szCs w:val="24"/>
                <w:vertAlign w:val="baseline"/>
                <w:lang w:val="en-US" w:eastAsia="zh-CN"/>
              </w:rPr>
            </w:pPr>
          </w:p>
          <w:p>
            <w:pPr>
              <w:rPr>
                <w:rFonts w:hint="eastAsia" w:ascii="仿宋" w:hAnsi="仿宋" w:eastAsia="仿宋" w:cs="仿宋"/>
                <w:b/>
                <w:bCs/>
                <w:color w:val="C00000"/>
                <w:sz w:val="24"/>
                <w:szCs w:val="24"/>
                <w:vertAlign w:val="baseline"/>
                <w:lang w:val="en-US" w:eastAsia="zh-CN"/>
              </w:rPr>
            </w:pPr>
          </w:p>
          <w:p>
            <w:pP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pPr>
            <w:r>
              <w:rPr>
                <w:rFonts w:hint="eastAsia" w:ascii="仿宋" w:hAnsi="仿宋" w:eastAsia="仿宋" w:cs="仿宋"/>
                <w:b/>
                <w:bCs/>
                <w:color w:val="C00000"/>
                <w:sz w:val="24"/>
                <w:szCs w:val="24"/>
                <w:vertAlign w:val="baseline"/>
                <w:lang w:val="en-US" w:eastAsia="zh-CN"/>
              </w:rPr>
              <w:t>介绍背景：</w:t>
            </w:r>
            <w: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t>在求职市场上，一些高校毕业生不时遭遇骗局</w:t>
            </w:r>
          </w:p>
          <w:p>
            <w:pP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pPr>
            <w:r>
              <w:rPr>
                <w:rFonts w:hint="eastAsia" w:ascii="仿宋" w:hAnsi="仿宋" w:eastAsia="仿宋" w:cs="仿宋"/>
                <w:b/>
                <w:bCs/>
                <w:color w:val="C00000"/>
                <w:sz w:val="24"/>
                <w:szCs w:val="24"/>
                <w:vertAlign w:val="baseline"/>
                <w:lang w:val="en-US" w:eastAsia="zh-CN"/>
              </w:rPr>
              <w:t>具体表现：</w:t>
            </w:r>
            <w: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t>收取高昂职业介绍费，黑中介开发职场骗局</w:t>
            </w:r>
          </w:p>
          <w:p>
            <w:pP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pPr>
          </w:p>
          <w:p>
            <w:pP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pPr>
          </w:p>
          <w:p>
            <w:pP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pPr>
            <w:r>
              <w:rPr>
                <w:rFonts w:hint="eastAsia" w:ascii="仿宋" w:hAnsi="仿宋" w:eastAsia="仿宋" w:cs="仿宋"/>
                <w:b/>
                <w:bCs/>
                <w:color w:val="C00000"/>
                <w:sz w:val="24"/>
                <w:szCs w:val="24"/>
                <w:vertAlign w:val="baseline"/>
                <w:lang w:val="en-US" w:eastAsia="zh-CN"/>
              </w:rPr>
              <w:t>受骗原因：</w:t>
            </w:r>
            <w: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t>已经形成成熟套路和完整产业链条；</w:t>
            </w:r>
          </w:p>
          <w:p>
            <w:pP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pPr>
            <w: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t>毕业生涉世未深且缺乏社会经验，容易受到利诱，上当受骗；毕业生处于相对若是，不敢投诉</w:t>
            </w:r>
          </w:p>
          <w:p>
            <w:pP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pPr>
            <w:r>
              <w:rPr>
                <w:rFonts w:hint="eastAsia" w:ascii="仿宋" w:hAnsi="仿宋" w:eastAsia="仿宋" w:cs="仿宋"/>
                <w:b/>
                <w:bCs/>
                <w:color w:val="C00000"/>
                <w:sz w:val="24"/>
                <w:szCs w:val="24"/>
                <w:vertAlign w:val="baseline"/>
                <w:lang w:val="en-US" w:eastAsia="zh-CN"/>
              </w:rPr>
              <w:t>危害：</w:t>
            </w:r>
            <w: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t>毕业生遭受财务损失，影响就业市场环境、破坏社会和谐稳定</w:t>
            </w:r>
          </w:p>
          <w:p>
            <w:pP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pPr>
            <w:r>
              <w:rPr>
                <w:rFonts w:hint="eastAsia" w:ascii="仿宋" w:hAnsi="仿宋" w:eastAsia="仿宋" w:cs="仿宋"/>
                <w:b/>
                <w:bCs/>
                <w:color w:val="C00000"/>
                <w:sz w:val="24"/>
                <w:szCs w:val="24"/>
                <w:vertAlign w:val="baseline"/>
                <w:lang w:val="en-US" w:eastAsia="zh-CN"/>
              </w:rPr>
              <w:t>观点：</w:t>
            </w:r>
            <w: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t>构建坚强盾牌，维护就业市场健康稳定，为毕业生护航</w:t>
            </w:r>
          </w:p>
          <w:p>
            <w:pPr>
              <w:rPr>
                <w:rFonts w:hint="eastAsia" w:ascii="仿宋" w:hAnsi="仿宋" w:eastAsia="宋体" w:cs="仿宋"/>
                <w:b/>
                <w:bCs/>
                <w:color w:val="C00000"/>
                <w:sz w:val="24"/>
                <w:szCs w:val="24"/>
                <w:vertAlign w:val="baseline"/>
                <w:lang w:val="en-US" w:eastAsia="zh-CN"/>
              </w:rPr>
            </w:pPr>
            <w:r>
              <w:rPr>
                <w:rFonts w:hint="eastAsia" w:ascii="仿宋" w:hAnsi="仿宋" w:eastAsia="仿宋" w:cs="仿宋"/>
                <w:b/>
                <w:bCs/>
                <w:color w:val="C00000"/>
                <w:sz w:val="24"/>
                <w:szCs w:val="24"/>
                <w:vertAlign w:val="baseline"/>
                <w:lang w:val="en-US" w:eastAsia="zh-CN"/>
              </w:rPr>
              <w:t>对策：建立诚信体系。</w:t>
            </w:r>
            <w: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t>将用人单位、职介机构、毕业生和高校纳入其中。用人单位不得随意毁约；职介机构要依法依规开展中介服务；高校要加强就业教育，引导学生利用法律维护自身权益。</w:t>
            </w:r>
          </w:p>
          <w:p>
            <w:pP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pPr>
            <w:r>
              <w:rPr>
                <w:rFonts w:hint="eastAsia" w:ascii="仿宋" w:hAnsi="仿宋" w:eastAsia="仿宋" w:cs="仿宋"/>
                <w:b/>
                <w:bCs/>
                <w:color w:val="C00000"/>
                <w:sz w:val="24"/>
                <w:szCs w:val="24"/>
                <w:vertAlign w:val="baseline"/>
                <w:lang w:val="en-US" w:eastAsia="zh-CN"/>
              </w:rPr>
              <w:t>对策：加强市场治理。</w:t>
            </w:r>
            <w: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t>建立多部门协同治理机制，畅通投诉渠道，加大对黑职介惩处打击力度，定期开展专项整顿行动。</w:t>
            </w:r>
          </w:p>
          <w:p>
            <w:pPr>
              <w:rPr>
                <w:rFonts w:hint="eastAsia" w:ascii="仿宋" w:hAnsi="仿宋" w:eastAsia="仿宋" w:cs="仿宋"/>
                <w:b/>
                <w:bCs/>
                <w:color w:val="C00000"/>
                <w:sz w:val="24"/>
                <w:szCs w:val="24"/>
                <w:vertAlign w:val="baseline"/>
                <w:lang w:val="en-US" w:eastAsia="zh-CN"/>
              </w:rPr>
            </w:pPr>
          </w:p>
          <w:p>
            <w:pPr>
              <w:rPr>
                <w:rFonts w:hint="eastAsia" w:ascii="仿宋" w:hAnsi="仿宋" w:eastAsia="仿宋" w:cs="仿宋"/>
                <w:b/>
                <w:bCs/>
                <w:color w:val="C00000"/>
                <w:sz w:val="24"/>
                <w:szCs w:val="24"/>
                <w:vertAlign w:val="baseline"/>
                <w:lang w:val="en-US" w:eastAsia="zh-CN"/>
              </w:rPr>
            </w:pPr>
          </w:p>
          <w:p>
            <w:pP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pPr>
            <w:r>
              <w:rPr>
                <w:rFonts w:hint="eastAsia" w:ascii="仿宋" w:hAnsi="仿宋" w:eastAsia="仿宋" w:cs="仿宋"/>
                <w:b/>
                <w:bCs/>
                <w:color w:val="C00000"/>
                <w:sz w:val="24"/>
                <w:szCs w:val="24"/>
                <w:vertAlign w:val="baseline"/>
                <w:lang w:val="en-US" w:eastAsia="zh-CN"/>
              </w:rPr>
              <w:t>对策：建立预警机制。</w:t>
            </w:r>
            <w: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t>实行黑名单制度，将不具备服务资质或违法开展服务的中介机构以及违法服务项目列入校园招聘、社会招聘黑名单，并向全社会公布。</w:t>
            </w:r>
          </w:p>
          <w:p>
            <w:pPr>
              <w:rPr>
                <w:rFonts w:hint="eastAsia" w:ascii="仿宋" w:hAnsi="仿宋" w:eastAsia="宋体" w:cs="仿宋"/>
                <w:b/>
                <w:bCs/>
                <w:color w:val="C00000"/>
                <w:sz w:val="24"/>
                <w:szCs w:val="24"/>
                <w:vertAlign w:val="baseline"/>
                <w:lang w:val="en-US" w:eastAsia="zh-CN"/>
              </w:rPr>
            </w:pPr>
            <w:r>
              <w:rPr>
                <w:rFonts w:hint="eastAsia" w:ascii="仿宋" w:hAnsi="仿宋" w:eastAsia="仿宋" w:cs="仿宋"/>
                <w:b/>
                <w:bCs/>
                <w:color w:val="C00000"/>
                <w:sz w:val="24"/>
                <w:szCs w:val="24"/>
                <w:vertAlign w:val="baseline"/>
                <w:lang w:val="en-US" w:eastAsia="zh-CN"/>
              </w:rPr>
              <w:t>对策：加强警示教育。</w:t>
            </w:r>
            <w: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t>跟踪就业诈骗新骗术、新花样，向毕业生和学校及时发送警戒提示。</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pPr>
            <w:r>
              <w:rPr>
                <w:rFonts w:hint="eastAsia" w:ascii="仿宋" w:hAnsi="仿宋" w:eastAsia="仿宋" w:cs="仿宋"/>
                <w:b/>
                <w:bCs/>
                <w:color w:val="C00000"/>
                <w:sz w:val="24"/>
                <w:szCs w:val="24"/>
                <w:vertAlign w:val="baseline"/>
                <w:lang w:val="en-US" w:eastAsia="zh-CN"/>
              </w:rPr>
              <w:t>对策：科技赋能就业。</w:t>
            </w:r>
            <w: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t>针对劳动力市场供求关系，运用大数据和人工智能介入分析预测模型，科学预测行业核心发展指标，指导毕业生合理选择就业方向。</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 w:hAnsi="仿宋" w:eastAsia="仿宋" w:cs="仿宋"/>
                <w:b/>
                <w:bCs/>
                <w:color w:val="C00000"/>
                <w:sz w:val="24"/>
                <w:szCs w:val="24"/>
                <w:vertAlign w:val="baseline"/>
                <w:lang w:val="en-US" w:eastAsia="zh-CN"/>
              </w:rPr>
            </w:pPr>
            <w:r>
              <w:rPr>
                <w:rFonts w:hint="eastAsia" w:ascii="仿宋" w:hAnsi="仿宋" w:eastAsia="仿宋" w:cs="仿宋"/>
                <w:b/>
                <w:bCs/>
                <w:color w:val="C00000"/>
                <w:sz w:val="24"/>
                <w:szCs w:val="24"/>
                <w:vertAlign w:val="baseline"/>
                <w:lang w:val="en-US" w:eastAsia="zh-CN"/>
              </w:rPr>
              <w:t>补充对策：拓宽就业渠道。</w:t>
            </w:r>
            <w: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t>为毕业生建立就业档案，登记专业、就业意向等信息，通过官方职业介绍机构推介工作。举办毕业生专场招聘会，邀请诚信度优良企业参与，满足学生就业需求。</w:t>
            </w:r>
          </w:p>
          <w:p>
            <w:pPr>
              <w:rPr>
                <w:rFonts w:hint="eastAsia" w:ascii="仿宋" w:hAnsi="仿宋" w:eastAsia="仿宋" w:cs="仿宋"/>
                <w:b/>
                <w:bCs/>
                <w:color w:val="C00000"/>
                <w:sz w:val="24"/>
                <w:szCs w:val="24"/>
                <w:vertAlign w:val="baseline"/>
                <w:lang w:val="en-US" w:eastAsia="zh-CN"/>
              </w:rPr>
            </w:pPr>
          </w:p>
          <w:p>
            <w:pPr>
              <w:rPr>
                <w:rFonts w:hint="eastAsia" w:ascii="仿宋" w:hAnsi="仿宋" w:eastAsia="仿宋" w:cs="仿宋"/>
                <w:b/>
                <w:bCs/>
                <w:color w:val="C00000"/>
                <w:sz w:val="24"/>
                <w:szCs w:val="24"/>
                <w:vertAlign w:val="baseline"/>
                <w:lang w:val="en-US" w:eastAsia="zh-CN"/>
              </w:rPr>
            </w:pPr>
          </w:p>
          <w:p>
            <w:pPr>
              <w:rPr>
                <w:rFonts w:hint="eastAsia" w:ascii="仿宋" w:hAnsi="仿宋" w:eastAsia="仿宋" w:cs="仿宋"/>
                <w:b/>
                <w:bCs/>
                <w:color w:val="C00000"/>
                <w:sz w:val="24"/>
                <w:szCs w:val="24"/>
                <w:vertAlign w:val="baseline"/>
                <w:lang w:val="en-US" w:eastAsia="zh-CN"/>
              </w:rPr>
            </w:pPr>
          </w:p>
          <w:p>
            <w:pPr>
              <w:rPr>
                <w:rFonts w:hint="eastAsia" w:ascii="仿宋" w:hAnsi="仿宋" w:eastAsia="仿宋" w:cs="仿宋"/>
                <w:b/>
                <w:bCs/>
                <w:color w:val="C00000"/>
                <w:sz w:val="24"/>
                <w:szCs w:val="24"/>
                <w:vertAlign w:val="baseline"/>
                <w:lang w:val="en-US" w:eastAsia="zh-CN"/>
              </w:rPr>
            </w:pPr>
          </w:p>
          <w:p>
            <w:pPr>
              <w:rPr>
                <w:rFonts w:hint="eastAsia" w:ascii="仿宋" w:hAnsi="仿宋" w:eastAsia="仿宋" w:cs="仿宋"/>
                <w:b/>
                <w:bCs/>
                <w:color w:val="C00000"/>
                <w:sz w:val="24"/>
                <w:szCs w:val="24"/>
                <w:vertAlign w:val="baseline"/>
                <w:lang w:val="en-US" w:eastAsia="zh-CN"/>
              </w:rPr>
            </w:pPr>
          </w:p>
          <w:p>
            <w:pPr>
              <w:rPr>
                <w:rFonts w:hint="eastAsia" w:ascii="宋体" w:hAnsi="宋体" w:eastAsia="宋体" w:cs="宋体"/>
                <w:sz w:val="24"/>
                <w:szCs w:val="24"/>
              </w:rPr>
            </w:pPr>
          </w:p>
          <w:p>
            <w:pPr>
              <w:rPr>
                <w:rFonts w:hint="eastAsia" w:ascii="宋体" w:hAnsi="宋体" w:eastAsia="宋体" w:cs="宋体"/>
                <w:sz w:val="24"/>
                <w:szCs w:val="24"/>
                <w:lang w:val="en-US" w:eastAsia="zh-CN"/>
              </w:rPr>
            </w:pPr>
          </w:p>
          <w:p>
            <w:pPr>
              <w:rPr>
                <w:rFonts w:hint="eastAsia" w:ascii="仿宋" w:hAnsi="仿宋" w:eastAsia="仿宋" w:cs="仿宋"/>
                <w:b/>
                <w:bCs/>
                <w:color w:val="C00000"/>
                <w:sz w:val="24"/>
                <w:szCs w:val="24"/>
                <w:vertAlign w:val="baseline"/>
                <w:lang w:val="en-US" w:eastAsia="zh-CN"/>
              </w:rPr>
            </w:pPr>
          </w:p>
          <w:p>
            <w:pPr>
              <w:rPr>
                <w:rFonts w:hint="eastAsia" w:ascii="仿宋" w:hAnsi="仿宋" w:eastAsia="仿宋" w:cs="仿宋"/>
                <w:b/>
                <w:bCs/>
                <w:color w:val="C00000"/>
                <w:sz w:val="24"/>
                <w:szCs w:val="24"/>
                <w:vertAlign w:val="baseline"/>
                <w:lang w:val="en-US" w:eastAsia="zh-CN"/>
              </w:rPr>
            </w:pPr>
          </w:p>
          <w:p>
            <w:pPr>
              <w:rPr>
                <w:rFonts w:hint="eastAsia" w:ascii="仿宋" w:hAnsi="仿宋" w:eastAsia="仿宋" w:cs="仿宋"/>
                <w:b/>
                <w:bCs/>
                <w:color w:val="C00000"/>
                <w:sz w:val="24"/>
                <w:szCs w:val="24"/>
                <w:vertAlign w:val="baseline"/>
                <w:lang w:val="en-US" w:eastAsia="zh-CN"/>
              </w:rPr>
            </w:pPr>
          </w:p>
          <w:p>
            <w:pPr>
              <w:rPr>
                <w:rFonts w:hint="eastAsia" w:ascii="仿宋" w:hAnsi="仿宋" w:eastAsia="仿宋" w:cs="仿宋"/>
                <w:b/>
                <w:bCs/>
                <w:color w:val="C00000"/>
                <w:sz w:val="24"/>
                <w:szCs w:val="24"/>
                <w:vertAlign w:val="baseline"/>
                <w:lang w:val="en-US" w:eastAsia="zh-CN"/>
              </w:rPr>
            </w:pPr>
          </w:p>
          <w:p>
            <w:pPr>
              <w:rPr>
                <w:rFonts w:hint="eastAsia" w:ascii="仿宋" w:hAnsi="仿宋" w:eastAsia="仿宋" w:cs="仿宋"/>
                <w:b/>
                <w:bCs/>
                <w:color w:val="C00000"/>
                <w:sz w:val="24"/>
                <w:szCs w:val="24"/>
                <w:vertAlign w:val="baseline"/>
                <w:lang w:val="en-US" w:eastAsia="zh-CN"/>
              </w:rPr>
            </w:pPr>
          </w:p>
          <w:p>
            <w:pPr>
              <w:rPr>
                <w:rFonts w:hint="eastAsia" w:ascii="仿宋" w:hAnsi="仿宋" w:eastAsia="仿宋" w:cs="仿宋"/>
                <w:b/>
                <w:bCs/>
                <w:color w:val="C00000"/>
                <w:sz w:val="24"/>
                <w:szCs w:val="24"/>
                <w:vertAlign w:val="baseline"/>
                <w:lang w:val="en-US" w:eastAsia="zh-CN"/>
              </w:rPr>
            </w:pPr>
          </w:p>
          <w:p>
            <w:pPr>
              <w:rPr>
                <w:rFonts w:hint="eastAsia" w:ascii="仿宋" w:hAnsi="仿宋" w:eastAsia="仿宋" w:cs="仿宋"/>
                <w:b/>
                <w:bCs/>
                <w:color w:val="C00000"/>
                <w:sz w:val="24"/>
                <w:szCs w:val="24"/>
                <w:vertAlign w:val="baseline"/>
                <w:lang w:val="en-US" w:eastAsia="zh-CN"/>
              </w:rPr>
            </w:pPr>
          </w:p>
          <w:p>
            <w:pPr>
              <w:rPr>
                <w:rFonts w:hint="default"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pPr>
          </w:p>
          <w:p>
            <w:pPr>
              <w:rPr>
                <w:rFonts w:hint="default"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pPr>
          </w:p>
        </w:tc>
      </w:tr>
    </w:tbl>
    <w:p>
      <w:pPr>
        <w:keepNext w:val="0"/>
        <w:keepLines w:val="0"/>
        <w:pageBreakBefore w:val="0"/>
        <w:widowControl w:val="0"/>
        <w:kinsoku/>
        <w:wordWrap/>
        <w:overflowPunct/>
        <w:topLinePunct w:val="0"/>
        <w:autoSpaceDE/>
        <w:autoSpaceDN/>
        <w:bidi w:val="0"/>
        <w:adjustRightInd/>
        <w:snapToGrid/>
        <w:textAlignment w:val="auto"/>
        <w:rPr>
          <w:rFonts w:hint="default" w:ascii="仿宋" w:hAnsi="仿宋" w:eastAsia="仿宋" w:cs="仿宋"/>
          <w:b/>
          <w:bCs/>
          <w:color w:val="C00000"/>
          <w:sz w:val="24"/>
          <w:szCs w:val="24"/>
          <w:vertAlign w:val="baseline"/>
          <w:lang w:val="en-US" w:eastAsia="zh-CN"/>
        </w:rPr>
      </w:pPr>
    </w:p>
    <w:sectPr>
      <w:headerReference r:id="rId3" w:type="default"/>
      <w:footerReference r:id="rId4" w:type="default"/>
      <w:pgSz w:w="11906" w:h="16838"/>
      <w:pgMar w:top="1134" w:right="1134" w:bottom="1134" w:left="1134"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82"/>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right"/>
    </w:pPr>
    <w:r>
      <w:drawing>
        <wp:inline distT="0" distB="0" distL="114300" distR="114300">
          <wp:extent cx="1372235" cy="338455"/>
          <wp:effectExtent l="0" t="0" r="8890" b="444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
                  <a:stretch>
                    <a:fillRect/>
                  </a:stretch>
                </pic:blipFill>
                <pic:spPr>
                  <a:xfrm>
                    <a:off x="0" y="0"/>
                    <a:ext cx="1372235" cy="338455"/>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I1NWMwMDdlMzIxMzRjMThjNDRlYzNiNjVlZGY4MTgifQ=="/>
  </w:docVars>
  <w:rsids>
    <w:rsidRoot w:val="1880177C"/>
    <w:rsid w:val="00BB413A"/>
    <w:rsid w:val="021D73F3"/>
    <w:rsid w:val="0A3A1653"/>
    <w:rsid w:val="0D7C40FF"/>
    <w:rsid w:val="0F45369E"/>
    <w:rsid w:val="12A46AD7"/>
    <w:rsid w:val="1359069D"/>
    <w:rsid w:val="15FA2FFC"/>
    <w:rsid w:val="1B7E3D3C"/>
    <w:rsid w:val="1C21179B"/>
    <w:rsid w:val="1E1E41B4"/>
    <w:rsid w:val="209C001C"/>
    <w:rsid w:val="21781548"/>
    <w:rsid w:val="229708DC"/>
    <w:rsid w:val="25250EC0"/>
    <w:rsid w:val="26681245"/>
    <w:rsid w:val="267D1960"/>
    <w:rsid w:val="27923F41"/>
    <w:rsid w:val="2F120B2A"/>
    <w:rsid w:val="328B48D8"/>
    <w:rsid w:val="32B513FB"/>
    <w:rsid w:val="336B086B"/>
    <w:rsid w:val="348A3241"/>
    <w:rsid w:val="36D1697E"/>
    <w:rsid w:val="38027C41"/>
    <w:rsid w:val="387E78BD"/>
    <w:rsid w:val="3EA969A6"/>
    <w:rsid w:val="41445FF5"/>
    <w:rsid w:val="430C640E"/>
    <w:rsid w:val="48E830CD"/>
    <w:rsid w:val="599C38DD"/>
    <w:rsid w:val="59C07619"/>
    <w:rsid w:val="5C60569C"/>
    <w:rsid w:val="5D743EE0"/>
    <w:rsid w:val="5E002D12"/>
    <w:rsid w:val="60944D82"/>
    <w:rsid w:val="63CC21F6"/>
    <w:rsid w:val="64FF124A"/>
    <w:rsid w:val="67971491"/>
    <w:rsid w:val="69E635D5"/>
    <w:rsid w:val="6F631439"/>
    <w:rsid w:val="709745E2"/>
    <w:rsid w:val="70EB1E79"/>
    <w:rsid w:val="73EA0EE1"/>
    <w:rsid w:val="77CB4BB6"/>
    <w:rsid w:val="782F36D3"/>
    <w:rsid w:val="79A67D23"/>
    <w:rsid w:val="7CCE028B"/>
    <w:rsid w:val="7CE12EBB"/>
    <w:rsid w:val="7D304D71"/>
    <w:rsid w:val="7F171C9E"/>
    <w:rsid w:val="7F5D1B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7">
    <w:name w:val="Default Paragraph Font"/>
    <w:autoRedefine/>
    <w:semiHidden/>
    <w:qFormat/>
    <w:uiPriority w:val="0"/>
  </w:style>
  <w:style w:type="table" w:default="1" w:styleId="5">
    <w:name w:val="Normal Table"/>
    <w:autoRedefine/>
    <w:semiHidden/>
    <w:qFormat/>
    <w:uiPriority w:val="0"/>
    <w:tblPr>
      <w:tblCellMar>
        <w:top w:w="0" w:type="dxa"/>
        <w:left w:w="108" w:type="dxa"/>
        <w:bottom w:w="0" w:type="dxa"/>
        <w:right w:w="108" w:type="dxa"/>
      </w:tblCellMar>
    </w:tblPr>
  </w:style>
  <w:style w:type="paragraph" w:styleId="3">
    <w:name w:val="footer"/>
    <w:basedOn w:val="1"/>
    <w:autoRedefine/>
    <w:qFormat/>
    <w:uiPriority w:val="0"/>
    <w:pPr>
      <w:tabs>
        <w:tab w:val="center" w:pos="4153"/>
        <w:tab w:val="right" w:pos="8306"/>
      </w:tabs>
      <w:snapToGrid w:val="0"/>
      <w:jc w:val="left"/>
    </w:pPr>
    <w:rPr>
      <w:sz w:val="18"/>
    </w:rPr>
  </w:style>
  <w:style w:type="paragraph" w:styleId="4">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autoRedefine/>
    <w:qFormat/>
    <w:uiPriority w:val="0"/>
    <w:rPr>
      <w:b/>
    </w:rPr>
  </w:style>
  <w:style w:type="character" w:styleId="9">
    <w:name w:val="Emphasis"/>
    <w:basedOn w:val="7"/>
    <w:autoRedefine/>
    <w:qFormat/>
    <w:uiPriority w:val="0"/>
    <w:rPr>
      <w:i/>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1557</Words>
  <Characters>1561</Characters>
  <Lines>0</Lines>
  <Paragraphs>0</Paragraphs>
  <TotalTime>62</TotalTime>
  <ScaleCrop>false</ScaleCrop>
  <LinksUpToDate>false</LinksUpToDate>
  <CharactersWithSpaces>1561</CharactersWithSpaces>
  <Application>WPS Office_12.1.0.16412_F1E327BC-269C-435d-A152-05C5408002CA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2023-11-30T02:32:00Z</dcterms:created>
  <dc:creator>michael</dc:creator>
  <cp:lastModifiedBy>michael</cp:lastModifiedBy>
  <dcterms:modified xsi:type="dcterms:W3CDTF">2024-08-27T07:08:48Z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2052-12.1.0.16412</vt:lpwstr>
  </property>
  <property fmtid="{D5CDD505-2E9C-101B-9397-08002B2CF9AE}" pid="3" name="ICV">
    <vt:lpwstr>7F06FAB0B0194E9FADD5F7F2B58F1EBC_13</vt:lpwstr>
  </property>
</Properties>
</file>