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2026-07-31</w:t>
      </w:r>
    </w:p>
    <w:p>
      <w:pPr>
        <w:spacing w:before="160" w:after="120"/>
      </w:pPr>
      <w:r>
        <w:rPr>
          <w:b/>
          <w:sz w:val="28"/>
        </w:rPr>
        <w:t>【光伏】</w:t>
      </w:r>
    </w:p>
    <w:p>
      <w:pPr>
        <w:spacing w:before="160" w:after="40" w:line="240" w:lineRule="auto"/>
      </w:pPr>
      <w:r>
        <w:rPr>
          <w:b/>
        </w:rPr>
        <w:t xml:space="preserve">[1] </w:t>
      </w:r>
      <w:hyperlink r:id="rId9">
        <w:r>
          <w:rPr>
            <w:color w:val="1155CC"/>
            <w:u w:val="single"/>
          </w:rPr>
          <w:t>电动汽车双向充电，通过分布式太阳能发电实现可持续能源管理</w:t>
        </w:r>
      </w:hyperlink>
    </w:p>
    <w:p>
      <w:pPr>
        <w:spacing w:before="0" w:after="80"/>
      </w:pPr>
      <w:r>
        <w:rPr>
          <w:i/>
          <w:sz w:val="20"/>
        </w:rPr>
        <w:t>EN: Bi-directional charging of electric vehicles for sustainable energy management with distributed solar generation</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10">
        <w:r>
          <w:rPr>
            <w:color w:val="1155CC"/>
            <w:u w:val="single"/>
          </w:rPr>
          <w:t>10.1016/j.apenergy.2026.128478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1">
        <w:r>
          <w:rPr>
            <w:color w:val="1155CC"/>
            <w:u w:val="single"/>
          </w:rPr>
          <w:t>由多功能氮氧化钛复合层实现的高性能钙钛矿/硅串联太阳能电池</w:t>
        </w:r>
      </w:hyperlink>
    </w:p>
    <w:p>
      <w:pPr>
        <w:spacing w:before="0" w:after="80"/>
      </w:pPr>
      <w:r>
        <w:rPr>
          <w:i/>
          <w:sz w:val="20"/>
        </w:rPr>
        <w:t>EN: High-performance perovskite/silicon tandem solar cells enabled by multifunctional titanium oxynitride recombination layers</w:t>
      </w:r>
    </w:p>
    <w:p>
      <w:pPr>
        <w:spacing w:before="0" w:after="120"/>
      </w:pPr>
      <w:r>
        <w:rPr>
          <w:b/>
        </w:rPr>
        <w:t xml:space="preserve">Source: </w:t>
      </w:r>
      <w:r>
        <w:t>Nature Energy</w:t>
      </w:r>
      <w:r>
        <w:t xml:space="preserve">    </w:t>
      </w:r>
      <w:r>
        <w:rPr>
          <w:b/>
        </w:rPr>
        <w:t xml:space="preserve">Pub date: </w:t>
      </w:r>
      <w:r>
        <w:t>2026-07-24 00:00:00+00:00</w:t>
      </w:r>
      <w:r>
        <w:t xml:space="preserve">    </w:t>
      </w:r>
      <w:r>
        <w:rPr>
          <w:b/>
        </w:rPr>
        <w:t xml:space="preserve">DOI: </w:t>
      </w:r>
      <w:hyperlink r:id="rId12">
        <w:r>
          <w:rPr>
            <w:color w:val="1155CC"/>
            <w:u w:val="single"/>
          </w:rPr>
          <w:t>10.1038/s41560-026-02116-4</w:t>
        </w:r>
      </w:hyperlink>
    </w:p>
    <w:p>
      <w:pPr>
        <w:spacing w:before="0" w:after="120"/>
      </w:pPr>
      <w:r>
        <w:rPr>
          <w:b/>
        </w:rPr>
        <w:t xml:space="preserve">Notes: </w:t>
      </w:r>
      <w:r>
        <w:t>abstract_source=rss_nature</w:t>
      </w:r>
    </w:p>
    <w:p>
      <w:pPr>
        <w:spacing w:before="0" w:after="80" w:lineRule="auto" w:line="276"/>
      </w:pPr>
      <w:r>
        <w:rPr>
          <w:b/>
        </w:rPr>
        <w:t xml:space="preserve">摘要（ZH）: </w:t>
      </w:r>
      <w:r>
        <w:t>互连复合层是推进钙钛矿/硅串联太阳能电池的关键。曹等人。研究表明，氮氧化钛可以满足复合层的要求，提高串联太阳能电池和模块的效率和稳定性。</w:t>
      </w:r>
    </w:p>
    <w:p>
      <w:pPr>
        <w:spacing w:before="0" w:after="200" w:lineRule="auto" w:line="276"/>
      </w:pPr>
      <w:r>
        <w:rPr>
          <w:b/>
        </w:rPr>
        <w:t xml:space="preserve">Abstract (EN): </w:t>
      </w:r>
      <w:r>
        <w:t>The interconnected recombination layer is key to advance perovskite/silicon tandem solar cells. Cao et al. show that titanium oxynitride reconciles the requirements for recombination layers, improving the efficiency and stability for tandem solar cells and modules.</w:t>
      </w:r>
    </w:p>
    <w:p>
      <w:pPr>
        <w:spacing w:before="120" w:after="120"/>
      </w:pPr>
      <w:r>
        <w:rPr>
          <w:sz w:val="18"/>
        </w:rPr>
        <w:t>——————————————————————————————————————————————————————————————————————</w:t>
      </w:r>
    </w:p>
    <w:p>
      <w:pPr>
        <w:spacing w:before="160" w:after="40" w:line="240" w:lineRule="auto"/>
      </w:pPr>
      <w:r>
        <w:rPr>
          <w:b/>
        </w:rPr>
        <w:t xml:space="preserve">[3] </w:t>
      </w:r>
      <w:hyperlink r:id="rId13">
        <w:r>
          <w:rPr>
            <w:color w:val="1155CC"/>
            <w:u w:val="single"/>
          </w:rPr>
          <w:t>通过互锁离子聚碳龙实现应力消除界面，实现高效稳定的倒置钙钛矿太阳能电池</w:t>
        </w:r>
      </w:hyperlink>
    </w:p>
    <w:p>
      <w:pPr>
        <w:spacing w:before="0" w:after="80"/>
      </w:pPr>
      <w:r>
        <w:rPr>
          <w:i/>
          <w:sz w:val="20"/>
        </w:rPr>
        <w:t>EN: Stress-relieving interface enabled by interlocking ionic polycarbolong for efficient and stable inverted perovskite solar cells</w:t>
      </w:r>
    </w:p>
    <w:p>
      <w:pPr>
        <w:spacing w:before="0" w:after="120"/>
      </w:pPr>
      <w:r>
        <w:rPr>
          <w:b/>
        </w:rPr>
        <w:t xml:space="preserve">Source: </w:t>
      </w:r>
      <w:r>
        <w:t>Joule</w:t>
      </w:r>
      <w:r>
        <w:t xml:space="preserve">    </w:t>
      </w:r>
      <w:r>
        <w:rPr>
          <w:b/>
        </w:rPr>
        <w:t xml:space="preserve">Pub date: </w:t>
      </w:r>
      <w:r>
        <w:t>2026-07-24 00:00:00+00:00</w:t>
      </w:r>
      <w:r>
        <w:t xml:space="preserve">    </w:t>
      </w:r>
      <w:r>
        <w:rPr>
          <w:b/>
        </w:rPr>
        <w:t xml:space="preserve">DOI: </w:t>
      </w:r>
      <w:hyperlink r:id="rId14">
        <w:r>
          <w:rPr>
            <w:color w:val="1155CC"/>
            <w:u w:val="single"/>
          </w:rPr>
          <w:t>10.1016/j.joule.2026.102589</w:t>
        </w:r>
      </w:hyperlink>
    </w:p>
    <w:p>
      <w:pPr>
        <w:spacing w:before="0" w:after="120"/>
      </w:pPr>
      <w:r>
        <w:rPr>
          <w:b/>
        </w:rPr>
        <w:t xml:space="preserve">Notes: </w:t>
      </w:r>
      <w:r>
        <w:t>abstract_source=rss_cell</w:t>
      </w:r>
    </w:p>
    <w:p>
      <w:pPr>
        <w:spacing w:before="0" w:after="80" w:lineRule="auto" w:line="276"/>
      </w:pPr>
      <w:r>
        <w:rPr>
          <w:b/>
        </w:rPr>
        <w:t xml:space="preserve">摘要（ZH）: </w:t>
      </w:r>
      <w:r>
        <w:t>我们报告了一种波纹聚碳龙联锁策略，以解决倒置钙钛矿太阳能电池中与 C60 相关的界面不稳定性问题。三苯基膦充当分子联锁剂，可改善 C60 薄膜沉积，通过基于三苯基膦的“爪”图案锚定 C60，并钝化钙钛矿表面的不饱和铅离子。这种协同调节稳定了顶部界面，抑制了C60自聚集，并加强了界面接触。因此，所得器件的功率转换效率高达 27.43%，在热应力、连续照明和湿热条件下具有出色的运行稳定性。该战略为商业钙钛矿光伏产业建立了一条稳健且可扩展的途径。</w:t>
      </w:r>
    </w:p>
    <w:p>
      <w:pPr>
        <w:spacing w:before="0" w:after="200" w:lineRule="auto" w:line="276"/>
      </w:pPr>
      <w:r>
        <w:rPr>
          <w:b/>
        </w:rPr>
        <w:t xml:space="preserve">Abstract (EN): </w:t>
      </w:r>
      <w:r>
        <w:t>We report a corrugated polycarbolong interlocking strategy to address C60-related interface instability in inverted perovskite solar cells. Triphenylphosphine functions as a molecular interlocker that improves C60 film deposition, anchors C60 through triphenylphosphine-based “claw” motifs, and passivates unsaturated lead ions at the perovskite surface. This synergistic regulation stabilizes the top interface, suppresses C60 self-aggregation, and strengthens interfacial contact. Consequently, the resulting devices deliver a champion power conversion efficiency of 27.43% with exceptional operational stability under thermal stress, continuous illumination, and damp-heat conditions. The strategy establishes a robust and scalable pathway toward commercial perovskite photovoltaics.</w:t>
      </w:r>
    </w:p>
    <w:p>
      <w:pPr>
        <w:spacing w:before="120" w:after="120"/>
      </w:pPr>
      <w:r>
        <w:rPr>
          <w:sz w:val="18"/>
        </w:rPr>
        <w:t>——————————————————————————————————————————————————————————————————————</w:t>
      </w:r>
    </w:p>
    <w:p>
      <w:pPr>
        <w:spacing w:before="160" w:after="40" w:line="240" w:lineRule="auto"/>
      </w:pPr>
      <w:r>
        <w:rPr>
          <w:b/>
        </w:rPr>
        <w:t xml:space="preserve">[4] </w:t>
      </w:r>
      <w:hyperlink r:id="rId15">
        <w:r>
          <w:rPr>
            <w:color w:val="1155CC"/>
            <w:u w:val="single"/>
          </w:rPr>
          <w:t>在钙钛矿上原位构建榫卯钝化以实现光热耐用光伏</w:t>
        </w:r>
      </w:hyperlink>
    </w:p>
    <w:p>
      <w:pPr>
        <w:spacing w:before="0" w:after="80"/>
      </w:pPr>
      <w:r>
        <w:rPr>
          <w:i/>
          <w:sz w:val="20"/>
        </w:rPr>
        <w:t>EN: In situ constructing mortise-and-tenon passivation on perovskite toward photothermally durable photovoltaic</w:t>
      </w:r>
    </w:p>
    <w:p>
      <w:pPr>
        <w:spacing w:before="0" w:after="120"/>
      </w:pPr>
      <w:r>
        <w:rPr>
          <w:b/>
        </w:rPr>
        <w:t xml:space="preserve">Source: </w:t>
      </w:r>
      <w:r>
        <w:t>Joule</w:t>
      </w:r>
      <w:r>
        <w:t xml:space="preserve">    </w:t>
      </w:r>
      <w:r>
        <w:rPr>
          <w:b/>
        </w:rPr>
        <w:t xml:space="preserve">Pub date: </w:t>
      </w:r>
      <w:r>
        <w:t>2026-07-24 00:00:00+00:00</w:t>
      </w:r>
      <w:r>
        <w:t xml:space="preserve">    </w:t>
      </w:r>
      <w:r>
        <w:rPr>
          <w:b/>
        </w:rPr>
        <w:t xml:space="preserve">DOI: </w:t>
      </w:r>
      <w:hyperlink r:id="rId16">
        <w:r>
          <w:rPr>
            <w:color w:val="1155CC"/>
            <w:u w:val="single"/>
          </w:rPr>
          <w:t>10.1016/j.joule.2026.102588</w:t>
        </w:r>
      </w:hyperlink>
    </w:p>
    <w:p>
      <w:pPr>
        <w:spacing w:before="0" w:after="120"/>
      </w:pPr>
      <w:r>
        <w:rPr>
          <w:b/>
        </w:rPr>
        <w:t xml:space="preserve">Notes: </w:t>
      </w:r>
      <w:r>
        <w:t>abstract_source=rss_cell</w:t>
      </w:r>
    </w:p>
    <w:p>
      <w:pPr>
        <w:spacing w:before="0" w:after="80" w:lineRule="auto" w:line="276"/>
      </w:pPr>
      <w:r>
        <w:rPr>
          <w:b/>
        </w:rPr>
        <w:t xml:space="preserve">摘要（ZH）: </w:t>
      </w:r>
      <w:r>
        <w:t>榫卯钝化是通过将传统钝化剂与环形“榫眼”冠醚原位耦合来构建的，将钝化剂牢固地锚定在钙钛矿表面上，从而抑制效率下降。通过这种策略，目标倒置 PSC 在 ISOS-L-3 协议下实现了 26.82% 的效率和优异的光热耐久性（T90 &gt; 1,000 h）。</w:t>
      </w:r>
    </w:p>
    <w:p>
      <w:pPr>
        <w:spacing w:before="0" w:after="200" w:lineRule="auto" w:line="276"/>
      </w:pPr>
      <w:r>
        <w:rPr>
          <w:b/>
        </w:rPr>
        <w:t xml:space="preserve">Abstract (EN): </w:t>
      </w:r>
      <w:r>
        <w:t>Mortise-and-tenon passivation is constructed via in situ coupling of a conventional passivator with ring-shaped “mortise” crown ethers to anchor the passivator robustly onto the perovskite surface to suppress efficiency degradation. With this strategy, targeted inverted PSCs achieved an efficiency of 26.82% and superior photothermal durability (T90 &gt; 1,000 h) under the ISOS-L-3 protocol.</w:t>
      </w:r>
    </w:p>
    <w:p>
      <w:pPr>
        <w:spacing w:before="120" w:after="120"/>
      </w:pPr>
      <w:r>
        <w:rPr>
          <w:sz w:val="18"/>
        </w:rPr>
        <w:t>——————————————————————————————————————————————————————————————————————</w:t>
      </w:r>
    </w:p>
    <w:p>
      <w:pPr>
        <w:spacing w:before="160" w:after="40" w:line="240" w:lineRule="auto"/>
      </w:pPr>
      <w:r>
        <w:rPr>
          <w:b/>
        </w:rPr>
        <w:t xml:space="preserve">[5] </w:t>
      </w:r>
      <w:hyperlink r:id="rId17">
        <w:r>
          <w:rPr>
            <w:color w:val="1155CC"/>
            <w:u w:val="single"/>
          </w:rPr>
          <w:t>有机光伏发电的效率、稳定性和可扩展部署</w:t>
        </w:r>
      </w:hyperlink>
    </w:p>
    <w:p>
      <w:pPr>
        <w:spacing w:before="0" w:after="80"/>
      </w:pPr>
      <w:r>
        <w:rPr>
          <w:i/>
          <w:sz w:val="20"/>
        </w:rPr>
        <w:t>EN: Efficiency, stability and scalable deployment of organic photovoltaics</w:t>
      </w:r>
    </w:p>
    <w:p>
      <w:pPr>
        <w:spacing w:before="0" w:after="120"/>
      </w:pPr>
      <w:r>
        <w:rPr>
          <w:b/>
        </w:rPr>
        <w:t xml:space="preserve">Source: </w:t>
      </w:r>
      <w:r>
        <w:t>Nature Reviews Clean Technology</w:t>
      </w:r>
      <w:r>
        <w:t xml:space="preserve">    </w:t>
      </w:r>
      <w:r>
        <w:rPr>
          <w:b/>
        </w:rPr>
        <w:t xml:space="preserve">Pub date: </w:t>
      </w:r>
      <w:r>
        <w:t>2026-07-24 00:00:00+00:00</w:t>
      </w:r>
      <w:r>
        <w:t xml:space="preserve">    </w:t>
      </w:r>
      <w:r>
        <w:rPr>
          <w:b/>
        </w:rPr>
        <w:t xml:space="preserve">DOI: </w:t>
      </w:r>
      <w:hyperlink r:id="rId18">
        <w:r>
          <w:rPr>
            <w:color w:val="1155CC"/>
            <w:u w:val="single"/>
          </w:rPr>
          <w:t>10.1038/s44359-026-00202-0</w:t>
        </w:r>
      </w:hyperlink>
    </w:p>
    <w:p>
      <w:pPr>
        <w:spacing w:before="0" w:after="120"/>
      </w:pPr>
      <w:r>
        <w:rPr>
          <w:b/>
        </w:rPr>
        <w:t xml:space="preserve">Notes: </w:t>
      </w:r>
      <w:r>
        <w:t>abstract_source=rss_nature</w:t>
      </w:r>
    </w:p>
    <w:p>
      <w:pPr>
        <w:spacing w:before="0" w:after="80" w:lineRule="auto" w:line="276"/>
      </w:pPr>
      <w:r>
        <w:rPr>
          <w:b/>
        </w:rPr>
        <w:t xml:space="preserve">摘要（ZH）: </w:t>
      </w:r>
      <w:r>
        <w:t>有机光伏 (OPV) 目前的效率超过 21%，但商业化取决于稳定性、可扩展性和成本以及性能的提高。本综述介绍了材料、界面和制造方面的进步如何为可穿戴、室内和建筑集成能量收集等应用提供耐用的 OPV。</w:t>
      </w:r>
    </w:p>
    <w:p>
      <w:pPr>
        <w:spacing w:before="0" w:after="200" w:lineRule="auto" w:line="276"/>
      </w:pPr>
      <w:r>
        <w:rPr>
          <w:b/>
        </w:rPr>
        <w:t xml:space="preserve">Abstract (EN): </w:t>
      </w:r>
      <w:r>
        <w:t>Organic photovoltaics (OPVs) now achieve efficiencies exceeding 21%, but commercialization depends on improving stability, scalability and cost alongside performance. This Review describes how advances in materials, interfaces and manufacturing can enable durable OPVs for applications including wearable, indoor and building-integrated energy harvesting.</w:t>
      </w:r>
    </w:p>
    <w:p>
      <w:pPr>
        <w:spacing w:before="120" w:after="120"/>
      </w:pPr>
      <w:r>
        <w:rPr>
          <w:sz w:val="18"/>
        </w:rPr>
        <w:t>——————————————————————————————————————————————————————————————————————</w:t>
      </w:r>
    </w:p>
    <w:p>
      <w:pPr>
        <w:spacing w:before="160" w:after="40" w:line="240" w:lineRule="auto"/>
      </w:pPr>
      <w:r>
        <w:rPr>
          <w:b/>
        </w:rPr>
        <w:t xml:space="preserve">[6] </w:t>
      </w:r>
      <w:hyperlink r:id="rId19">
        <w:r>
          <w:rPr>
            <w:color w:val="1155CC"/>
            <w:u w:val="single"/>
          </w:rPr>
          <w:t>光伏系统中机器人清洁的实际性能和模块退化影响</w:t>
        </w:r>
      </w:hyperlink>
    </w:p>
    <w:p>
      <w:pPr>
        <w:spacing w:before="0" w:after="80"/>
      </w:pPr>
      <w:r>
        <w:rPr>
          <w:i/>
          <w:sz w:val="20"/>
        </w:rPr>
        <w:t>EN: Real-world performance and module degradation impacts of robotic cleaning in PV systems</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20">
        <w:r>
          <w:rPr>
            <w:color w:val="1155CC"/>
            <w:u w:val="single"/>
          </w:rPr>
          <w:t>10.1016/j.apenergy.2026.128460</w:t>
        </w:r>
      </w:hyperlink>
    </w:p>
    <w:p>
      <w:pPr>
        <w:spacing w:before="0" w:after="120"/>
      </w:pPr>
      <w:r>
        <w:rPr>
          <w:b/>
        </w:rPr>
        <w:t xml:space="preserve">Notes: </w:t>
      </w:r>
      <w:r>
        <w:t>abstract_source=openalex</w:t>
      </w:r>
    </w:p>
    <w:p>
      <w:pPr>
        <w:spacing w:before="0" w:after="80" w:lineRule="auto" w:line="276"/>
      </w:pPr>
      <w:r>
        <w:rPr>
          <w:b/>
        </w:rPr>
        <w:t xml:space="preserve">摘要（ZH）: </w:t>
      </w:r>
      <w:r>
        <w:t>机器人清洁在全球范围内越来越多地采用，以减少公用事业规模光伏（PV）系统中的污垢损失。然而，在实际现场条件下对不同机器人清洁技术进行长期、并行的现场评估仍然很少。这项研究首次对干燥多尘的沙漠环境中相同现场条件下运行的多个清洁机器人进行了全面比较评估。除了广泛的室外和室内实验之外，这项工作的一个关键方法贡献是开发了一种与辐照度无关的、基于短路电流 (Isc) 的协议，用于对室外环境中的清洁效率进行稳健的基准测试。在系统层面，分析考虑了机器人设计、模块类型（单面和双面）和清洁频率（每天、每周和不清洁）的综合影响，以评估清洁效率、操作可靠性、电气性能（Pmax）、电致发光（EL）响应、抗反射涂层（ARC）特性以及清洁过程中的模块振动。结果表明，所有机器人都实现了较高的清洁效率，在日常清洁计划下，清洁度恢复到 &gt;99%，而延长的间隔时间会导致残留污垢（清洁度降低到 &lt;95%）。在模块层面，随着时间的推移，在单面模块中观察到系统累积的 Pmax 退化，而在不同类型的机器人中没有发现一致的 Pmax 影响。相比之下，双面玻璃-玻璃组件保持相对稳定。尽管双面电信号表明</w:t>
      </w:r>
    </w:p>
    <w:p>
      <w:pPr>
        <w:spacing w:before="0" w:after="200" w:lineRule="auto" w:line="276"/>
      </w:pPr>
      <w:r>
        <w:rPr>
          <w:b/>
        </w:rPr>
        <w:t xml:space="preserve">Abstract (EN): </w:t>
      </w:r>
      <w:r>
        <w:t>Robotic cleaning is increasingly adopted worldwide to mitigate soiling losses in utility-scale photovoltaic (PV) systems. However, long-duration, side-by-side field evaluations of different robotic cleaning technologies under real field conditions remain scarce. This study presents the first comprehensive comparative assessment of multiple cleaning robots operating under identical field conditions in a dry and dusty desert environment. In addition to extensive outdoor and indoor experiments, a key methodological contribution of this work is the development of an irradiance-independent, short-circuit current ( Isc ) – based protocol for robust benchmarking of cleaning efficiency in outdoor environments. At the system level, the analysis considers the combined effects of robot design, module type (monofacial and bifacial), and cleaning frequency (daily, weekly, and no cleaning) to evaluate cleaning efficiency, operational reliability, electrical performance ( Pmax ), electroluminescence (EL) response, anti-reflective coating (ARC) characteristics, and module vibrations during cleaning. Results show that all robots achieved high cleaning efficiency with cleanliness restored to &gt;99% under daily cleaning schedules, whereas extended intervals lead to residual soiling (cleanliness reduced to &lt;95%). At module level, systematic cumulative Pmax degradation was observed in monofacial modules over time, while no consistent Pmax impact was identified across robot types. In contrast, bifacial glass–glass modules remained relatively stable. Although bifacial electrical signatures suggested reduced shunt resistance under highly penetrative robot brushes, EL, reflectivity, and surface roughness measurements were inconclusive. Module vibration under robot cleaning was minor, much less than wind-induced vibration. Overall, the results indicate that robotic cleaning could be highly effective for soiling mitigation in desert environments similar to this study site, but technology-specific validation and multi-modal diagnostics to ensure long-term module reliability prior to large-scale deployment is recommended.</w:t>
      </w:r>
    </w:p>
    <w:p>
      <w:pPr>
        <w:spacing w:before="120" w:after="120"/>
      </w:pPr>
      <w:r>
        <w:rPr>
          <w:sz w:val="18"/>
        </w:rPr>
        <w:t>——————————————————————————————————————————————————————————————————————</w:t>
      </w:r>
    </w:p>
    <w:p>
      <w:pPr>
        <w:spacing w:before="160" w:after="40" w:line="240" w:lineRule="auto"/>
      </w:pPr>
      <w:r>
        <w:rPr>
          <w:b/>
        </w:rPr>
        <w:t xml:space="preserve">[7] </w:t>
      </w:r>
      <w:hyperlink r:id="rId21">
        <w:r>
          <w:rPr>
            <w:color w:val="1155CC"/>
            <w:u w:val="single"/>
          </w:rPr>
          <w:t>金属卤化物双钙钛矿中光诱导的亚稳态阳离子紊乱</w:t>
        </w:r>
      </w:hyperlink>
    </w:p>
    <w:p>
      <w:pPr>
        <w:spacing w:before="0" w:after="80"/>
      </w:pPr>
      <w:r>
        <w:rPr>
          <w:i/>
          <w:sz w:val="20"/>
        </w:rPr>
        <w:t>EN: Photoinduced metastable cation disorder in metal halide double perovskites</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22">
        <w:r>
          <w:rPr>
            <w:color w:val="1155CC"/>
            <w:u w:val="single"/>
          </w:rPr>
          <w:t>10.1126/sciadv.adt5183</w:t>
        </w:r>
      </w:hyperlink>
    </w:p>
    <w:p>
      <w:pPr>
        <w:spacing w:before="0" w:after="120"/>
      </w:pPr>
      <w:r>
        <w:rPr>
          <w:b/>
        </w:rPr>
        <w:t xml:space="preserve">Notes: </w:t>
      </w:r>
      <w:r>
        <w:t>abstract_source=crossref</w:t>
      </w:r>
    </w:p>
    <w:p>
      <w:pPr>
        <w:spacing w:before="0" w:after="80" w:lineRule="auto" w:line="276"/>
      </w:pPr>
      <w:r>
        <w:rPr>
          <w:b/>
        </w:rPr>
        <w:t xml:space="preserve">摘要（ZH）: </w:t>
      </w:r>
      <w:r>
        <w:t>无铅钙钛矿已成为光伏和光电应用中卤化铅同类产品的环保替代品。其中，双钙钛矿Cs</w:t>
      </w:r>
      <w:r>
        <w:rPr>
          <w:vertAlign w:val="subscript"/>
        </w:rPr>
        <w:t>2</w:t>
      </w:r>
      <w:r>
        <w:t>氯化银</w:t>
      </w:r>
      <w:r>
        <w:rPr>
          <w:vertAlign w:val="subscript"/>
        </w:rPr>
        <w:t>6</w:t>
      </w:r>
      <w:r>
        <w:t>该家族具有适当的成分工程，通过强电子-声子耦合和自俘获激子（STE）的形成，表现出显着的白光发射特性。尽管有这些优点，但控制其激发态行为的基本光物理学和结构动力学仍然知之甚少。在这里，我们报告了铯中的长寿命亚稳态相</w:t>
      </w:r>
      <w:r>
        <w:rPr>
          <w:vertAlign w:val="subscript"/>
        </w:rPr>
        <w:t>2</w:t>
      </w:r>
      <w:r>
        <w:t>氯化银</w:t>
      </w:r>
      <w:r>
        <w:rPr>
          <w:vertAlign w:val="subscript"/>
        </w:rPr>
        <w:t>6</w:t>
      </w:r>
      <w:r>
        <w:t>研究人员利用瞬态光谱、时间分辨 X 射线衍射 (TR-XRD)、时间分辨 X 射线吸收光谱 (TR-XAS) 和非弹性 X 射线散射 (IXS) 等工具，阐明了双钙钛矿族的过程以及随之而来的电子和结构演化。我们发现光诱导的瞬时亚稳态相与 B 位[银 (Ag)-铟 (In)] 无序相关，从而导致光学带隙显着减小。在TR-XRD和第一原理计算的支持下，Ag-In无序驱动了具有毫秒寿命的富Ag和富In域的形成，并且寿命在较低温度下增加。 TR-XAS 进一步揭示光生 STE 氧化 Ag</w:t>
      </w:r>
      <w:r>
        <w:t xml:space="preserve"> </w:t>
      </w:r>
      <w:r>
        <w:t>+</w:t>
      </w:r>
      <w:r>
        <w:t xml:space="preserve"> </w:t>
      </w:r>
      <w:r>
        <w:t>至银</w:t>
      </w:r>
      <w:r>
        <w:t xml:space="preserve"> </w:t>
      </w:r>
      <w:r>
        <w:t>2+</w:t>
      </w:r>
      <w:r>
        <w:t xml:space="preserve"> </w:t>
      </w:r>
      <w:r>
        <w:t>,</w:t>
      </w:r>
    </w:p>
    <w:p>
      <w:pPr>
        <w:spacing w:before="0" w:after="200" w:lineRule="auto" w:line="276"/>
      </w:pPr>
      <w:r>
        <w:rPr>
          <w:b/>
        </w:rPr>
        <w:t xml:space="preserve">Abstract (EN): </w:t>
      </w:r>
      <w:r>
        <w:t>Lead-free perovskites have emerged as environmentally benign alternatives to lead halide counterparts for photovoltaic and optoelectronic applications. Among them, the double perovskite Cs</w:t>
      </w:r>
      <w:r>
        <w:rPr>
          <w:vertAlign w:val="subscript"/>
        </w:rPr>
        <w:t>2</w:t>
      </w:r>
      <w:r>
        <w:t>AgInCl</w:t>
      </w:r>
      <w:r>
        <w:rPr>
          <w:vertAlign w:val="subscript"/>
        </w:rPr>
        <w:t>6</w:t>
      </w:r>
      <w:r>
        <w:t>family, with proper composition engineering, exhibits remarkable white-light emission characteristics enabled by strong electron-phonon coupling and the formation of self-trapped excitons (STEs). Despite these advantages, the fundamental photophysics and structural dynamics governing their excited-state behavior remain poorly understood. Here, we report a long-lived metastable phase in the Cs</w:t>
      </w:r>
      <w:r>
        <w:rPr>
          <w:vertAlign w:val="subscript"/>
        </w:rPr>
        <w:t>2</w:t>
      </w:r>
      <w:r>
        <w:t>AgInCl</w:t>
      </w:r>
      <w:r>
        <w:rPr>
          <w:vertAlign w:val="subscript"/>
        </w:rPr>
        <w:t>6</w:t>
      </w:r>
      <w:r>
        <w:t>double perovskite family and unravel this process and the concomitant electronic and structural evolution using a suite of tools including transient optical spectroscopy, time-resolved x-ray diffraction (TR-XRD), time-resolved x-ray absorption spectroscopy (TR-XAS), and inelastic x-ray scattering (IXS). We show that the photoinduced, transient metastable phase is associated with B-site [silver (Ag)–indium (In)] disorder, which induces a markedly reduced optical bandgap. Supported by TR-XRD and first-principles calculations, the Ag-In disorder drives the formation of Ag-rich and In-rich domains with millisecond lifetimes, with lifetimes increasing at lower temperatures. TR-XAS further reveals that the photogenerated STEs oxidize Ag</w:t>
      </w:r>
      <w:r>
        <w:t xml:space="preserve"> </w:t>
      </w:r>
      <w:r>
        <w:t>+</w:t>
      </w:r>
      <w:r>
        <w:t xml:space="preserve"> </w:t>
      </w:r>
      <w:r>
        <w:t>to Ag</w:t>
      </w:r>
      <w:r>
        <w:t xml:space="preserve"> </w:t>
      </w:r>
      <w:r>
        <w:t>2+</w:t>
      </w:r>
      <w:r>
        <w:t xml:space="preserve"> </w:t>
      </w:r>
      <w:r>
        <w:t>, which facilitates this highly temporally asymmetric order-disorder transition. Our findings demonstrate a previously unidentified mechanism, mediated by hole-localized STE formation, that enables prolongation of transient light-induced states to the multimillisecond regime in halide double perovskites, opening possibilities to harvesting the functional properties of metastable phases of these material systems.</w:t>
      </w:r>
    </w:p>
    <w:p>
      <w:pPr>
        <w:spacing w:before="120" w:after="120"/>
      </w:pPr>
      <w:r>
        <w:rPr>
          <w:sz w:val="18"/>
        </w:rPr>
        <w:t>——————————————————————————————————————————————————————————————————————</w:t>
      </w:r>
    </w:p>
    <w:p>
      <w:pPr>
        <w:spacing w:before="160" w:after="40" w:line="240" w:lineRule="auto"/>
      </w:pPr>
      <w:r>
        <w:rPr>
          <w:b/>
        </w:rPr>
        <w:t xml:space="preserve">[8] </w:t>
      </w:r>
      <w:hyperlink r:id="rId23">
        <w:r>
          <w:rPr>
            <w:color w:val="1155CC"/>
            <w:u w:val="single"/>
          </w:rPr>
          <w:t>光热稳定 Spiro-OMeTAD 钙钛矿太阳能电池的精确碘化物捕获策略</w:t>
        </w:r>
      </w:hyperlink>
    </w:p>
    <w:p>
      <w:pPr>
        <w:spacing w:before="0" w:after="80"/>
      </w:pPr>
      <w:r>
        <w:rPr>
          <w:i/>
          <w:sz w:val="20"/>
        </w:rPr>
        <w:t>EN: Precise Iodide‐Trap Strategy for Photothermally Stable Spiro‐OMeTAD‐Based Perovskite Solar Cells</w:t>
      </w:r>
    </w:p>
    <w:p>
      <w:pPr>
        <w:spacing w:before="0" w:after="120"/>
      </w:pPr>
      <w:r>
        <w:rPr>
          <w:b/>
        </w:rPr>
        <w:t xml:space="preserve">Source: </w:t>
      </w:r>
      <w:r>
        <w:t>Wiley: Angewandte Chemie International Edition: Table of Contents</w:t>
      </w:r>
      <w:r>
        <w:t xml:space="preserve">    </w:t>
      </w:r>
      <w:r>
        <w:rPr>
          <w:b/>
        </w:rPr>
        <w:t xml:space="preserve">Pub date: </w:t>
      </w:r>
      <w:r>
        <w:t>2026-07-24 10:48:57+00:00</w:t>
      </w:r>
      <w:r>
        <w:t xml:space="preserve">    </w:t>
      </w:r>
      <w:r>
        <w:rPr>
          <w:b/>
        </w:rPr>
        <w:t xml:space="preserve">DOI: </w:t>
      </w:r>
      <w:hyperlink r:id="rId24">
        <w:r>
          <w:rPr>
            <w:color w:val="1155CC"/>
            <w:u w:val="single"/>
          </w:rPr>
          <w:t>10.1002/anie.2924886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热应力诱导基于2,2',7,7'-四(N,N-二-对甲氧基苯胺)-9,9'-螺二芴(spiro-OMeTAD)的钙钛矿太阳能电池(PVSC)中不可逆的碘离子迁移。扩散的碘离子导致弱的物理界面接触和spiro-OMeTAD的去掺杂，对光热稳定性提出了重大挑战。在这里，我们提出了一种双碘化物捕获策略，可以精确捕获移动的碘化物离子，在spiro-OMeTAD中保持高空穴传输能力，并在光热应力下保持稳定的界面稳定性。具体来说，2,3,5,6-四氟-4-碘苯甲酰胺（TFIBA）被创新地设计为抑制剂，通过定向卤素键合在钙钛矿表面构建精确的碘离子陷阱。此外，(双(三氟乙酰氧基)碘)五氟苯(FPIFA)作为一种理想的掺杂剂，确保在没有空气辅助的情况下快速、可控地对spiro-OMeTAD进行p掺杂，副产物提供了一个额外的陷阱来防止碘化物入侵。因此，所得器件的效率为 26.81%，T</w:t>
      </w:r>
      <w:r>
        <w:rPr>
          <w:vertAlign w:val="subscript"/>
        </w:rPr>
        <w:t>93</w:t>
      </w:r>
      <w:r>
        <w:t>在 85°C 标准照明下，寿命超过 1140 小时，代表基于 spiro-OMeTAD 的 PVSC 的最高稳定性之一。这些发现展示了一条实现高效且光热稳定的 PVSC 商业化的可行途径。</w:t>
      </w:r>
    </w:p>
    <w:p>
      <w:pPr>
        <w:spacing w:before="0" w:after="200" w:lineRule="auto" w:line="276"/>
      </w:pPr>
      <w:r>
        <w:rPr>
          <w:b/>
        </w:rPr>
        <w:t xml:space="preserve">Abstract (EN): </w:t>
      </w:r>
      <w:r>
        <w:t>Photothermal stress induces irreversible iodide ion migration in perovskite solar cells (PVSCs) based on 2,2',7,7'‐tetrakis(N,N‐di‐p‐methoxyphenylamine)‐9,9'‐spirobifluorene (spiro‐OMeTAD). Diffused iodide ions lead to weak physical interfacial contact and de‐doping of spiro‐OMeTAD, posing substantial challenges to photothermal stability. Here we present a dual iodide‐trap strategy to precisely trap mobile iodide ions, retaining high hole transport capacity in spiro‐OMeTAD and robust interfacial stability under photothermal stress. Specifically, 2,3,5,6‐tetrafluoro‐4‐iodobenzamide (TFIBA) is innovatively devised as an inhibitor to construct precise iodide ion traps on perovskite surfaces via directional halogen bonding. Moreover, (bis(trifluoroacetoxy)iodo)pentafluorobenzene (FPIFA) as an ideal dopant ensures rapid and controllable p‐doping of spiro‐OMeTAD without air assistance, with a byproduct providing an additional trap against iodide invasion. Consequently, the resulting device achieves an efficiency of 26.81% with T</w:t>
      </w:r>
      <w:r>
        <w:rPr>
          <w:vertAlign w:val="subscript"/>
        </w:rPr>
        <w:t>93</w:t>
      </w:r>
      <w:r>
        <w:t>lifetime over 1140 h under standard illumination at 85°C, representing one of the highest stabilities for spiro‐OMeTAD‐based PVSCs. These findings exhibit a viable route toward efficient and photothermally stable PVSCs for commercialization.</w:t>
      </w:r>
    </w:p>
    <w:p>
      <w:pPr>
        <w:spacing w:before="120" w:after="120"/>
      </w:pPr>
      <w:r>
        <w:rPr>
          <w:sz w:val="18"/>
        </w:rPr>
        <w:t>——————————————————————————————————————————————————————————————————————</w:t>
      </w:r>
    </w:p>
    <w:p>
      <w:pPr>
        <w:spacing w:before="160" w:after="40" w:line="240" w:lineRule="auto"/>
      </w:pPr>
      <w:r>
        <w:rPr>
          <w:b/>
        </w:rPr>
        <w:t xml:space="preserve">[9] </w:t>
      </w:r>
      <w:hyperlink r:id="rId25">
        <w:r>
          <w:rPr>
            <w:color w:val="1155CC"/>
            <w:u w:val="single"/>
          </w:rPr>
          <w:t>氨基的三维分布改善了高性能光伏器件中的钙钛矿结晶和缺陷钝化</w:t>
        </w:r>
      </w:hyperlink>
    </w:p>
    <w:p>
      <w:pPr>
        <w:spacing w:before="0" w:after="80"/>
      </w:pPr>
      <w:r>
        <w:rPr>
          <w:i/>
          <w:sz w:val="20"/>
        </w:rPr>
        <w:t>EN: Three-dimensional distribution of amino groups improves perovskite crystallization and defect passivation in high-performance photovoltaics</w:t>
      </w:r>
    </w:p>
    <w:p>
      <w:pPr>
        <w:spacing w:before="0" w:after="120"/>
      </w:pPr>
      <w:r>
        <w:rPr>
          <w:b/>
        </w:rPr>
        <w:t xml:space="preserve">Source: </w:t>
      </w:r>
      <w:r>
        <w:t>Physical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结合具有不同官能团的有机分子来提高薄膜质量已成为实现高性能钙钛矿太阳能电池（PSC）的关键策略。然而，这些官能团的空间分布在控制钝化功效和钙钛矿结晶中的作用仍然没有得到充分研究。在这里，我们将三种含氨基的分子，双（4-氨基苯基）甲烷（2APM）、三（4-氨基苯基）甲烷（3APM）和四（4-氨基苯基）甲烷（4APM）引入到钙钛矿前体溶液中作为原位调节剂，它们具有不同的氨基空间分布。其中，4APM凭借其氨基的三维（3D）分布，与PbI2和碘化甲脒（FAI）表现出最强的相互作用，最有效地抑制欠配位的Pb2+缺陷并提高钙钛矿薄膜的结晶度。因此，采用 4APM 的 PSC 实现了 26.26% 的稳定功率转换效率 (PCE)，同时在 65 °C 的 N2 气氛中、在 1 太阳光照下以最大功率点连续运行 1000 小时后，仍保持了超过 95% 的初始效率。此外，有效面积为 14.0 cm2 的基于 4APM 的钙钛矿太阳能模块 (PSM) 的 PCE 为 23.16%。我们的研究结果强调了官能团的空间分布在钙钛矿光伏分子钝化剂的合理设计中的关键作用。</w:t>
      </w:r>
    </w:p>
    <w:p>
      <w:pPr>
        <w:spacing w:before="0" w:after="200" w:lineRule="auto" w:line="276"/>
      </w:pPr>
      <w:r>
        <w:rPr>
          <w:b/>
        </w:rPr>
        <w:t xml:space="preserve">Abstract (EN): </w:t>
      </w:r>
      <w:r>
        <w:t>Incorporating organic molecules with diverse functional groups to improve film quality has emerged as a crucial strategy for realizing high-performance perovskite solar cells (PSCs). Nevertheless, the role of spatial distribution of those functional groups in governing passivation efficacy and perovskite crystallization remains insufficiently investigated. Here, we introduce three amino-containing molecules, bis(4-aminophenyl)methane (2APM), tris(4-aminophenyl)methane (3APM) and tetrakis(4-aminophenyl)methane (4APM), featuring distinct spatial distributions of amino groups, into the perovskite precursor solution as in-situ regulators. Among them, 4APM exhibits the strongest interactions with PbI2 and formamidinium iodide (FAI) by virtue of its three-dimensional (3D) distribution of amino groups, most effectively suppressing undercoordinated Pb2+ defects and enhancing perovskite film crystallinity. As a result, PSCs incorporating 4APM achieve a stabilized power conversion efficiency (PCE) of 26.26%, while retaining over 95% of their initial efficiency after 1000 h of continuous operation at maximum power point under 1-sun illumination in a N2 atmosphere at 65 °C. Furthermore, 4APM-based perovskite solar modules (PSMs) with an active area of 14.0 cm2 deliver a PCE of 23.16%. Our findings underscore the critical role of functional group’s spatial distribution in the rational design of molecular passivators for perovskite photovoltaics.</w:t>
      </w:r>
    </w:p>
    <w:p>
      <w:pPr>
        <w:spacing w:before="120" w:after="120"/>
      </w:pPr>
      <w:r>
        <w:rPr>
          <w:sz w:val="18"/>
        </w:rPr>
        <w:t>——————————————————————————————————————————————————————————————————————</w:t>
      </w:r>
    </w:p>
    <w:p>
      <w:pPr>
        <w:spacing w:before="160" w:after="40" w:line="240" w:lineRule="auto"/>
      </w:pPr>
      <w:r>
        <w:rPr>
          <w:b/>
        </w:rPr>
        <w:t xml:space="preserve">[10] </w:t>
      </w:r>
      <w:hyperlink r:id="rId26">
        <w:r>
          <w:rPr>
            <w:color w:val="1155CC"/>
            <w:u w:val="single"/>
          </w:rPr>
          <w:t>从溶液到拉伸薄膜：探索和控制新兴可拉伸有机光伏共轭聚合物体系中的微观结构</w:t>
        </w:r>
      </w:hyperlink>
    </w:p>
    <w:p>
      <w:pPr>
        <w:spacing w:before="0" w:after="80"/>
      </w:pPr>
      <w:r>
        <w:rPr>
          <w:i/>
          <w:sz w:val="20"/>
        </w:rPr>
        <w:t>EN: From Solution to Stretched Film: Probing and Controlling Microstructure in Conjugated Polymer Systems for Emerging Stretchable Organic Photovoltaics</w:t>
      </w:r>
    </w:p>
    <w:p>
      <w:pPr>
        <w:spacing w:before="0" w:after="120"/>
      </w:pPr>
      <w:r>
        <w:rPr>
          <w:b/>
        </w:rPr>
        <w:t xml:space="preserve">Source: </w:t>
      </w:r>
      <w:r>
        <w:t>Wiley: Advanced Materials: Table of Contents</w:t>
      </w:r>
      <w:r>
        <w:t xml:space="preserve">    </w:t>
      </w:r>
      <w:r>
        <w:rPr>
          <w:b/>
        </w:rPr>
        <w:t xml:space="preserve">Pub date: </w:t>
      </w:r>
      <w:r>
        <w:t>2026-07-25 21:29:49+00:00</w:t>
      </w:r>
      <w:r>
        <w:t xml:space="preserve">    </w:t>
      </w:r>
      <w:r>
        <w:rPr>
          <w:b/>
        </w:rPr>
        <w:t xml:space="preserve">DOI: </w:t>
      </w:r>
      <w:hyperlink r:id="rId27">
        <w:r>
          <w:rPr>
            <w:color w:val="1155CC"/>
            <w:u w:val="single"/>
          </w:rPr>
          <w:t>10.1002/adma.74273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拉伸有机光伏的进步受到高光电性能和机械耐久性之间的基本权衡的阻碍，特别是源于共轭聚合物及其共混物的复杂微观结构的挑战。本综述通过系统地研究如何表征、理解和合理控制从溶液态聚集到固态形态和应变下的动态响应的多尺度微观结构演化，解决了各种共轭聚合物体系微观结构的关键文献空白。分析从先进的 X 射线和中子散射技术如何阐明决定最终固态形态的形成溶液聚集结构开始。随后，回顾了薄膜的多尺度表征方法，以及材料设计策略，例如弹性改性剂，旨在优化相分离形态，以同时实现导电性和机械灵活性。一个关键焦点是超越静态 X 射线散射分析，探索机械拉伸下微观结构的动态演化，从而强调原位和操作表征在揭示变形和失效机制中的关键作用。通过整合这些尺度上的见解，本次综述旨在提炼合理的设计原则，提供连贯的处理-结构-性能框架，并为下一代本质上鲁棒的街机的预测设计提供完整的图景。</w:t>
      </w:r>
    </w:p>
    <w:p>
      <w:pPr>
        <w:spacing w:before="0" w:after="200" w:lineRule="auto" w:line="276"/>
      </w:pPr>
      <w:r>
        <w:rPr>
          <w:b/>
        </w:rPr>
        <w:t xml:space="preserve">Abstract (EN): </w:t>
      </w:r>
      <w:r>
        <w:t>The advancement of stretchable organic photovoltaics is hindered by a fundamental trade‐off between high optoelectronic performance and mechanical durability, in particular, a challenge rooted in the complex microstructure of conjugated polymers and their blends. This review addresses a critical literature gap on the microstructure of various conjugated polymer systems by systematically examining how multiscale microstructural evolution, from solution‐state aggregation to solid‐state morphology and dynamic response under strain, can be characterized, understood, and rationally controlled. Analysis begins with how advanced X‐ray and neutron scattering techniques elucidate the formative solution‐aggregation structures that dictate the final solid‐state morphology. Subsequently, multiscale characterization methods for thin films are reviewed, alongside material design strategies, such as elastomeric modifiers, engineered to optimize phase‐separated morphologies for simultaneous conductivity and mechanical flexibility. A key focus is the transition beyond static X‐ray scattering analysis to explore the dynamic evolution of microstructure under mechanical stretching, thereby underscoring the pivotal role of in situ and operando characterization in revealing deformation and failure mechanisms. By integrating insights across these scales, this review aims to distill rational design principles, offer a coherent processing‐structure‐performance framework, and provide a complete picture for the predictive design of next‐generation intrinsically robust stretchable photovoltaics and related electronics.</w:t>
      </w:r>
    </w:p>
    <w:p>
      <w:pPr>
        <w:spacing w:before="120" w:after="120"/>
      </w:pPr>
      <w:r>
        <w:rPr>
          <w:sz w:val="18"/>
        </w:rPr>
        <w:t>——————————————————————————————————————————————————————————————————————</w:t>
      </w:r>
    </w:p>
    <w:p>
      <w:pPr>
        <w:spacing w:before="160" w:after="40" w:line="240" w:lineRule="auto"/>
      </w:pPr>
      <w:r>
        <w:rPr>
          <w:b/>
        </w:rPr>
        <w:t xml:space="preserve">[11] </w:t>
      </w:r>
      <w:hyperlink r:id="rId28">
        <w:r>
          <w:rPr>
            <w:color w:val="1155CC"/>
            <w:u w:val="single"/>
          </w:rPr>
          <w:t>窄带隙零维手性杂化钙钛矿</w:t>
        </w:r>
      </w:hyperlink>
    </w:p>
    <w:p>
      <w:pPr>
        <w:spacing w:before="0" w:after="80"/>
      </w:pPr>
      <w:r>
        <w:rPr>
          <w:i/>
          <w:sz w:val="20"/>
        </w:rPr>
        <w:t>EN: Narrow-Bandgap Zero-Dimensional Chiral Hybrid Perovskites</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29">
        <w:r>
          <w:rPr>
            <w:color w:val="1155CC"/>
            <w:u w:val="single"/>
          </w:rPr>
          <w:t>10.1021/jacs.6c07362</w:t>
        </w:r>
      </w:hyperlink>
    </w:p>
    <w:p>
      <w:pPr>
        <w:spacing w:before="0" w:after="120"/>
      </w:pPr>
      <w:r>
        <w:rPr>
          <w:b/>
        </w:rPr>
        <w:t xml:space="preserve">Notes: </w:t>
      </w:r>
      <w:r>
        <w:t>abstract_source=pubmed</w:t>
      </w:r>
    </w:p>
    <w:p>
      <w:pPr>
        <w:spacing w:before="0" w:after="80" w:lineRule="auto" w:line="276"/>
      </w:pPr>
      <w:r>
        <w:rPr>
          <w:b/>
        </w:rPr>
        <w:t xml:space="preserve">摘要（ZH）: </w:t>
      </w:r>
      <w:r>
        <w:t>手性杂化钙钛矿（CHP）对于下一代手性光电子学和自旋电子学非常有前景。然而，引入大体积有机手性基团来赋予手性不可避免地会降低结构维度，导致带隙显着变宽，这从根本上限制了它们在窄带隙光电器件中的应用。在这里，我们首次报告了一对窄带隙零维（0D）CHP（R/S-MBA）2PtI6（MBA =甲基苄基铵）的构造，通过在手性杂化结构中结合具有能量可及的5d轨道的5d过渡金属Pt(IV)来合理设计。该材料表现出 1.27 eV 的小带隙，是迄今为止报道的本征手性系统的最低值之一。 (R/S-MBA)2PtI6采用独特的准层状堆积的0D结构，其中手性阳离子的末端铵基均匀地嵌入无机亚层中，形成扩展的氢键网络。电子结构计算表明，I(p) 轨道及其与 Pt(d) 轨道的杂化定义了带边态，而氢键通过局部八面体畸变和孤对稳定进一步调节电子能级。这种窄带隙与手性光学活性的内在结合赋予了材料宽带光响应和高偏振选择性（g = 0.26）。值得注意的是，它还显示出灵敏的 X 射线响应，灵敏度为 1410.8 μC Gy1-cm-2，检测限低为 426.7 nGy s-1。这些发现</w:t>
      </w:r>
    </w:p>
    <w:p>
      <w:pPr>
        <w:spacing w:before="0" w:after="200" w:lineRule="auto" w:line="276"/>
      </w:pPr>
      <w:r>
        <w:rPr>
          <w:b/>
        </w:rPr>
        <w:t xml:space="preserve">Abstract (EN): </w:t>
      </w:r>
      <w:r>
        <w:t>Chiral hybrid perovskites (CHPs) are highly promising for next-generation chiroptoelectronics and spintronics. However, the incorporation of bulky organic chiral groups to impart chirality inevitably reduces structural dimensionality, leading to pronounced bandgap widening, which fundamentally limits their applications in narrow-bandgap optoelectronic devices. Here, for the first time, we report the construction of a pair of narrow-bandgap zero-dimensional (0D) CHPs, (R/S-MBA)2PtI6 (MBA = methylbenzylammonium), rationally designed by incorporating a 5d transition metal, Pt(IV), with energetically accessible 5d orbitals, in a chiral hybrid structure. The materials exhibit a small band gap of 1.27 eV, among the lowest values reported to date for intrinsic chiral systems. (R/S-MBA)2PtI6 adopts a unique 0D structure with quasi-layered packing, in which the terminal ammonium groups of the chiral cations are uniformly embedded within the inorganic sublayer, forming an extended hydrogen-bonding network. Electronic structure calculations reveal that the I(p) orbitals and their hybridization with Pt(d) orbitals define the band-edge states, while hydrogen bonding further tunes the electronic energy levels through local octahedral distortion and lone pair stabilization. The intrinsic integration of such a narrow bandgap with chiroptical activity endows the materials with broadband photoresponse and high polarization selectivity (g = 0.26). Notably, it also shows sensitive X-ray response with a sensitivity of 1410.8 μC Gy1- cm-2 and a low detection limit of 426.7 nGy s-1. These findings demonstrate that hydrogen-bonding-regulated 5d orbital-energy alignment provides an effective strategy to overcome the conventional trade-off between chirality-induced structural dimensionality reduction and bandgap widening in CHPs.</w:t>
      </w:r>
    </w:p>
    <w:p>
      <w:pPr>
        <w:spacing w:before="120" w:after="120"/>
      </w:pPr>
      <w:r>
        <w:rPr>
          <w:sz w:val="18"/>
        </w:rPr>
        <w:t>——————————————————————————————————————————————————————————————————————</w:t>
      </w:r>
    </w:p>
    <w:p>
      <w:pPr>
        <w:spacing w:before="160" w:after="40" w:line="240" w:lineRule="auto"/>
      </w:pPr>
      <w:r>
        <w:rPr>
          <w:b/>
        </w:rPr>
        <w:t xml:space="preserve">[12] </w:t>
      </w:r>
      <w:hyperlink r:id="rId30">
        <w:r>
          <w:rPr>
            <w:color w:val="1155CC"/>
            <w:u w:val="single"/>
          </w:rPr>
          <w:t>配体化学势调节 A 位阳离子反应性稳定卤化锡钙钛矿纳米晶体</w:t>
        </w:r>
      </w:hyperlink>
    </w:p>
    <w:p>
      <w:pPr>
        <w:spacing w:before="0" w:after="80"/>
      </w:pPr>
      <w:r>
        <w:rPr>
          <w:i/>
          <w:sz w:val="20"/>
        </w:rPr>
        <w:t>EN: Ligand‐Enabled Chemical‐Potential Modulation of A‐Site Cation Reactivity Stabilizes Tin Halide Perovskite Nanocrystals</w:t>
      </w:r>
    </w:p>
    <w:p>
      <w:pPr>
        <w:spacing w:before="0" w:after="120"/>
      </w:pPr>
      <w:r>
        <w:rPr>
          <w:b/>
        </w:rPr>
        <w:t xml:space="preserve">Source: </w:t>
      </w:r>
      <w:r>
        <w:t>Wiley: Angewandte Chemie International Edition: Table of Contents</w:t>
      </w:r>
      <w:r>
        <w:t xml:space="preserve">    </w:t>
      </w:r>
      <w:r>
        <w:rPr>
          <w:b/>
        </w:rPr>
        <w:t xml:space="preserve">Pub date: </w:t>
      </w:r>
      <w:r>
        <w:t>2026-07-26 17:56:12+00:00</w:t>
      </w:r>
      <w:r>
        <w:t xml:space="preserve">    </w:t>
      </w:r>
      <w:r>
        <w:rPr>
          <w:b/>
        </w:rPr>
        <w:t xml:space="preserve">DOI: </w:t>
      </w:r>
      <w:hyperlink r:id="rId31">
        <w:r>
          <w:rPr>
            <w:color w:val="1155CC"/>
            <w:u w:val="single"/>
          </w:rPr>
          <w:t>10.1002/anie.4522068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卤化锡钙钛矿纳米晶体为光电器件提供了无铅平台，但其实际应用因快速氧化降解而受到严重阻碍。然而，强化 Sn 的传统策略</w:t>
      </w:r>
      <w:r>
        <w:t xml:space="preserve"> </w:t>
      </w:r>
      <w:r>
        <w:t>2+</w:t>
      </w:r>
      <w:r>
        <w:t xml:space="preserve"> </w:t>
      </w:r>
      <w:r>
        <w:t>参与和稳定性不可避免地面临晶格 Sn 空位（V</w:t>
      </w:r>
      <w:r>
        <w:t xml:space="preserve"> </w:t>
      </w:r>
      <w:r>
        <w:t>锡</w:t>
      </w:r>
      <w:r>
        <w:t xml:space="preserve"> </w:t>
      </w:r>
      <w:r>
        <w:t>) 形成和表面Sn</w:t>
      </w:r>
      <w:r>
        <w:t xml:space="preserve"> </w:t>
      </w:r>
      <w:r>
        <w:t>2+</w:t>
      </w:r>
      <w:r>
        <w:t xml:space="preserve"> </w:t>
      </w:r>
      <w:r>
        <w:t>曝光。在这里，我们超越了 Sn</w:t>
      </w:r>
      <w:r>
        <w:t xml:space="preserve"> </w:t>
      </w:r>
      <w:r>
        <w:t>2+</w:t>
      </w:r>
      <w:r>
        <w:t xml:space="preserve"> </w:t>
      </w:r>
      <w:r>
        <w:t>以A位点反应性调节策略为中心的策略。通过选择性抑制 A 位阳离子反应性，Sn</w:t>
      </w:r>
      <w:r>
        <w:t xml:space="preserve"> </w:t>
      </w:r>
      <w:r>
        <w:t>2+</w:t>
      </w:r>
      <w:r>
        <w:t xml:space="preserve"> </w:t>
      </w:r>
      <w:r>
        <w:t>在结晶过程中有效结合，从而同时抑制 V</w:t>
      </w:r>
      <w:r>
        <w:t xml:space="preserve"> </w:t>
      </w:r>
      <w:r>
        <w:t>锡</w:t>
      </w:r>
      <w:r>
        <w:t xml:space="preserve"> </w:t>
      </w:r>
      <w:r>
        <w:t>形成和降低表面Sn</w:t>
      </w:r>
      <w:r>
        <w:t xml:space="preserve"> </w:t>
      </w:r>
      <w:r>
        <w:t>2+</w:t>
      </w:r>
      <w:r>
        <w:t xml:space="preserve"> </w:t>
      </w:r>
      <w:r>
        <w:t>曝光。使用溴化铯</w:t>
      </w:r>
      <w:r>
        <w:rPr>
          <w:vertAlign w:val="subscript"/>
        </w:rPr>
        <w:t>3</w:t>
      </w:r>
      <w:r>
        <w:t>以纳米晶体作为模型系统，该策略能够精确控制产品成分和结晶动力学，产生的纳米晶体薄膜可以在暴露于空气 60 小时后保留 &gt; 92% 的钙钛矿相和 81% 的初始发射。配体交换实验解耦表面效应和晶格效应，证实了晶格V的主导作用</w:t>
      </w:r>
      <w:r>
        <w:t xml:space="preserve"> </w:t>
      </w:r>
      <w:r>
        <w:t>锡</w:t>
      </w:r>
      <w:r>
        <w:t xml:space="preserve"> </w:t>
      </w:r>
      <w:r>
        <w:t>确定空气稳定性。将此策略扩展到 CsSnCl</w:t>
      </w:r>
      <w:r>
        <w:rPr>
          <w:vertAlign w:val="subscript"/>
        </w:rPr>
        <w:t>3</w:t>
      </w:r>
      <w:r>
        <w:t>, FASnBr</w:t>
      </w:r>
      <w:r>
        <w:rPr>
          <w:vertAlign w:val="subscript"/>
        </w:rPr>
        <w:t>3</w:t>
      </w:r>
      <w:r>
        <w:t>和铯锡</w:t>
      </w:r>
    </w:p>
    <w:p>
      <w:pPr>
        <w:spacing w:before="0" w:after="200" w:lineRule="auto" w:line="276"/>
      </w:pPr>
      <w:r>
        <w:rPr>
          <w:b/>
        </w:rPr>
        <w:t xml:space="preserve">Abstract (EN): </w:t>
      </w:r>
      <w:r>
        <w:t>Tin halide perovskite nanocrystals offer a lead‑free platform for optoelectronics, but their practical use is severely hampered by rapid oxidation degradation. However, conventional strategies that strength Sn</w:t>
      </w:r>
      <w:r>
        <w:t xml:space="preserve"> </w:t>
      </w:r>
      <w:r>
        <w:t>2+</w:t>
      </w:r>
      <w:r>
        <w:t xml:space="preserve"> </w:t>
      </w:r>
      <w:r>
        <w:t>participation and stability inevitably face a trade‐off between lattice Sn vacancies (V</w:t>
      </w:r>
      <w:r>
        <w:t xml:space="preserve"> </w:t>
      </w:r>
      <w:r>
        <w:t>Sn</w:t>
      </w:r>
      <w:r>
        <w:t xml:space="preserve"> </w:t>
      </w:r>
      <w:r>
        <w:t>) formation and surface Sn</w:t>
      </w:r>
      <w:r>
        <w:t xml:space="preserve"> </w:t>
      </w:r>
      <w:r>
        <w:t>2+</w:t>
      </w:r>
      <w:r>
        <w:t xml:space="preserve"> </w:t>
      </w:r>
      <w:r>
        <w:t>exposure. Here, we move beyond Sn</w:t>
      </w:r>
      <w:r>
        <w:t xml:space="preserve"> </w:t>
      </w:r>
      <w:r>
        <w:t>2+</w:t>
      </w:r>
      <w:r>
        <w:t xml:space="preserve"> </w:t>
      </w:r>
      <w:r>
        <w:t>‐centric strategies to an A‐site reactivity regulation strategy. By selectively suppressing A‐site cation reactivity, Sn</w:t>
      </w:r>
      <w:r>
        <w:t xml:space="preserve"> </w:t>
      </w:r>
      <w:r>
        <w:t>2+</w:t>
      </w:r>
      <w:r>
        <w:t xml:space="preserve"> </w:t>
      </w:r>
      <w:r>
        <w:t>efficiently incorporates during their crystallization, thereby simultaneously suppressing V</w:t>
      </w:r>
      <w:r>
        <w:t xml:space="preserve"> </w:t>
      </w:r>
      <w:r>
        <w:t>Sn</w:t>
      </w:r>
      <w:r>
        <w:t xml:space="preserve"> </w:t>
      </w:r>
      <w:r>
        <w:t>formation and lowering surface Sn</w:t>
      </w:r>
      <w:r>
        <w:t xml:space="preserve"> </w:t>
      </w:r>
      <w:r>
        <w:t>2+</w:t>
      </w:r>
      <w:r>
        <w:t xml:space="preserve"> </w:t>
      </w:r>
      <w:r>
        <w:t>exposure. Using CsSnBr</w:t>
      </w:r>
      <w:r>
        <w:rPr>
          <w:vertAlign w:val="subscript"/>
        </w:rPr>
        <w:t>3</w:t>
      </w:r>
      <w:r>
        <w:t>nanocrystal as model system, this strategy enables precise control over product composition and crystallization kinetics, yielding nanocrystal films can preserve &amp;gt; 92% of the perovskite phase and 81% of initial emission after 60 h of air exposure. Ligand exchange experiment decouples the surface and lattice effect, confirming the dominant role of lattice V</w:t>
      </w:r>
      <w:r>
        <w:t xml:space="preserve"> </w:t>
      </w:r>
      <w:r>
        <w:t>Sn</w:t>
      </w:r>
      <w:r>
        <w:t xml:space="preserve"> </w:t>
      </w:r>
      <w:r>
        <w:t>in determining air stability. Extending this strategy to CsSnCl</w:t>
      </w:r>
      <w:r>
        <w:rPr>
          <w:vertAlign w:val="subscript"/>
        </w:rPr>
        <w:t>3</w:t>
      </w:r>
      <w:r>
        <w:t>, FASnBr</w:t>
      </w:r>
      <w:r>
        <w:rPr>
          <w:vertAlign w:val="subscript"/>
        </w:rPr>
        <w:t>3</w:t>
      </w:r>
      <w:r>
        <w:t>and CsSnI</w:t>
      </w:r>
      <w:r>
        <w:rPr>
          <w:vertAlign w:val="subscript"/>
        </w:rPr>
        <w:t>3</w:t>
      </w:r>
      <w:r>
        <w:t>nanocrystals demonstrated its generality across A/X‑site chemistries. This work establishes a new strategy to control vacancy formation and surface redox processes. The ligand‐enabled chemical‐potential modulation provides a general and predictive means to access this control.</w:t>
      </w:r>
    </w:p>
    <w:p>
      <w:pPr>
        <w:spacing w:before="120" w:after="120"/>
      </w:pPr>
      <w:r>
        <w:rPr>
          <w:sz w:val="18"/>
        </w:rPr>
        <w:t>——————————————————————————————————————————————————————————————————————</w:t>
      </w:r>
    </w:p>
    <w:p>
      <w:pPr>
        <w:spacing w:before="160" w:after="40" w:line="240" w:lineRule="auto"/>
      </w:pPr>
      <w:r>
        <w:rPr>
          <w:b/>
        </w:rPr>
        <w:t xml:space="preserve">[13] </w:t>
      </w:r>
      <w:hyperlink r:id="rId32">
        <w:r>
          <w:rPr>
            <w:color w:val="1155CC"/>
            <w:u w:val="single"/>
          </w:rPr>
          <w:t>通过同种分子结构实现无添加剂、高效且稳定的全聚合物太阳能电池，用于集成太阳能存储应用</w:t>
        </w:r>
      </w:hyperlink>
    </w:p>
    <w:p>
      <w:pPr>
        <w:spacing w:before="0" w:after="80"/>
      </w:pPr>
      <w:r>
        <w:rPr>
          <w:i/>
          <w:sz w:val="20"/>
        </w:rPr>
        <w:t>EN: Additive‐Free, Efficient, and Stable All‐Polymer Solar Cells Enabled by Congeneric Molecule Construction for Integrated Solar‐Storage Applications</w:t>
      </w:r>
    </w:p>
    <w:p>
      <w:pPr>
        <w:spacing w:before="0" w:after="120"/>
      </w:pPr>
      <w:r>
        <w:rPr>
          <w:b/>
        </w:rPr>
        <w:t xml:space="preserve">Source: </w:t>
      </w:r>
      <w:r>
        <w:t>Wiley: Angewandte Chemie International Edition: Table of Contents</w:t>
      </w:r>
      <w:r>
        <w:t xml:space="preserve">    </w:t>
      </w:r>
      <w:r>
        <w:rPr>
          <w:b/>
        </w:rPr>
        <w:t xml:space="preserve">Pub date: </w:t>
      </w:r>
      <w:r>
        <w:t>2026-07-26 17:59:17+00:00</w:t>
      </w:r>
      <w:r>
        <w:t xml:space="preserve">    </w:t>
      </w:r>
      <w:r>
        <w:rPr>
          <w:b/>
        </w:rPr>
        <w:t xml:space="preserve">DOI: </w:t>
      </w:r>
      <w:hyperlink r:id="rId33">
        <w:r>
          <w:rPr>
            <w:color w:val="1155CC"/>
            <w:u w:val="single"/>
          </w:rPr>
          <w:t>10.1002/anie.6171732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太阳能电池对可穿戴电子产品很有吸引力，特别是全聚合物太阳能电池（全PSC）具有卓越的内在稳定性和更高的输出电压，能够与能量存储和转换系统直接匹配。然而，全PSC通常存在形态无序和供体-受体相容性差的问题，需要使用损害长期稳定性的加工添加剂。在这里，我们引入了一种结构同源策略，使用共享相同联噻吩酰亚胺结构单元的供体和受体聚合物，以消除对添加剂的需求。这种设计增强了分子间相互作用，增强了分子有序性，并抑制了能量损失，产生了 0.94 V 的开路电压，比基准 PM6:Y6 系统提高了 12%。化学同源性还降低了弗洛里-哈金斯相互作用参数并提高了供体-受体相容性，使活性层能够自发形成理想的纳米级纤维状互穿网络。由此产生的无添加剂全 PSC 实现了 19.12% 的创纪录功率转换效率，以及卓越的热稳定性（</w:t>
      </w:r>
      <w:r>
        <w:t xml:space="preserve"> </w:t>
      </w:r>
      <w:r>
        <w:t>时间</w:t>
      </w:r>
      <w:r>
        <w:rPr>
          <w:vertAlign w:val="subscript"/>
        </w:rPr>
        <w:t>80</w:t>
      </w:r>
      <w:r>
        <w:t>=  1128 h), 光稳定性 (</w:t>
      </w:r>
      <w:r>
        <w:t xml:space="preserve"> </w:t>
      </w:r>
      <w:r>
        <w:t>时间</w:t>
      </w:r>
      <w:r>
        <w:rPr>
          <w:vertAlign w:val="subscript"/>
        </w:rPr>
        <w:t>80</w:t>
      </w:r>
      <w:r>
        <w:t>= 756 h) 和机械强度。通过整合 70 厘米</w:t>
      </w:r>
      <w:r>
        <w:rPr>
          <w:vertAlign w:val="subscript"/>
        </w:rPr>
        <w:t>2</w:t>
      </w:r>
      <w:r>
        <w:t>带有串联锌空气电池的大面积全聚合物模块，我们展示了一种自我维持的太阳能可充电系统</w:t>
      </w:r>
    </w:p>
    <w:p>
      <w:pPr>
        <w:spacing w:before="0" w:after="200" w:lineRule="auto" w:line="276"/>
      </w:pPr>
      <w:r>
        <w:rPr>
          <w:b/>
        </w:rPr>
        <w:t xml:space="preserve">Abstract (EN): </w:t>
      </w:r>
      <w:r>
        <w:t>Organic solar cells are attractive for wearable electronics, in particular, all‐polymer solar cells (all‐PSCs) offer superior intrinsic stability and higher output voltage, enabling direct matching with the energy storage and conversion systems. However, all‐PSCs typically suffer from disordered morphology and poor donor–acceptor compatibility, requiring processing additives that compromise long‐term stability. Here, we introduce a structural homology strategy, using donor and acceptor polymers that share the same bithiophene imide building block, to eliminate the need for additives. This design strengthens intermolecular interactions, enhances molecular ordering, and suppresses energy loss, yielding an open‐circuit voltage of 0.94 V, a 12% improvement over the benchmark PM6:Y6 system. The chemical homology also reduces the Flory–Huggins interaction parameter and improves donor–acceptor compatibility, allowing the active layer to spontaneously form an ideal nanoscale fibrillar interpenetrating network. The resulting additive‐free all‐PSCs achieve a record power conversion efficiency of 19.12%, together with exceptional thermal stability (</w:t>
      </w:r>
      <w:r>
        <w:t xml:space="preserve"> </w:t>
      </w:r>
      <w:r>
        <w:t>T</w:t>
      </w:r>
      <w:r>
        <w:rPr>
          <w:vertAlign w:val="subscript"/>
        </w:rPr>
        <w:t>80</w:t>
      </w:r>
      <w:r>
        <w:t>=  1128 h), photostability (</w:t>
      </w:r>
      <w:r>
        <w:t xml:space="preserve"> </w:t>
      </w:r>
      <w:r>
        <w:t>T</w:t>
      </w:r>
      <w:r>
        <w:rPr>
          <w:vertAlign w:val="subscript"/>
        </w:rPr>
        <w:t>80</w:t>
      </w:r>
      <w:r>
        <w:t>= 756 h), and mechanical robustness. By integrating a 70 cm</w:t>
      </w:r>
      <w:r>
        <w:rPr>
          <w:vertAlign w:val="subscript"/>
        </w:rPr>
        <w:t>2</w:t>
      </w:r>
      <w:r>
        <w:t>large‐area all‐polymer module with series‐connected zinc–air batteries, we demonstrate a self‐sustaining, solar‐rechargeable system that delivers continuous power under both illumination and darkness, offering a practical pathway for next‐generation flexible and wearable electronics.</w:t>
      </w:r>
    </w:p>
    <w:p>
      <w:pPr>
        <w:spacing w:before="120" w:after="120"/>
      </w:pPr>
      <w:r>
        <w:rPr>
          <w:sz w:val="18"/>
        </w:rPr>
        <w:t>——————————————————————————————————————————————————————————————————————</w:t>
      </w:r>
    </w:p>
    <w:p>
      <w:pPr>
        <w:spacing w:before="160" w:after="40" w:line="240" w:lineRule="auto"/>
      </w:pPr>
      <w:r>
        <w:rPr>
          <w:b/>
        </w:rPr>
        <w:t xml:space="preserve">[14] </w:t>
      </w:r>
      <w:hyperlink r:id="rId34">
        <w:r>
          <w:rPr>
            <w:color w:val="1155CC"/>
            <w:u w:val="single"/>
          </w:rPr>
          <w:t>用于稳定串联光伏发电的相均质混合卤化物钙钛矿</w:t>
        </w:r>
      </w:hyperlink>
    </w:p>
    <w:p>
      <w:pPr>
        <w:spacing w:before="0" w:after="80"/>
      </w:pPr>
      <w:r>
        <w:rPr>
          <w:i/>
          <w:sz w:val="20"/>
        </w:rPr>
        <w:t>EN: Phase-homogeneous mixed halide perovskites for stable tandem photovoltaics</w:t>
      </w:r>
    </w:p>
    <w:p>
      <w:pPr>
        <w:spacing w:before="0" w:after="120"/>
      </w:pPr>
      <w:r>
        <w:rPr>
          <w:b/>
        </w:rPr>
        <w:t xml:space="preserve">Source: </w:t>
      </w:r>
      <w:r>
        <w:t>Nature</w:t>
      </w:r>
      <w:r>
        <w:t xml:space="preserve">    </w:t>
      </w:r>
      <w:r>
        <w:rPr>
          <w:b/>
        </w:rPr>
        <w:t xml:space="preserve">Pub date: </w:t>
      </w:r>
      <w:r>
        <w:t>2026-07-27 00:00:00+00:00</w:t>
      </w:r>
      <w:r>
        <w:t xml:space="preserve">    </w:t>
      </w:r>
      <w:r>
        <w:rPr>
          <w:b/>
        </w:rPr>
        <w:t xml:space="preserve">DOI: </w:t>
      </w:r>
      <w:hyperlink r:id="rId35">
        <w:r>
          <w:rPr>
            <w:color w:val="1155CC"/>
            <w:u w:val="single"/>
          </w:rPr>
          <w:t>10.1038/s41586-026-10929-2</w:t>
        </w:r>
      </w:hyperlink>
    </w:p>
    <w:p>
      <w:pPr>
        <w:spacing w:before="0" w:after="120"/>
      </w:pPr>
      <w:r>
        <w:rPr>
          <w:b/>
        </w:rPr>
        <w:t xml:space="preserve">Notes: </w:t>
      </w:r>
      <w:r>
        <w:t>abstract_source=nature_html</w:t>
      </w:r>
    </w:p>
    <w:p>
      <w:pPr>
        <w:spacing w:before="0" w:after="80" w:lineRule="auto" w:line="276"/>
      </w:pPr>
      <w:r>
        <w:rPr>
          <w:b/>
        </w:rPr>
        <w:t xml:space="preserve">摘要（ZH）: </w:t>
      </w:r>
      <w:r>
        <w:t>串联光伏发电所需的混合卤化物宽带隙 (WBG) 钙钛矿即使在初始成膜时也会遭受相偏析，这是富 I 相和富 Br 相 1-3 不对称成核的结果。已知的均质化策略可调节 Pb2+ 配位强度4-6；然而，基于 Pb2+ 的调制适用于所有 Pb2+ 中心，并且不能优先解决 PbBrx 比 PbIx 成核更快的问题。在这里，我们引入了选择性配位原理：我们通过分子偶极子调节供体原子的局部路易斯碱硬度，这种方法限制了 O 供体最外层电子的极化率。较硬的 O 供体优先配位 PbBrx 中较硬的 Pb2+，选择性地延迟富 Br 成核并使其与 PbIx 同步。这导致了成分均匀的 WBG 薄膜，使太阳能电池的带隙为 1.62 eV、1.68 eV 和 1.88 eV，每种电池都实现了增强的 PCE 和延长的稳定性（1500 小时、≥T90、1 个太阳和 65 °C）。使用这些 WBG 薄膜和红外活性有机电池制造的钙钛矿/有机串联电池可提供经认证的 27.0%（稳态 26.4%）效率，T91（65 °C 下的 ISOS-L2）为 1000 小时。</w:t>
      </w:r>
    </w:p>
    <w:p>
      <w:pPr>
        <w:spacing w:before="0" w:after="200" w:lineRule="auto" w:line="276"/>
      </w:pPr>
      <w:r>
        <w:rPr>
          <w:b/>
        </w:rPr>
        <w:t xml:space="preserve">Abstract (EN): </w:t>
      </w:r>
      <w:r>
        <w:t>Mixed-halide wide-bandgap (WBG) perovskites needed in tandem photovoltaics suffer from phase segregation, even at the time of initial film formation – the result of asymmetric nucleation of I-rich and Br-rich phases1-3. Known homogenization strategies tune Pb2+ coordination strength4-6; however, Pb2+-based modulation applies across all Pb2+ centers and does not preferentially address the problem that PbBrx nucleates faster than does PbIx. Here we introduce a selective coordination principle: we tune local Lewis-base hardness at the donor atom through a molecular dipole, an approach that constrains the polarizability of the O-donor’s outermost electrons. The harder O-donor preferentially coordinates the harder Pb2+ of PbBrx, selectively retarding Br-rich nucleation and synchronizing it with PbIx. This leads to compositionally homogeneous WBG films, enabling solar cells with bandgaps of 1.62 eV, 1.68 eV, and 1.88 eV, each achieving enhanced PCE and extended stability (1500 h, ≥T90, 1 sun and 65 °C). Perovskite/organic tandem cells fabricated with these WBG films and an infrared-active organic cell deliver certified 27.0% (steady-state 26.4%) efficiency, with T91 (ISOS-L2 at 65 °C) of 1000 h.</w:t>
      </w:r>
    </w:p>
    <w:p>
      <w:pPr>
        <w:spacing w:before="120" w:after="120"/>
      </w:pPr>
      <w:r>
        <w:rPr>
          <w:sz w:val="18"/>
        </w:rPr>
        <w:t>——————————————————————————————————————————————————————————————————————</w:t>
      </w:r>
    </w:p>
    <w:p>
      <w:pPr>
        <w:spacing w:before="160" w:after="40" w:line="240" w:lineRule="auto"/>
      </w:pPr>
      <w:r>
        <w:rPr>
          <w:b/>
        </w:rPr>
        <w:t xml:space="preserve">[15] </w:t>
      </w:r>
      <w:hyperlink r:id="rId36">
        <w:r>
          <w:rPr>
            <w:color w:val="1155CC"/>
            <w:u w:val="single"/>
          </w:rPr>
          <w:t>黄河流域通过可再生能源转型平衡能源、水和生态</w:t>
        </w:r>
      </w:hyperlink>
    </w:p>
    <w:p>
      <w:pPr>
        <w:spacing w:before="0" w:after="80"/>
      </w:pPr>
      <w:r>
        <w:rPr>
          <w:i/>
          <w:sz w:val="20"/>
        </w:rPr>
        <w:t>EN: Balancing energy, water, and ecology through renewable energy transitions in the Yellow River Basin</w:t>
      </w:r>
    </w:p>
    <w:p>
      <w:pPr>
        <w:spacing w:before="0" w:after="120"/>
      </w:pPr>
      <w:r>
        <w:rPr>
          <w:b/>
        </w:rPr>
        <w:t xml:space="preserve">Source: </w:t>
      </w:r>
      <w:r>
        <w:t>Earth and environmental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由于资源竞争和潜在的生态影响，向可再生能源过渡以缓解气候变化往往需要与区域优先事项进行权衡。应对这些挑战需要整体战略。本研究探讨了中国黄河流域水电-光伏-风-泵可再生能源基地（HPWP-base）平衡能源、水和生态的潜力，该地区面临着巨大的可持续发展压力。每年，HPWP 基地可替代 23.8%（249.4 太瓦时）的燃煤发电。这样的全流域转型可以使能源相关排放减少28.0%，电力部门用水量减少31.5%，生态系统碳储存恢复9.0%。这些通过现有技术（抽水蓄能水电、全流域合作和电网扩建）取得的协同成果显示了高压水电基地的实用性。因此，它可以作为加速区域电力转型、促进可持续发展的解决方案，并使政策制定者了解如何将可再生能源转型与多个可持续目标联系起来。</w:t>
      </w:r>
    </w:p>
    <w:p>
      <w:pPr>
        <w:spacing w:before="0" w:after="200" w:lineRule="auto" w:line="276"/>
      </w:pPr>
      <w:r>
        <w:rPr>
          <w:b/>
        </w:rPr>
        <w:t xml:space="preserve">Abstract (EN): </w:t>
      </w:r>
      <w:r>
        <w:t>The transition to renewable energy for climate mitigation often involves trade-offs with regional priorities, owning to resource competition and potential ecological impacts. Addressing these challenges requires a holistic strategy. This study examines the potential of Hydropower–Photovoltaic–Wind–Pump renewable energy base (HPWP-base) in the Yellow River Basin in China—a region facing significant sustainability pressures, to balance energy, water, and ecology. Annually, the HPWP-base could replace 23.8% (249.4 tera watt hours) of coal-fired electricity generation. Such a basin-wide transition enables 28.0% reduction in energy-related emissions, 31.5% decline in electricity-sector water consumption, and 9.0% restoration of ecosystem carbon storage. These synergistic outcomes, attained through established technologies (pump and storage hydropower, basin-wide cooperation, and grid expansion), show the practicality of the HPWP-base. Therefore, it can serve as a solution to accelerate regional electricity transformation while advancing sustainable development, and enable policymakers to appreciate how to link renewable energy transition with multiple sustainable goals.</w:t>
      </w:r>
    </w:p>
    <w:p>
      <w:pPr>
        <w:spacing w:before="120" w:after="120"/>
      </w:pPr>
      <w:r>
        <w:rPr>
          <w:sz w:val="18"/>
        </w:rPr>
        <w:t>——————————————————————————————————————————————————————————————————————</w:t>
      </w:r>
    </w:p>
    <w:p>
      <w:pPr>
        <w:spacing w:before="160" w:after="40" w:line="240" w:lineRule="auto"/>
      </w:pPr>
      <w:r>
        <w:rPr>
          <w:b/>
        </w:rPr>
        <w:t xml:space="preserve">[16] </w:t>
      </w:r>
      <w:hyperlink r:id="rId37">
        <w:r>
          <w:rPr>
            <w:color w:val="1155CC"/>
            <w:u w:val="single"/>
          </w:rPr>
          <w:t>最大稳定点跟踪稳定宽带隙混合卤化物钙钛矿太阳能电池</w:t>
        </w:r>
      </w:hyperlink>
    </w:p>
    <w:p>
      <w:pPr>
        <w:spacing w:before="0" w:after="80"/>
      </w:pPr>
      <w:r>
        <w:rPr>
          <w:i/>
          <w:sz w:val="20"/>
        </w:rPr>
        <w:t>EN: Maximum Stability Point Tracking Stabilizes Wide‐Bandgap Mixed‐Halide Perovskite Solar Cells</w:t>
      </w:r>
    </w:p>
    <w:p>
      <w:pPr>
        <w:spacing w:before="0" w:after="120"/>
      </w:pPr>
      <w:r>
        <w:rPr>
          <w:b/>
        </w:rPr>
        <w:t xml:space="preserve">Source: </w:t>
      </w:r>
      <w:r>
        <w:t>Wiley: Advanced Energy Materials: Table of Contents</w:t>
      </w:r>
      <w:r>
        <w:t xml:space="preserve">    </w:t>
      </w:r>
      <w:r>
        <w:rPr>
          <w:b/>
        </w:rPr>
        <w:t xml:space="preserve">Pub date: </w:t>
      </w:r>
      <w:r>
        <w:t>2026-07-27 11:30:19+00:00</w:t>
      </w:r>
      <w:r>
        <w:t xml:space="preserve">    </w:t>
      </w:r>
      <w:r>
        <w:rPr>
          <w:b/>
        </w:rPr>
        <w:t xml:space="preserve">DOI: </w:t>
      </w:r>
      <w:hyperlink r:id="rId38">
        <w:r>
          <w:rPr>
            <w:color w:val="1155CC"/>
            <w:u w:val="single"/>
          </w:rPr>
          <w:t>10.1002/aenm.71358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带隙高于 1.65 eV 的混合卤化物宽带隙 (WBG) 钙钛矿是串联光伏发电的重要顶部电池吸收剂。然而，富含溴化物的宽带隙钙钛矿会遭受光诱导卤化物偏析，而其在操作条件下的起源仍不清楚。在这里，我们将捕获电荷积累确定为操作过程中触发相分离的关键因素，并制定了实用的操作策略来缓解这一过程。时间演化光致发光和深度剖析 X 射线光电子能谱表明，俘获电荷积累加速了光照下的离子重新分布和卤化物偏析。基于这一见解，我们引入了最大稳定点跟踪 (MSPT) 策略，该策略可在器件运行期间定期缓解电荷积累。在 MSPT 下运行的 WBG 钙钛矿太阳能电池 (PSC) 在连续运行 700 小时后仍保留约 90% 的初始功率，而在传统最大功率点跟踪 (MPPT) 下运行的器件在运行的早期阶段会迅速退化。运行后分析进一步表明，MSPT 保留了合金钙钛矿相，而 MPPT 则引起明显的相分离。作为一种在不改变材料成分的情况下减轻电荷积累的操作阶段策略，MSPT 与现有的材料方法兼容，并为更稳定的钙钛矿光伏提供了一条途径。这些发现为稳定宽带隙太阳能电池和推进串联光伏技术提供了操作指南。</w:t>
      </w:r>
    </w:p>
    <w:p>
      <w:pPr>
        <w:spacing w:before="0" w:after="200" w:lineRule="auto" w:line="276"/>
      </w:pPr>
      <w:r>
        <w:rPr>
          <w:b/>
        </w:rPr>
        <w:t xml:space="preserve">Abstract (EN): </w:t>
      </w:r>
      <w:r>
        <w:t>Mixed‐halide wide‐bandgap (WBG) perovskites with bandgaps above 1.65 eV are essential top‐cell absorbers for tandem photovoltaics. However, bromide‐rich WBG perovskites suffer from photo‐induced halide segregation, while its origin under operating conditions remains unclear. Here, we identify trapped‐charge accumulation as a key factor triggering phase segregation during operation and develop a practical operational strategy to mitigate this process. Time‐evolving photoluminescence and depth‐profiling x‐ray photoelectron spectroscopy reveal that trapped‐charge accumulation accelerates ionic redistribution and halide segregation under illumination. Based on this insight, we introduce a maximum stability point tracking (MSPT) strategy that periodically relieves charge accumulation during device operation. WBG perovskite solar cells (PSCs) operated under MSPT retain approximately 90% of their initial power after 700 h of continuous operation, whereas devices operated under conventional maximum power point tracking (MPPT) rapidly degrade during the early stages of operation. Post‐operational analyses further reveal that MSPT preserves the alloyed perovskite phase, whereas MPPT induces pronounced phase segregation. As an operation‐stage strategy that mitigates charge accumulation without altering material composition, MSPT is compatible with existing material approaches and offers a route toward more stable perovskite photovoltaics. These findings provide an operational guideline for stabilizing WBG PSCs and advancing tandem photovoltaic technologies.</w:t>
      </w:r>
    </w:p>
    <w:p>
      <w:pPr>
        <w:spacing w:before="120" w:after="120"/>
      </w:pPr>
      <w:r>
        <w:rPr>
          <w:sz w:val="18"/>
        </w:rPr>
        <w:t>——————————————————————————————————————————————————————————————————————</w:t>
      </w:r>
    </w:p>
    <w:p>
      <w:pPr>
        <w:spacing w:before="160" w:after="40" w:line="240" w:lineRule="auto"/>
      </w:pPr>
      <w:r>
        <w:rPr>
          <w:b/>
        </w:rPr>
        <w:t xml:space="preserve">[17] </w:t>
      </w:r>
      <w:hyperlink r:id="rId39">
        <w:r>
          <w:rPr>
            <w:color w:val="1155CC"/>
            <w:u w:val="single"/>
          </w:rPr>
          <w:t>氧化还原缓冲 PEAI-CeOx 钝化抑制快速热循环下钙钛矿太阳能电池的热机械降解</w:t>
        </w:r>
      </w:hyperlink>
    </w:p>
    <w:p>
      <w:pPr>
        <w:spacing w:before="0" w:after="80"/>
      </w:pPr>
      <w:r>
        <w:rPr>
          <w:i/>
          <w:sz w:val="20"/>
        </w:rPr>
        <w:t>EN: Redox‐Buffering PEAI‐CeOx Passivation Suppresses Thermo‐Mechanical Degradation in Perovskite Solar Cells Under Rapid Thermal Cycling</w:t>
      </w:r>
    </w:p>
    <w:p>
      <w:pPr>
        <w:spacing w:before="0" w:after="120"/>
      </w:pPr>
      <w:r>
        <w:rPr>
          <w:b/>
        </w:rPr>
        <w:t xml:space="preserve">Source: </w:t>
      </w:r>
      <w:r>
        <w:t>Wiley: Advanced Energy Materials: Table of Contents</w:t>
      </w:r>
      <w:r>
        <w:t xml:space="preserve">    </w:t>
      </w:r>
      <w:r>
        <w:rPr>
          <w:b/>
        </w:rPr>
        <w:t xml:space="preserve">Pub date: </w:t>
      </w:r>
      <w:r>
        <w:t>2026-07-27 11:32:16+00:00</w:t>
      </w:r>
      <w:r>
        <w:t xml:space="preserve">    </w:t>
      </w:r>
      <w:r>
        <w:rPr>
          <w:b/>
        </w:rPr>
        <w:t xml:space="preserve">DOI: </w:t>
      </w:r>
      <w:hyperlink r:id="rId40">
        <w:r>
          <w:rPr>
            <w:color w:val="1155CC"/>
            <w:u w:val="single"/>
          </w:rPr>
          <w:t>10.1002/aenm.71312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钙钛矿太阳能电池（PSC）在界面处表现出严重的热机械和缺陷介导的退化，限制了它们在陆地高温和类太空环境中的部署。本研究提出了一种双功能界面钝化策略，该策略结合了纳米颗粒氧化铈（CeO</w:t>
      </w:r>
      <w:r>
        <w:t xml:space="preserve"> </w:t>
      </w:r>
      <w:r>
        <w:t>x</w:t>
      </w:r>
      <w:r>
        <w:t xml:space="preserve"> </w:t>
      </w:r>
      <w:r>
        <w:t>）与苯乙基碘化铵（PEAI）形成聚[双（4-苯基）（2,4,6-三甲基苯基）胺（PTAA）基混合表面处理剂（PC）</w:t>
      </w:r>
      <w:r>
        <w:t xml:space="preserve"> </w:t>
      </w:r>
      <w:r>
        <w:t>n-i-p</w:t>
      </w:r>
      <w:r>
        <w:t xml:space="preserve"> </w:t>
      </w:r>
      <w:r>
        <w:t>PSC 架构，其中缺陷钝化通过氧化还原耦合和增强的热应力稳定性得到补充。优化的 PC 处理器件实现了 25.3% 的冠军效率，并分别在连续 1 SUN 光浸泡和 85°C/85% RH 湿热下表现出增强的运行稳定性。为了从机械角度探测工程界面，我们采用加速热冲击 (TS) 循环来模拟低地球轨道 (LEO) 相关的热循环条件。在实际模拟的 80°C 至 -80°C 循环温度和 16°C/min 升温速率过渡的 TS 条件下，经过 PC 处理的器件在 100 次 TS 循环后仍保留 95% 的初始效率，与不含 CeO 的器件相比，表现出卓越的稳定性</w:t>
      </w:r>
      <w:r>
        <w:t xml:space="preserve"> </w:t>
      </w:r>
      <w:r>
        <w:t>x</w:t>
      </w:r>
      <w:r>
        <w:t xml:space="preserve"> </w:t>
      </w:r>
      <w:r>
        <w:t>。总的来说，这项工作突出了对 PSC 动态热疲劳的新见解，并介绍了一条实用的路线</w:t>
      </w:r>
    </w:p>
    <w:p>
      <w:pPr>
        <w:spacing w:before="0" w:after="200" w:lineRule="auto" w:line="276"/>
      </w:pPr>
      <w:r>
        <w:rPr>
          <w:b/>
        </w:rPr>
        <w:t xml:space="preserve">Abstract (EN): </w:t>
      </w:r>
      <w:r>
        <w:t>Perovskite solar cells (PSCs) show critical thermo‐mechanical and defect mediated degradation at interfaces, limiting their deployment in terrestrial high‐temperature and space‐like environments. This study presents a dual‐function interfacial passivation strategy that combines nanoparticle cerium oxide (CeO</w:t>
      </w:r>
      <w:r>
        <w:t xml:space="preserve"> </w:t>
      </w:r>
      <w:r>
        <w:t>x</w:t>
      </w:r>
      <w:r>
        <w:t xml:space="preserve"> </w:t>
      </w:r>
      <w:r>
        <w:t>) with phenylethylammonium iodide (PEAI) to form a hybrid surface treatment (PC) for poly[bis(4‐phenyl)(2,4,6‐trimethylphenyl)amine (PTAA) based</w:t>
      </w:r>
      <w:r>
        <w:t xml:space="preserve"> </w:t>
      </w:r>
      <w:r>
        <w:t>n‐i‐p</w:t>
      </w:r>
      <w:r>
        <w:t xml:space="preserve"> </w:t>
      </w:r>
      <w:r>
        <w:t>PSC architecture, where defect passivation is complemented by redox coupling and enhanced thermal stress stabilization. Optimized PC‐treated devices achieved a champion efficiency of 25.3% and exhibited enhanced operational stabilities under continuous 1 SUN light soaking and 85°C/85% RH damp heat respectively. To probe the engineered interface mechanistically, we employed an accelerated thermal shock (TS) cycling to mimic low Earth orbit (LEO) relevant thermal cycling condition. Under realistically simulated TS conditions of cycling temperature between 80°C and −80°C and 16°C/min ramp rate transition, PC‐treated devices retained 95% of initial efficiency after 100 cycles of TS, showing superior stability compared to their counterparts without CeO</w:t>
      </w:r>
      <w:r>
        <w:t xml:space="preserve"> </w:t>
      </w:r>
      <w:r>
        <w:t>x</w:t>
      </w:r>
      <w:r>
        <w:t xml:space="preserve"> </w:t>
      </w:r>
      <w:r>
        <w:t>. Collectively, this work highlights a new insight into dynamic thermal fatigue in PSCs and introduces a practical route toward thermally resilient, high efficiency perovskite photovoltaics.</w:t>
      </w:r>
    </w:p>
    <w:p>
      <w:pPr>
        <w:spacing w:before="120" w:after="120"/>
      </w:pPr>
      <w:r>
        <w:rPr>
          <w:sz w:val="18"/>
        </w:rPr>
        <w:t>——————————————————————————————————————————————————————————————————————</w:t>
      </w:r>
    </w:p>
    <w:p>
      <w:pPr>
        <w:spacing w:before="160" w:after="40" w:line="240" w:lineRule="auto"/>
      </w:pPr>
      <w:r>
        <w:rPr>
          <w:b/>
        </w:rPr>
        <w:t xml:space="preserve">[18] </w:t>
      </w:r>
      <w:hyperlink r:id="rId41">
        <w:r>
          <w:rPr>
            <w:color w:val="1155CC"/>
            <w:u w:val="single"/>
          </w:rPr>
          <w:t>中央单元的静电调制实现高性能稠环三聚体受体</w:t>
        </w:r>
      </w:hyperlink>
    </w:p>
    <w:p>
      <w:pPr>
        <w:spacing w:before="0" w:after="80"/>
      </w:pPr>
      <w:r>
        <w:rPr>
          <w:i/>
          <w:sz w:val="20"/>
        </w:rPr>
        <w:t>EN: Electrostatic Modulation of Central Units Enables High‐Performance Fused‐Ring Trimeric Acceptors</w:t>
      </w:r>
    </w:p>
    <w:p>
      <w:pPr>
        <w:spacing w:before="0" w:after="120"/>
      </w:pPr>
      <w:r>
        <w:rPr>
          <w:b/>
        </w:rPr>
        <w:t xml:space="preserve">Source: </w:t>
      </w:r>
      <w:r>
        <w:t>Wiley: Angewandte Chemie International Edition: Table of Contents</w:t>
      </w:r>
      <w:r>
        <w:t xml:space="preserve">    </w:t>
      </w:r>
      <w:r>
        <w:rPr>
          <w:b/>
        </w:rPr>
        <w:t xml:space="preserve">Pub date: </w:t>
      </w:r>
      <w:r>
        <w:t>2026-07-27 11:55:13+00:00</w:t>
      </w:r>
      <w:r>
        <w:t xml:space="preserve">    </w:t>
      </w:r>
      <w:r>
        <w:rPr>
          <w:b/>
        </w:rPr>
        <w:t xml:space="preserve">DOI: </w:t>
      </w:r>
      <w:hyperlink r:id="rId42">
        <w:r>
          <w:rPr>
            <w:color w:val="1155CC"/>
            <w:u w:val="single"/>
          </w:rPr>
          <w:t>10.1002/anie.8307325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稠环三聚体受体受益于小分子受体的高对称性/平面性和聚合物受体的高玻璃化转变温度，使其非常有可能实现同时具有优异功率转换效率（PCE）和长期稳定性的有机太阳能电池（OSC）。然而，由于环稠合三聚体受体的结构复杂性，方便地调节其光电性能仍然是一个重大挑战。在此，第一类光学和静电可调的稠环三聚受体（CH34、CH35和CH36）是通过分别将给电子三氮杂苯、电子中性苯并菲和吸电子三环喹唑啉作为中心平面而构建的。所有三聚体受体都保持了分子骨架固有的刚性和平面性，这赋予它们非常小的重组能和弱的电子声子耦合。此外，中心核截然不同的静电特性对受体的能级分布和光捕获能力产生显着影响。因此，CH36 达到了 16.73% 的良好 PCE，代表了环稠合三聚体受体中最好的性能。值得注意的是，基于 CH36 的三元 OSC 进一步提供了 20.48% 的优异 PCE，同时显着提高了运行稳定性。我们的工作证明了稠环三聚体受体在实现高效和稳定的有机光伏发电方面的巨大潜力。</w:t>
      </w:r>
    </w:p>
    <w:p>
      <w:pPr>
        <w:spacing w:before="0" w:after="200" w:lineRule="auto" w:line="276"/>
      </w:pPr>
      <w:r>
        <w:rPr>
          <w:b/>
        </w:rPr>
        <w:t xml:space="preserve">Abstract (EN): </w:t>
      </w:r>
      <w:r>
        <w:t>Fused‐ring trimeric acceptor benefits from both the high symmetry/planarity of small‐molecule acceptors and the large glass transition temperature of polymeric acceptors, making it highly potential to achieve organic solar cells (OSCs) with excellent power conversion efficiencies (PCEs) and long‐term stabilities simultaneously. However, due to the structural complexity of ring‐fused trimeric acceptor, conveniently tuning its optoelectronic properties remains a significant challenge. Herein, the first family of optically and electrostatically tunable fused‐ring trimeric acceptors (CH34, CH35, and CH36) is constructed by incorporating electron‐donating triazatruxene, electron‐neutral triphenylene and electron‐withdrawing tricycloquinazoline as central planes, respectively. All the trimeric acceptors maintain the intrinsic rigidity and planarity of molecular skeleton, which endow them with very small reorganization energies and weak electron–phonon coupling. Moreover, the quite different electrostatic properties of central cores exert significant effects on the energy levels distribution and light harvesting capacity of acceptors. Consequently, CH36 achieves a good PCE of 16.73%, representing the best performance among ring‐fused trimeric acceptors. Remarkably, CH36‐based ternary OSCs further render an excellent PCE of 20.48% along with substantially improved operational stability. Our work demonstrates the great potential of fused‐ring trimeric acceptor for realizing both highly efficient and stable organic photovoltaics.</w:t>
      </w:r>
    </w:p>
    <w:p>
      <w:pPr>
        <w:spacing w:before="120" w:after="120"/>
      </w:pPr>
      <w:r>
        <w:rPr>
          <w:sz w:val="18"/>
        </w:rPr>
        <w:t>——————————————————————————————————————————————————————————————————————</w:t>
      </w:r>
    </w:p>
    <w:p>
      <w:pPr>
        <w:spacing w:before="160" w:after="40" w:line="240" w:lineRule="auto"/>
      </w:pPr>
      <w:r>
        <w:rPr>
          <w:b/>
        </w:rPr>
        <w:t xml:space="preserve">[19] </w:t>
      </w:r>
      <w:hyperlink r:id="rId43">
        <w:r>
          <w:rPr>
            <w:color w:val="1155CC"/>
            <w:u w:val="single"/>
          </w:rPr>
          <w:t>中间位点锚定配体可实现稳健的非层状界面钝化，从而实现高效、稳定的空气处理钙钛矿太阳能电池</w:t>
        </w:r>
      </w:hyperlink>
    </w:p>
    <w:p>
      <w:pPr>
        <w:spacing w:before="0" w:after="80"/>
      </w:pPr>
      <w:r>
        <w:rPr>
          <w:i/>
          <w:sz w:val="20"/>
        </w:rPr>
        <w:t>EN: Intermediate‐Site Anchoring Ligands Enable Robust Nonlayered Interfacial Passivation for Efficient and Stable Air‐Processed Perovskite Solar Cells</w:t>
      </w:r>
    </w:p>
    <w:p>
      <w:pPr>
        <w:spacing w:before="0" w:after="120"/>
      </w:pPr>
      <w:r>
        <w:rPr>
          <w:b/>
        </w:rPr>
        <w:t xml:space="preserve">Source: </w:t>
      </w:r>
      <w:r>
        <w:t>Wiley: Advanced Materials: Table of Contents</w:t>
      </w:r>
      <w:r>
        <w:t xml:space="preserve">    </w:t>
      </w:r>
      <w:r>
        <w:rPr>
          <w:b/>
        </w:rPr>
        <w:t xml:space="preserve">Pub date: </w:t>
      </w:r>
      <w:r>
        <w:t>2026-07-27 21:23:47+00:00</w:t>
      </w:r>
      <w:r>
        <w:t xml:space="preserve">    </w:t>
      </w:r>
      <w:r>
        <w:rPr>
          <w:b/>
        </w:rPr>
        <w:t xml:space="preserve">DOI: </w:t>
      </w:r>
      <w:hyperlink r:id="rId44">
        <w:r>
          <w:rPr>
            <w:color w:val="1155CC"/>
            <w:u w:val="single"/>
          </w:rPr>
          <w:t>10.1002/adma.74243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空气中复杂的湿氧环境对空气处理的钙钛矿太阳能电池的表面钝化提出了严格的要求。然而，大多数传统的基于铵配体的钝化通过末端位点与钙钛矿表面结合，通常会引起配体嵌入，提高界面电阻，并损害环境稳定性，从而限制在环境条件下有效的器件制造。在这项研究中，我们报告了一种使用一系列胆碱衍生物进行非层状界面钝化的稳健的、基于配体的中间位点锚定策略。硫酰基硫与欠配位的 Pb 强烈配位</w:t>
      </w:r>
      <w:r>
        <w:t xml:space="preserve"> </w:t>
      </w:r>
      <w:r>
        <w:t>2+</w:t>
      </w:r>
      <w:r>
        <w:t xml:space="preserve"> </w:t>
      </w:r>
      <w:r>
        <w:t>位点，而碘化物抗衡阴离子有助于卤化物空位修复，共同形成热稳定且电子均匀的顶部界面。表面钝化使表面电势均匀化，优化能带排列，松弛残余应变，并抑制陷阱辅助复合和卤化物迁移。因此，所得钙钛矿太阳能电池的功率转换效率（PCE）达到26.54%，这是迄今为止报道的空气处理n-i-p PSC的最高值。这些器件在 65°C 下 2000 小时后仍保留超过 90% 的 PCE，在连续最大功率点跟踪 1000 小时（AM 1.5G，40°C ± 1°C）下仍保留 90% 以上，预计 T</w:t>
      </w:r>
      <w:r>
        <w:rPr>
          <w:vertAlign w:val="subscript"/>
        </w:rPr>
        <w:t>80</w:t>
      </w:r>
      <w:r>
        <w:t>光照下的寿命约为 9800 小时，热老化下的寿命约为 11 000 小时，是最稳定的空气处理钙钛矿太阳能电池之一</w:t>
      </w:r>
    </w:p>
    <w:p>
      <w:pPr>
        <w:spacing w:before="0" w:after="200" w:lineRule="auto" w:line="276"/>
      </w:pPr>
      <w:r>
        <w:rPr>
          <w:b/>
        </w:rPr>
        <w:t xml:space="preserve">Abstract (EN): </w:t>
      </w:r>
      <w:r>
        <w:t>The complex moisture–oxygen environment in air places stringent demands on surface passivation for air‐processed perovskite solar cells. However, most conventional ammonium ligand‐based passivation, which binds to the perovskite surface through a terminal site, often induces ligand intercalation, elevates interfacial resistance, and compromises environmental stability, thereby limiting efficient device fabrication under ambient conditions. In this study, we report a robust, ligand‐based, intermediate‐site anchoring strategy for nonlayered interfacial passivation using a series of choline derivatives. The thioacyl sulfur coordinates strongly with under‐coordinated Pb</w:t>
      </w:r>
      <w:r>
        <w:t xml:space="preserve"> </w:t>
      </w:r>
      <w:r>
        <w:t>2+</w:t>
      </w:r>
      <w:r>
        <w:t xml:space="preserve"> </w:t>
      </w:r>
      <w:r>
        <w:t>sites, while iodide counter‐anions assist in halide vacancy healing, collectively forming a thermally robust and electronically homogeneous top interface. The surface passivation homogenizes surface potential, optimizes band alignment, relaxes residual strain, and suppresses trap‐assisted recombination and halide migration. Consequently, the resulting perovskite solar cells achieve a power conversion efficiency (PCE) of 26.54%, the highest value for air‐processed n–i–p PSCs reported so far. These devices also retained over 90% PCE after 2000 h at 65°C and 90% under continuous maximum power point tracking for 1000 h (AM 1.5G, 40°C ± 1°C), with projected T</w:t>
      </w:r>
      <w:r>
        <w:rPr>
          <w:vertAlign w:val="subscript"/>
        </w:rPr>
        <w:t>80</w:t>
      </w:r>
      <w:r>
        <w:t>lifetimes of ∼9800 h under illumination and ∼11 000 h under thermal aging, among the most stable air‐processed perovskite solar cells reported to date.</w:t>
      </w:r>
    </w:p>
    <w:p>
      <w:pPr>
        <w:spacing w:before="120" w:after="120"/>
      </w:pPr>
      <w:r>
        <w:rPr>
          <w:sz w:val="18"/>
        </w:rPr>
        <w:t>——————————————————————————————————————————————————————————————————————</w:t>
      </w:r>
    </w:p>
    <w:p>
      <w:pPr>
        <w:spacing w:before="160" w:after="40" w:line="240" w:lineRule="auto"/>
      </w:pPr>
      <w:r>
        <w:rPr>
          <w:b/>
        </w:rPr>
        <w:t xml:space="preserve">[20] </w:t>
      </w:r>
      <w:hyperlink r:id="rId45">
        <w:r>
          <w:rPr>
            <w:color w:val="1155CC"/>
            <w:u w:val="single"/>
          </w:rPr>
          <w:t>通过梯度耦合物理信息神经网络进行光伏组件的动态污染状态反演和功率预测</w:t>
        </w:r>
      </w:hyperlink>
    </w:p>
    <w:p>
      <w:pPr>
        <w:spacing w:before="0" w:after="80"/>
      </w:pPr>
      <w:r>
        <w:rPr>
          <w:i/>
          <w:sz w:val="20"/>
        </w:rPr>
        <w:t>EN: Dynamic soiling-state inversion and power prediction for photovoltaic modules via gradient-coupled physics-informed neural networks</w:t>
      </w:r>
    </w:p>
    <w:p>
      <w:pPr>
        <w:spacing w:before="0" w:after="120"/>
      </w:pPr>
      <w:r>
        <w:rPr>
          <w:b/>
        </w:rPr>
        <w:t xml:space="preserve">Source: </w:t>
      </w:r>
      <w:r>
        <w:t>ScienceDirect Publication: Applied Energy</w:t>
      </w:r>
      <w:r>
        <w:t xml:space="preserve">    </w:t>
      </w:r>
      <w:r>
        <w:rPr>
          <w:b/>
        </w:rPr>
        <w:t xml:space="preserve">Pub date: </w:t>
      </w:r>
      <w:r>
        <w:t>2026-07-28 00:00:00+00:00</w:t>
      </w:r>
      <w:r>
        <w:t xml:space="preserve">    </w:t>
      </w:r>
      <w:r>
        <w:rPr>
          <w:b/>
        </w:rPr>
        <w:t xml:space="preserve">DOI: </w:t>
      </w:r>
      <w:hyperlink r:id="rId46">
        <w:r>
          <w:rPr>
            <w:color w:val="1155CC"/>
            <w:u w:val="single"/>
          </w:rPr>
          <w:t>10.1016/j.apenergy.2026.128514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47">
        <w:r>
          <w:rPr>
            <w:color w:val="1155CC"/>
            <w:u w:val="single"/>
          </w:rPr>
          <w:t>路易斯碱-两性离子双添加剂可实现高效的刀片涂覆锡铅钙钛矿太阳能电池和串联电池</w:t>
        </w:r>
      </w:hyperlink>
    </w:p>
    <w:p>
      <w:pPr>
        <w:spacing w:before="0" w:after="80"/>
      </w:pPr>
      <w:r>
        <w:rPr>
          <w:i/>
          <w:sz w:val="20"/>
        </w:rPr>
        <w:t>EN: Lewis Base–Zwitterion Dual Additives Enable Efficient Blade‐Coated Tin‐lead Perovskite Solar Cells and Tandems</w:t>
      </w:r>
    </w:p>
    <w:p>
      <w:pPr>
        <w:spacing w:before="0" w:after="120"/>
      </w:pPr>
      <w:r>
        <w:rPr>
          <w:b/>
        </w:rPr>
        <w:t xml:space="preserve">Source: </w:t>
      </w:r>
      <w:r>
        <w:t>Wiley: Advanced Energy Materials: Table of Contents</w:t>
      </w:r>
      <w:r>
        <w:t xml:space="preserve">    </w:t>
      </w:r>
      <w:r>
        <w:rPr>
          <w:b/>
        </w:rPr>
        <w:t xml:space="preserve">Pub date: </w:t>
      </w:r>
      <w:r>
        <w:t>2026-07-28 05:54:48+00:00</w:t>
      </w:r>
      <w:r>
        <w:t xml:space="preserve">    </w:t>
      </w:r>
      <w:r>
        <w:rPr>
          <w:b/>
        </w:rPr>
        <w:t xml:space="preserve">DOI: </w:t>
      </w:r>
      <w:hyperlink r:id="rId48">
        <w:r>
          <w:rPr>
            <w:color w:val="1155CC"/>
            <w:u w:val="single"/>
          </w:rPr>
          <w:t>10.1002/aenm.71336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高效全钙钛矿串联太阳能电池受到窄带隙Sn-Pb子电池的严重限制，其面临着固有的矛盾瓶颈：Sn</w:t>
      </w:r>
      <w:r>
        <w:t xml:space="preserve"> </w:t>
      </w:r>
      <w:r>
        <w:t>2+</w:t>
      </w:r>
      <w:r>
        <w:t xml:space="preserve"> </w:t>
      </w:r>
      <w:r>
        <w:t>‐丰富的前体在刀片涂层过程中经历快速、不受控制的结晶，但 Sn</w:t>
      </w:r>
      <w:r>
        <w:t xml:space="preserve"> </w:t>
      </w:r>
      <w:r>
        <w:t>2+</w:t>
      </w:r>
      <w:r>
        <w:t xml:space="preserve"> </w:t>
      </w:r>
      <w:r>
        <w:t>阳离子很容易被氧化成有害的Sn</w:t>
      </w:r>
      <w:r>
        <w:t xml:space="preserve"> </w:t>
      </w:r>
      <w:r>
        <w:t>4+</w:t>
      </w:r>
      <w:r>
        <w:t xml:space="preserve"> </w:t>
      </w:r>
      <w:r>
        <w:t>在环境条件下。传统的单一添加剂材料只能解决两个关键缺点之一，而不是平衡两者。在此，我们开发了一种双添加剂策略，将路易斯基脒基硫脲（FATU）和两性离子甘氨酸盐酸盐（GlyHCl）结合起来，具有两个核心协同功能。 FATU 利用 C=S 和 −NH</w:t>
      </w:r>
      <w:r>
        <w:rPr>
          <w:vertAlign w:val="subscript"/>
        </w:rPr>
        <w:t>2</w:t>
      </w:r>
      <w:r>
        <w:t>优先螯合 Sn 的基团</w:t>
      </w:r>
      <w:r>
        <w:t xml:space="preserve"> </w:t>
      </w:r>
      <w:r>
        <w:t>2+</w:t>
      </w:r>
      <w:r>
        <w:t xml:space="preserve"> </w:t>
      </w:r>
      <w:r>
        <w:t>，抑制其氧化和预成核聚集； GlyHCl 同时配位 Pb</w:t>
      </w:r>
      <w:r>
        <w:t xml:space="preserve"> </w:t>
      </w:r>
      <w:r>
        <w:t>2+</w:t>
      </w:r>
      <w:r>
        <w:t xml:space="preserve"> </w:t>
      </w:r>
      <w:r>
        <w:t>和锡</w:t>
      </w:r>
      <w:r>
        <w:t xml:space="preserve"> </w:t>
      </w:r>
      <w:r>
        <w:t>2+</w:t>
      </w:r>
      <w:r>
        <w:t xml:space="preserve"> </w:t>
      </w:r>
      <w:r>
        <w:t>减缓全局结晶动力学并抑制异质成核。这种双重协同作用可制造出高质量的铯</w:t>
      </w:r>
      <w:r>
        <w:t xml:space="preserve"> </w:t>
      </w:r>
      <w:r>
        <w:t>0.1</w:t>
      </w:r>
      <w:r>
        <w:t xml:space="preserve"> </w:t>
      </w:r>
      <w:r>
        <w:t>FA</w:t>
      </w:r>
      <w:r>
        <w:t xml:space="preserve"> </w:t>
      </w:r>
      <w:r>
        <w:t>0.5</w:t>
      </w:r>
      <w:r>
        <w:t xml:space="preserve"> </w:t>
      </w:r>
      <w:r>
        <w:t>硕士</w:t>
      </w:r>
      <w:r>
        <w:t xml:space="preserve"> </w:t>
      </w:r>
      <w:r>
        <w:t>0.4</w:t>
      </w:r>
      <w:r>
        <w:t xml:space="preserve"> </w:t>
      </w:r>
      <w:r>
        <w:t>铅</w:t>
      </w:r>
      <w:r>
        <w:t xml:space="preserve"> </w:t>
      </w:r>
      <w:r>
        <w:t>0.5</w:t>
      </w:r>
      <w:r>
        <w:t xml:space="preserve"> </w:t>
      </w:r>
      <w:r>
        <w:t>锡</w:t>
      </w:r>
      <w:r>
        <w:t xml:space="preserve"> </w:t>
      </w:r>
      <w:r>
        <w:t>0.5</w:t>
      </w:r>
      <w:r>
        <w:t xml:space="preserve"> </w:t>
      </w:r>
      <w:r>
        <w:t>我</w:t>
      </w:r>
      <w:r>
        <w:rPr>
          <w:vertAlign w:val="subscript"/>
        </w:rPr>
        <w:t>3</w:t>
      </w:r>
      <w:r>
        <w:t>具有超过 800 nm 大晶粒和最小化陷阱密度的薄膜。刀片-co</w:t>
      </w:r>
    </w:p>
    <w:p>
      <w:pPr>
        <w:spacing w:before="0" w:after="200" w:lineRule="auto" w:line="276"/>
      </w:pPr>
      <w:r>
        <w:rPr>
          <w:b/>
        </w:rPr>
        <w:t xml:space="preserve">Abstract (EN): </w:t>
      </w:r>
      <w:r>
        <w:t>High‐efficiency all‐perovskite tandem solar cells are severely constrained by narrow‐bandgap Sn‐Pb subcells, which confront an inherent contradictory bottleneck: Sn</w:t>
      </w:r>
      <w:r>
        <w:t xml:space="preserve"> </w:t>
      </w:r>
      <w:r>
        <w:t>2+</w:t>
      </w:r>
      <w:r>
        <w:t xml:space="preserve"> </w:t>
      </w:r>
      <w:r>
        <w:t>‐rich precursors undergo fast, unregulated crystallization during blade coating, yet Sn</w:t>
      </w:r>
      <w:r>
        <w:t xml:space="preserve"> </w:t>
      </w:r>
      <w:r>
        <w:t>2+</w:t>
      </w:r>
      <w:r>
        <w:t xml:space="preserve"> </w:t>
      </w:r>
      <w:r>
        <w:t>cations are easily oxidized to harmful Sn</w:t>
      </w:r>
      <w:r>
        <w:t xml:space="preserve"> </w:t>
      </w:r>
      <w:r>
        <w:t>4+</w:t>
      </w:r>
      <w:r>
        <w:t xml:space="preserve"> </w:t>
      </w:r>
      <w:r>
        <w:t>under ambient conditions. Conventional single additive materials can only address one of the two critical drawbacks instead of balancing both. Herein, we develop a dual‐additive strategy combining Lewis‐base amidinothiourea (FATU) and zwitterionic glycine hydrochloride (GlyHCl) with two core synergistic functions. FATU utilizes C═S and −NH</w:t>
      </w:r>
      <w:r>
        <w:rPr>
          <w:vertAlign w:val="subscript"/>
        </w:rPr>
        <w:t>2</w:t>
      </w:r>
      <w:r>
        <w:t>groups to preferentially chelate Sn</w:t>
      </w:r>
      <w:r>
        <w:t xml:space="preserve"> </w:t>
      </w:r>
      <w:r>
        <w:t>2+</w:t>
      </w:r>
      <w:r>
        <w:t xml:space="preserve"> </w:t>
      </w:r>
      <w:r>
        <w:t>, inhibiting its oxidation and pre‐nucleation aggregation; GlyHCl simultaneously coordinates Pb</w:t>
      </w:r>
      <w:r>
        <w:t xml:space="preserve"> </w:t>
      </w:r>
      <w:r>
        <w:t>2+</w:t>
      </w:r>
      <w:r>
        <w:t xml:space="preserve"> </w:t>
      </w:r>
      <w:r>
        <w:t>and Sn</w:t>
      </w:r>
      <w:r>
        <w:t xml:space="preserve"> </w:t>
      </w:r>
      <w:r>
        <w:t>2+</w:t>
      </w:r>
      <w:r>
        <w:t xml:space="preserve"> </w:t>
      </w:r>
      <w:r>
        <w:t>to slow global crystallization kinetics and suppress heterogeneous nucleation. This dual synergy fabricates high‐quality Cs</w:t>
      </w:r>
      <w:r>
        <w:t xml:space="preserve"> </w:t>
      </w:r>
      <w:r>
        <w:t>0.1</w:t>
      </w:r>
      <w:r>
        <w:t xml:space="preserve"> </w:t>
      </w:r>
      <w:r>
        <w:t>FA</w:t>
      </w:r>
      <w:r>
        <w:t xml:space="preserve"> </w:t>
      </w:r>
      <w:r>
        <w:t>0.5</w:t>
      </w:r>
      <w:r>
        <w:t xml:space="preserve"> </w:t>
      </w:r>
      <w:r>
        <w:t>MA</w:t>
      </w:r>
      <w:r>
        <w:t xml:space="preserve"> </w:t>
      </w:r>
      <w:r>
        <w:t>0.4</w:t>
      </w:r>
      <w:r>
        <w:t xml:space="preserve"> </w:t>
      </w:r>
      <w:r>
        <w:t>Pb</w:t>
      </w:r>
      <w:r>
        <w:t xml:space="preserve"> </w:t>
      </w:r>
      <w:r>
        <w:t>0.5</w:t>
      </w:r>
      <w:r>
        <w:t xml:space="preserve"> </w:t>
      </w:r>
      <w:r>
        <w:t>Sn</w:t>
      </w:r>
      <w:r>
        <w:t xml:space="preserve"> </w:t>
      </w:r>
      <w:r>
        <w:t>0.5</w:t>
      </w:r>
      <w:r>
        <w:t xml:space="preserve"> </w:t>
      </w:r>
      <w:r>
        <w:t>I</w:t>
      </w:r>
      <w:r>
        <w:rPr>
          <w:vertAlign w:val="subscript"/>
        </w:rPr>
        <w:t>3</w:t>
      </w:r>
      <w:r>
        <w:t>films with over 800 nm large grains and minimized trap density. The blade‐coated single‐junction device reaches 21.02% PCE with</w:t>
      </w:r>
      <w:r>
        <w:t xml:space="preserve"> </w:t>
      </w:r>
      <w:r>
        <w:t>V</w:t>
      </w:r>
      <w:r>
        <w:t xml:space="preserve"> </w:t>
      </w:r>
      <w:r>
        <w:t>OC</w:t>
      </w:r>
      <w:r>
        <w:t xml:space="preserve"> </w:t>
      </w:r>
      <w:r>
        <w:t>boosted from 0.797 to 0.850 V. When integrated with a 1.76 eV wide‐bandgap top cell, the tandem achieves 27.84% peak efficiency (stabilized at 27.33%) and retains more than 75% initial efficiency after 680 h continuous MPP tracking. This work offers a practical pathway for scalable blade‐coating production of high‐performance all‐perovskite tandem photovoltaics.</w:t>
      </w:r>
    </w:p>
    <w:p>
      <w:pPr>
        <w:spacing w:before="120" w:after="120"/>
      </w:pPr>
      <w:r>
        <w:rPr>
          <w:sz w:val="18"/>
        </w:rPr>
        <w:t>——————————————————————————————————————————————————————————————————————</w:t>
      </w:r>
    </w:p>
    <w:p>
      <w:pPr>
        <w:spacing w:before="160" w:after="40" w:line="240" w:lineRule="auto"/>
      </w:pPr>
      <w:r>
        <w:rPr>
          <w:b/>
        </w:rPr>
        <w:t xml:space="preserve">[22] </w:t>
      </w:r>
      <w:hyperlink r:id="rId49">
        <w:r>
          <w:rPr>
            <w:color w:val="1155CC"/>
            <w:u w:val="single"/>
          </w:rPr>
          <w:t>植物光系统超复合体的原位结构</w:t>
        </w:r>
      </w:hyperlink>
    </w:p>
    <w:p>
      <w:pPr>
        <w:spacing w:before="0" w:after="80"/>
      </w:pPr>
      <w:r>
        <w:rPr>
          <w:i/>
          <w:sz w:val="20"/>
        </w:rPr>
        <w:t>EN: In situ structures of plant photosystem supercomplexes</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50">
        <w:r>
          <w:rPr>
            <w:color w:val="1155CC"/>
            <w:u w:val="single"/>
          </w:rPr>
          <w:t>10.1038/s41586-026-10847-3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光合作用通过类囊体膜内光系统 I (PSI) 和光系统 II (PSII) 的协调作用将光转化为化学能，从而维持地球上的生命</w:t>
      </w:r>
      <w:r>
        <w:t xml:space="preserve"> </w:t>
      </w:r>
      <w:r>
        <w:t>1-4</w:t>
      </w:r>
      <w:r>
        <w:t xml:space="preserve"> </w:t>
      </w:r>
      <w:r>
        <w:t>。尽管孤立的光系统的结构是可用的，但它们在叶绿体中的天然组织仍然未知。在这里，我们使用原位冷冻电子显微镜直接成像</w:t>
      </w:r>
      <w:r>
        <w:t xml:space="preserve"> </w:t>
      </w:r>
      <w:r>
        <w:t>水稻</w:t>
      </w:r>
      <w:r>
        <w:t xml:space="preserve"> </w:t>
      </w:r>
      <w:r>
        <w:t>（水稻）叶绿体和其天然膜环境中光系统超级复合物的确定结构。我们解决了一个C</w:t>
      </w:r>
      <w:r>
        <w:rPr>
          <w:vertAlign w:val="subscript"/>
        </w:rPr>
        <w:t>2</w:t>
      </w:r>
      <w:r>
        <w:t>S</w:t>
      </w:r>
      <w:r>
        <w:rPr>
          <w:vertAlign w:val="subscript"/>
        </w:rPr>
        <w:t>2</w:t>
      </w:r>
      <w:r>
        <w:t>中号</w:t>
      </w:r>
      <w:r>
        <w:rPr>
          <w:vertAlign w:val="subscript"/>
        </w:rPr>
        <w:t>2</w:t>
      </w:r>
      <w:r>
        <w:t>L</w:t>
      </w:r>
      <w:r>
        <w:rPr>
          <w:vertAlign w:val="subscript"/>
        </w:rPr>
        <w:t>4</w:t>
      </w:r>
      <w:r>
        <w:t>PSII 型——光捕获复合物 II (LHCII) 超级复合物，包括四个未保留在纯化制剂中的 LHCII 天线三聚体。基于该架构的激发能量转移计算紧密地再现了体内测量结果，表明了其生理相关性。我们还解析了不对称 PSII-LHCII 二聚体，包括并排、跨腔和跨基质结构，以及三聚体和四聚体的高阶组装。基于这些观察，我们提出 PSII 形成跨腔和跨基质的“骨架”，塑造类囊体形态并支持基粒堆积。此外，我们还获得了 PSI-LHCI-LHCII 和 PSI-LHCI 超复合物的高分辨率结构。这些结构共同揭示了广泛的新</w:t>
      </w:r>
    </w:p>
    <w:p>
      <w:pPr>
        <w:spacing w:before="0" w:after="200" w:lineRule="auto" w:line="276"/>
      </w:pPr>
      <w:r>
        <w:rPr>
          <w:b/>
        </w:rPr>
        <w:t xml:space="preserve">Abstract (EN): </w:t>
      </w:r>
      <w:r>
        <w:t>Photosynthesis sustains life on Earth by converting light to chemical energy through the coordinated action of photosystem I (PSI) and photosystem II (PSII) within thylakoid membranes</w:t>
      </w:r>
      <w:r>
        <w:t xml:space="preserve"> </w:t>
      </w:r>
      <w:r>
        <w:t>1–4</w:t>
      </w:r>
      <w:r>
        <w:t xml:space="preserve"> </w:t>
      </w:r>
      <w:r>
        <w:t>. Although structures of isolated photosystems are available, their native organization in chloroplasts remains unknown. Here, using in situ cryo-electron microscopy, we directly imaged</w:t>
      </w:r>
      <w:r>
        <w:t xml:space="preserve"> </w:t>
      </w:r>
      <w:r>
        <w:t>Oryza sativa</w:t>
      </w:r>
      <w:r>
        <w:t xml:space="preserve"> </w:t>
      </w:r>
      <w:r>
        <w:t>(rice) chloroplasts and determined structures of photosystem supercomplexes in their native membrane environment. We resolved a C</w:t>
      </w:r>
      <w:r>
        <w:rPr>
          <w:vertAlign w:val="subscript"/>
        </w:rPr>
        <w:t>2</w:t>
      </w:r>
      <w:r>
        <w:t>S</w:t>
      </w:r>
      <w:r>
        <w:rPr>
          <w:vertAlign w:val="subscript"/>
        </w:rPr>
        <w:t>2</w:t>
      </w:r>
      <w:r>
        <w:t>M</w:t>
      </w:r>
      <w:r>
        <w:rPr>
          <w:vertAlign w:val="subscript"/>
        </w:rPr>
        <w:t>2</w:t>
      </w:r>
      <w:r>
        <w:t>L</w:t>
      </w:r>
      <w:r>
        <w:rPr>
          <w:vertAlign w:val="subscript"/>
        </w:rPr>
        <w:t>4</w:t>
      </w:r>
      <w:r>
        <w:t>-type PSII–light harvesting complex II (LHCII) supercomplex, including four LHCII antenna trimers that were not retained in purified preparations. Excitation energy transfer calculations based on this architecture closely reproduce in vivo measurements, indicating its physiological relevance. We also resolved asymmetric PSII–LHCII dimers, including side-by-side, trans-lumenal and trans-stromal architectures, and higher-order assemblies of trimers and tetramers. On the basis of these observations, we propose that PSII forms a trans-lumenal and trans-stromal ‘skeleton’ that shapes thylakoid morphology and supports grana stacking. In addition, we obtained high-resolution structures of PSI–LHCI–LHCII and PSI–LHCI supercomplexes. Together, these structures reveal extensive networks of lipids, pigments and cofactors, providing the first molecular framework for understanding how the native architecture of plant photosystem supports the exceptional photon-to-electron efficiency of photosynthesis.</w:t>
      </w:r>
    </w:p>
    <w:p>
      <w:pPr>
        <w:spacing w:before="120" w:after="120"/>
      </w:pPr>
      <w:r>
        <w:rPr>
          <w:sz w:val="18"/>
        </w:rPr>
        <w:t>——————————————————————————————————————————————————————————————————————</w:t>
      </w:r>
    </w:p>
    <w:p>
      <w:pPr>
        <w:spacing w:before="160" w:after="40" w:line="240" w:lineRule="auto"/>
      </w:pPr>
      <w:r>
        <w:rPr>
          <w:b/>
        </w:rPr>
        <w:t xml:space="preserve">[23] </w:t>
      </w:r>
      <w:hyperlink r:id="rId51">
        <w:r>
          <w:rPr>
            <w:color w:val="1155CC"/>
            <w:u w:val="single"/>
          </w:rPr>
          <w:t>非共面多齿接触增强了钙钛矿/硅串联太阳能电池的埋入界面</w:t>
        </w:r>
      </w:hyperlink>
    </w:p>
    <w:p>
      <w:pPr>
        <w:spacing w:before="0" w:after="80"/>
      </w:pPr>
      <w:r>
        <w:rPr>
          <w:i/>
          <w:sz w:val="20"/>
        </w:rPr>
        <w:t>EN: Noncoplanar multidentate contacts reinforce buried interface for perovskite/silicon tandem solar cells</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52">
        <w:r>
          <w:rPr>
            <w:color w:val="1155CC"/>
            <w:u w:val="single"/>
          </w:rPr>
          <w:t>10.1126/sciadv.aei2945</w:t>
        </w:r>
      </w:hyperlink>
    </w:p>
    <w:p>
      <w:pPr>
        <w:spacing w:before="0" w:after="120"/>
      </w:pPr>
      <w:r>
        <w:rPr>
          <w:b/>
        </w:rPr>
        <w:t xml:space="preserve">Notes: </w:t>
      </w:r>
      <w:r>
        <w:t>abstract_source=crossref</w:t>
      </w:r>
    </w:p>
    <w:p>
      <w:pPr>
        <w:spacing w:before="0" w:after="80" w:lineRule="auto" w:line="276"/>
      </w:pPr>
      <w:r>
        <w:rPr>
          <w:b/>
        </w:rPr>
        <w:t xml:space="preserve">摘要（ZH）: </w:t>
      </w:r>
      <w:r>
        <w:t>自组装单层（SAM）和钙钛矿之间的埋入界面对于倒置钙钛矿太阳能电池（PSC）的器件性能和稳定性起着至关重要的作用。然而，自组装分子的严重解吸和团聚会导致界面损失并缩短器件寿命。在此，我们设计了一种具有非共面分子构型和多个官能团的分子 5,5',5''-(次氮基三-4,1-亚苯基)三[2-噻吩甲酸] (TTA)。非共面分子构型可以有效抑制π-π堆积引起的聚集，并使分子堆积更加可控。其噻吩功能单元和三齿羧基锚定基团在非共面构型的辅助下增强了与基底和上部钙钛矿的相互作用，这一点已通过密度泛函理论（DFT）计算得到证实。与常用的 4-(3,6-二甲基-9</w:t>
      </w:r>
      <w:r>
        <w:t xml:space="preserve"> </w:t>
      </w:r>
      <w:r>
        <w:t>H</w:t>
      </w:r>
      <w:r>
        <w:t xml:space="preserve"> </w:t>
      </w:r>
      <w:r>
        <w:t>-咔唑-9-基）丁烷-1-膦酸（Me-4PACz），该策略能够形成更均匀的自组装分子膜，提高钙钛矿结晶度并降低陷阱密度。因此，宽带隙 (WBG) PSC（~1.67 电子伏特）表现出 23.7% 的冠军功率转换效率 (PCE)，并具有增强的热循环和光浸泡稳定性。此外，基于该策略的钙钛矿/硅串联器件实现了 33.3% 的 PCE（认证为 33.1%），并展示了户外运行 30 天后未观察到 PCE 损失的实际运行稳定性。</w:t>
      </w:r>
    </w:p>
    <w:p>
      <w:pPr>
        <w:spacing w:before="0" w:after="200" w:lineRule="auto" w:line="276"/>
      </w:pPr>
      <w:r>
        <w:rPr>
          <w:b/>
        </w:rPr>
        <w:t xml:space="preserve">Abstract (EN): </w:t>
      </w:r>
      <w:r>
        <w:t>The buried interface between the self-assembled monolayers (SAMs) and the perovskite plays a critical role in device performance and stability in inverted perovskite solar cells (PSCs). However, severe desorption and agglomeration of self-assembled molecules lead to interfacial losses and shorten device longevity. Herein, we design a molecule, 5,5′,5″-(nitrilotri-4,1-phenylene)tris[2-thiophenecarboxylic acid] (TTA) with a noncoplanar molecular configuration and multiple functional groups. The noncoplanar molecular configuration could effectively suppress π-π stacking-induced aggregation and enable more regulated molecular packing. Its thiophene functional unit and tridentate carboxylic anchoring groups enhance interactions with substrates and the upper perovskites, assisted by the noncoplanar configuration, which is confirmed by density functional theory (DFT) calculations. When combined with the commonly used 4-(3,6-dimethyl-9</w:t>
      </w:r>
      <w:r>
        <w:t xml:space="preserve"> </w:t>
      </w:r>
      <w:r>
        <w:t>H</w:t>
      </w:r>
      <w:r>
        <w:t xml:space="preserve"> </w:t>
      </w:r>
      <w:r>
        <w:t>-carbazol-9-yl)butane-1-phosphonic acid (Me-4PACz), this strategy enables a more homogeneous self-assembled molecular film, improved perovskite crystallinity, and reduced trap density. Consequently, the wide-bandgap (WBG) PSC (∼1.67 electron volts) demonstrates a champion power conversion efficiency (PCE) of 23.7%, with enhanced thermal-cycling and light-soaking stability. In addition, the perovskite/silicon tandem devices based on this strategy achieve a PCE of 33.3% (certified at 33.1%) and demonstrate real-world operational stability of no observed PCE loss after 30 days of outdoor operation.</w:t>
      </w:r>
    </w:p>
    <w:p>
      <w:pPr>
        <w:spacing w:before="120" w:after="120"/>
      </w:pPr>
      <w:r>
        <w:rPr>
          <w:sz w:val="18"/>
        </w:rPr>
        <w:t>——————————————————————————————————————————————————————————————————————</w:t>
      </w:r>
    </w:p>
    <w:p>
      <w:pPr>
        <w:spacing w:before="160" w:after="40" w:line="240" w:lineRule="auto"/>
      </w:pPr>
      <w:r>
        <w:rPr>
          <w:b/>
        </w:rPr>
        <w:t xml:space="preserve">[24] </w:t>
      </w:r>
      <w:hyperlink r:id="rId53">
        <w:r>
          <w:rPr>
            <w:color w:val="1155CC"/>
            <w:u w:val="single"/>
          </w:rPr>
          <w:t>用于空间光伏发电的抗辐射单片宽带隙钙钛矿/p​​型异质结硅串联太阳能电池</w:t>
        </w:r>
      </w:hyperlink>
    </w:p>
    <w:p>
      <w:pPr>
        <w:spacing w:before="0" w:after="80"/>
      </w:pPr>
      <w:r>
        <w:rPr>
          <w:i/>
          <w:sz w:val="20"/>
        </w:rPr>
        <w:t>EN: Radiation-resilient monolithic wide-bandgap perovskite/p-type heterojunction silicon tandem solar cells for space photovoltaics</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54">
        <w:r>
          <w:rPr>
            <w:color w:val="1155CC"/>
            <w:u w:val="single"/>
          </w:rPr>
          <w:t>10.1126/sciadv.aef6600</w:t>
        </w:r>
      </w:hyperlink>
    </w:p>
    <w:p>
      <w:pPr>
        <w:spacing w:before="0" w:after="120"/>
      </w:pPr>
      <w:r>
        <w:rPr>
          <w:b/>
        </w:rPr>
        <w:t xml:space="preserve">Notes: </w:t>
      </w:r>
      <w:r>
        <w:t>abstract_source=crossref</w:t>
      </w:r>
    </w:p>
    <w:p>
      <w:pPr>
        <w:spacing w:before="0" w:after="80" w:lineRule="auto" w:line="276"/>
      </w:pPr>
      <w:r>
        <w:rPr>
          <w:b/>
        </w:rPr>
        <w:t xml:space="preserve">摘要（ZH）: </w:t>
      </w:r>
      <w:r>
        <w:t>钙钛矿/硅串联太阳能电池（TSC）是高效、低成本太空光伏发电的有吸引力的候选者，但耐辐射性和运行稳定性限制了部署。在此，报道了一种集成稳定 1.72 电子伏宽带隙钙钛矿顶部电池和抗辐射 p 型异质结硅底部电池的单片串联架构。该钙钛矿吸收剂通过多功能离子液体添加剂进行稳定，增强了结晶度，抑制了相偏析，并提高了热稳定性和光稳定性，导致功率转换效率为24.0%，认证值为23.58%。由此产生的 TSC 经认证的零空气质量效率为 27.49%（12.56 平方厘米）。 1 × 10 1兆电子伏电子照射下</w:t>
      </w:r>
      <w:r>
        <w:rPr>
          <w:vertAlign w:val="subscript"/>
        </w:rPr>
        <w:t>14</w:t>
      </w:r>
      <w:r>
        <w:t>每平方厘米电子数，TSC 保留了其初始性能的近 80%，而在 1 × 10 150 电子伏质子辐照下</w:t>
      </w:r>
      <w:r>
        <w:rPr>
          <w:vertAlign w:val="subscript"/>
        </w:rPr>
        <w:t>12</w:t>
      </w:r>
      <w:r>
        <w:t>每平方厘米的质子数，它保留了 93% 的初始性能，并伴有可恢复的响应。高空气球活动进一步记录了在约 30 公里高度的稳定功率输出高达 387.4 毫瓦。这项工作展示了下一代空间光伏发电的可行途径。</w:t>
      </w:r>
    </w:p>
    <w:p>
      <w:pPr>
        <w:spacing w:before="0" w:after="200" w:lineRule="auto" w:line="276"/>
      </w:pPr>
      <w:r>
        <w:rPr>
          <w:b/>
        </w:rPr>
        <w:t xml:space="preserve">Abstract (EN): </w:t>
      </w:r>
      <w:r>
        <w:t>Perovskite/silicon tandem solar cells (TSCs) are attractive candidates for efficient, low-cost space photovoltaics, but radiation tolerance and operational stability limit deployment. Here, a monolithic tandem architecture integrating a stabilized 1.72–electron volt wide-bandgap perovskite top cell with a radiation-hardened p-type heterojunction silicon bottom cell is reported. The perovskite absorber is stabilized by a multifunctional ionic liquid additive, which enhances crystallinity, suppresses phase segregation, and improves thermal and photostability, resulting in a power conversion efficiency of 24.0% and a certified value of 23.58%. The resulting TSCs exhibit a certified zero air mass efficiency of 27.49% (12.56 square centimeters). Under 1 mega–electron volt electron irradiation at 1 × 10</w:t>
      </w:r>
      <w:r>
        <w:rPr>
          <w:vertAlign w:val="subscript"/>
        </w:rPr>
        <w:t>14</w:t>
      </w:r>
      <w:r>
        <w:t>electrons per square centimeter, the TSC retains nearly 80% of its initial performance, whereas under 150 kilo–electron volt proton irradiation at 1 × 10</w:t>
      </w:r>
      <w:r>
        <w:rPr>
          <w:vertAlign w:val="subscript"/>
        </w:rPr>
        <w:t>12</w:t>
      </w:r>
      <w:r>
        <w:t>protons per square centimeter, it retains 93% of its initial performance, accompanied by a recoverable response. A high-altitude balloon campaign further records a stable power output of up to 387.4 milliwatt at ∼30-kilometer altitude. This work demonstrates a viable pathway for next-generation space photovoltaics.</w:t>
      </w:r>
    </w:p>
    <w:p>
      <w:pPr>
        <w:spacing w:before="120" w:after="120"/>
      </w:pPr>
      <w:r>
        <w:rPr>
          <w:sz w:val="18"/>
        </w:rPr>
        <w:t>——————————————————————————————————————————————————————————————————————</w:t>
      </w:r>
    </w:p>
    <w:p>
      <w:pPr>
        <w:spacing w:before="160" w:after="40" w:line="240" w:lineRule="auto"/>
      </w:pPr>
      <w:r>
        <w:rPr>
          <w:b/>
        </w:rPr>
        <w:t xml:space="preserve">[25] </w:t>
      </w:r>
      <w:hyperlink r:id="rId55">
        <w:r>
          <w:rPr>
            <w:color w:val="1155CC"/>
            <w:u w:val="single"/>
          </w:rPr>
          <w:t>对“双边锚定策略实现高效宽带隙钙钛矿太阳能电池/模块用于自供电光电催化抗菌系统”的修正</w:t>
        </w:r>
      </w:hyperlink>
    </w:p>
    <w:p>
      <w:pPr>
        <w:spacing w:before="0" w:after="80"/>
      </w:pPr>
      <w:r>
        <w:rPr>
          <w:i/>
          <w:sz w:val="20"/>
        </w:rPr>
        <w:t>EN: Correction to “Bilateral Anchoring Strategy Enables Highly Efficient Wide‐Bandgap Perovskite Solar Cells/Modules for Self‐Powered Photo‐Electrocatalytic Antibacterial System”</w:t>
      </w:r>
    </w:p>
    <w:p>
      <w:pPr>
        <w:spacing w:before="0" w:after="120"/>
      </w:pPr>
      <w:r>
        <w:rPr>
          <w:b/>
        </w:rPr>
        <w:t xml:space="preserve">Source: </w:t>
      </w:r>
      <w:r>
        <w:t>Wiley: Advanced Energy Materials: Table of Contents</w:t>
      </w:r>
      <w:r>
        <w:t xml:space="preserve">    </w:t>
      </w:r>
      <w:r>
        <w:rPr>
          <w:b/>
        </w:rPr>
        <w:t xml:space="preserve">Pub date: </w:t>
      </w:r>
      <w:r>
        <w:t>2026-07-29 07:01:42+00:00</w:t>
      </w:r>
      <w:r>
        <w:t xml:space="preserve">    </w:t>
      </w:r>
      <w:r>
        <w:rPr>
          <w:b/>
        </w:rPr>
        <w:t xml:space="preserve">DOI: </w:t>
      </w:r>
      <w:hyperlink r:id="rId56">
        <w:r>
          <w:rPr>
            <w:color w:val="1155CC"/>
            <w:u w:val="single"/>
          </w:rPr>
          <w:t>10.1002/aenm.71373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57">
        <w:r>
          <w:rPr>
            <w:color w:val="1155CC"/>
            <w:u w:val="single"/>
          </w:rPr>
          <w:t>太阳能光伏发电对北欧和波罗的海国家能源产业转型的影响</w:t>
        </w:r>
      </w:hyperlink>
    </w:p>
    <w:p>
      <w:pPr>
        <w:spacing w:before="0" w:after="80"/>
      </w:pPr>
      <w:r>
        <w:rPr>
          <w:i/>
          <w:sz w:val="20"/>
        </w:rPr>
        <w:t>EN: The impact of solar photovoltaics on the energy-industry transition in the Nordic and Baltic countries</w:t>
      </w:r>
    </w:p>
    <w:p>
      <w:pPr>
        <w:spacing w:before="0" w:after="120"/>
      </w:pPr>
      <w:r>
        <w:rPr>
          <w:b/>
        </w:rPr>
        <w:t xml:space="preserve">Source: </w:t>
      </w:r>
      <w:r>
        <w:t>ScienceDirect Publication: Applied Energy</w:t>
      </w:r>
      <w:r>
        <w:t xml:space="preserve">    </w:t>
      </w:r>
      <w:r>
        <w:rPr>
          <w:b/>
        </w:rPr>
        <w:t xml:space="preserve">Pub date: </w:t>
      </w:r>
      <w:r>
        <w:t>2026-07-30 00:00:00+00:00</w:t>
      </w:r>
      <w:r>
        <w:t xml:space="preserve">    </w:t>
      </w:r>
      <w:r>
        <w:rPr>
          <w:b/>
        </w:rPr>
        <w:t xml:space="preserve">DOI: </w:t>
      </w:r>
      <w:hyperlink r:id="rId58">
        <w:r>
          <w:rPr>
            <w:color w:val="1155CC"/>
            <w:u w:val="single"/>
          </w:rPr>
          <w:t>10.1016/j.apenergy.2026.128475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 </w:t>
      </w:r>
      <w:hyperlink r:id="rId59">
        <w:r>
          <w:rPr>
            <w:color w:val="1155CC"/>
            <w:u w:val="single"/>
          </w:rPr>
          <w:t>协同空间位阻和氯化可实现低能量损失的高效二元有机太阳能电池</w:t>
        </w:r>
      </w:hyperlink>
    </w:p>
    <w:p>
      <w:pPr>
        <w:spacing w:before="0" w:after="80"/>
      </w:pPr>
      <w:r>
        <w:rPr>
          <w:i/>
          <w:sz w:val="20"/>
        </w:rPr>
        <w:t>EN: Synergistic Steric Hindrance and Chlorination Enable Efficient Binary Organic Solar Cells with Low Energy Loss</w:t>
      </w:r>
    </w:p>
    <w:p>
      <w:pPr>
        <w:spacing w:before="0" w:after="120"/>
      </w:pPr>
      <w:r>
        <w:rPr>
          <w:b/>
        </w:rPr>
        <w:t xml:space="preserve">Source: </w:t>
      </w:r>
      <w:r>
        <w:t>Physical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我们报告了一系列小分子受体 Z1-Z4，通过将含氮核心与面外空间位阻/氯化调节填料相结合，将低非辐射能量损失与高效电荷传输相结合。二苯并[b,f]氮杂苯单元可实现低于 0.20 eV 的低非辐射能量损失，同时通过抑制不利的以核为中心的聚集和促进多维电子耦合，逐步主链解锁和定向氯化重塑分子间堆积。单晶分析、GIWAXS 和电子结构计算揭示了增强的堆积相干性和更强的从 Z1 到 Z4 的耦合路径。瞬态吸收光谱和动力学分析进一步表明，改善的激子离域加速了界面激子解离并抑制单分子重组。光诱导力显微镜证实了基于 Z3 和 Z4 的混合物中存在更连续的富含受体的原纤维。因此，优化的基于 Z4 的二元器件的 PCE 达到 20.28%，开路电压为 0.95 V，展示了低能量损耗高性能有机太阳能电池的有效分子策略。</w:t>
      </w:r>
    </w:p>
    <w:p>
      <w:pPr>
        <w:spacing w:before="0" w:after="200" w:lineRule="auto" w:line="276"/>
      </w:pPr>
      <w:r>
        <w:rPr>
          <w:b/>
        </w:rPr>
        <w:t xml:space="preserve">Abstract (EN): </w:t>
      </w:r>
      <w:r>
        <w:t>We report a series of small-molecule acceptors Z1–Z4 that reconcile low non-radiative energy loss with efficient charge transport by combining a nitrogen-containing core with out-of-plane steric-hindrance/chlorination-regulated packing. The dibenzo[b,f]azepine unit enables low non-radiative energy losses below 0.20 eV, while progressive backbone unlocking and targeted chlorination reshape intermolecular packing by suppressing unfavorable core-centered aggregation and promoting multidimensional electronic coupling. Single-crystal analysis, GIWAXS, and electronic-structure calculations reveal enhanced packing coherence and stronger coupling pathways from Z1 to Z4. Transient absorption spectroscopy and kinetic analysis further show that improved exciton delocalization accelerates interfacial exciton dissociation and suppresses monomolecular recombination. Photo-induced force microscopy confirms more continuous acceptor-rich fibrils in Z3- and Z4-based blends. Consequently, the optimized Z4-based binary device achieves a PCE of 20.28% with a high open-circuit voltage of 0.95 V, demonstrating an effective molecular strategy for low energy-loss high-performance organic solar cells.</w:t>
      </w:r>
    </w:p>
    <w:p>
      <w:pPr>
        <w:spacing w:before="120" w:after="120"/>
      </w:pPr>
      <w:r>
        <w:rPr>
          <w:sz w:val="18"/>
        </w:rPr>
        <w:t>——————————————————————————————————————————————————————————————————————</w:t>
      </w:r>
    </w:p>
    <w:p>
      <w:pPr>
        <w:spacing w:before="160" w:after="40" w:line="240" w:lineRule="auto"/>
      </w:pPr>
      <w:r>
        <w:rPr>
          <w:b/>
        </w:rPr>
        <w:t xml:space="preserve">[28] </w:t>
      </w:r>
      <w:hyperlink r:id="rId60">
        <w:r>
          <w:rPr>
            <w:color w:val="1155CC"/>
            <w:u w:val="single"/>
          </w:rPr>
          <w:t>用于高效稳定钙钛矿太阳能电池和模块的等离子体表面工程</w:t>
        </w:r>
      </w:hyperlink>
    </w:p>
    <w:p>
      <w:pPr>
        <w:spacing w:before="0" w:after="80"/>
      </w:pPr>
      <w:r>
        <w:rPr>
          <w:i/>
          <w:sz w:val="20"/>
        </w:rPr>
        <w:t>EN: Plasma surface engineering for efficient and stable perovskite solar cells and modules</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61">
        <w:r>
          <w:rPr>
            <w:color w:val="1155CC"/>
            <w:u w:val="single"/>
          </w:rPr>
          <w:t>10.1126/science.aeg1730</w:t>
        </w:r>
      </w:hyperlink>
    </w:p>
    <w:p>
      <w:pPr>
        <w:spacing w:before="0" w:after="120"/>
      </w:pPr>
      <w:r>
        <w:rPr>
          <w:b/>
        </w:rPr>
        <w:t xml:space="preserve">Notes: </w:t>
      </w:r>
      <w:r>
        <w:t>abstract_source=crossref</w:t>
      </w:r>
    </w:p>
    <w:p>
      <w:pPr>
        <w:spacing w:before="0" w:after="80" w:lineRule="auto" w:line="276"/>
      </w:pPr>
      <w:r>
        <w:rPr>
          <w:b/>
        </w:rPr>
        <w:t xml:space="preserve">摘要（ZH）: </w:t>
      </w:r>
      <w:r>
        <w:t>钙钛矿太阳能电池（PSC）的不稳定性很大程度上源于与柔软的多组分钙钛矿晶格相关的界面缺陷的形成和演变。我们报告了一种可扩展的、基于等离子体的钝化策略，通过大面积钙钛矿薄膜上的原位化学反应形成共形、均匀和强键合的异质结构。这种方法还可以减轻激光划线互连区域内的缺陷累积，其中局部损坏通常主导模块级性能损失。我们在小面积器件（有效面积 8.313 平方毫米）中实现了 27.2% 的功率转换效率 (PCE)，在 100 平方厘米 (cm) 器件中实现了 24.0%（认证效率为 23.5%）。</w:t>
      </w:r>
      <w:r>
        <w:rPr>
          <w:vertAlign w:val="subscript"/>
        </w:rPr>
        <w:t>2</w:t>
      </w:r>
      <w:r>
        <w:t>）模块（孔径面积 65.05 cm</w:t>
      </w:r>
      <w:r>
        <w:rPr>
          <w:vertAlign w:val="subscript"/>
        </w:rPr>
        <w:t>2</w:t>
      </w:r>
      <w:r>
        <w:t>）。在 85°C、1 太阳光照和 100 厘米光照条件下进行 2000 小时的最大功率点跟踪后，小面积器件保留了 98.1% 的初始 PCE。</w:t>
      </w:r>
      <w:r>
        <w:rPr>
          <w:vertAlign w:val="subscript"/>
        </w:rPr>
        <w:t>2</w:t>
      </w:r>
      <w:r>
        <w:t>在 65°C、1 太阳光照下运行 1600 小时后，模块仍保留了 99.3% 的初始 PCE。</w:t>
      </w:r>
    </w:p>
    <w:p>
      <w:pPr>
        <w:spacing w:before="0" w:after="200" w:lineRule="auto" w:line="276"/>
      </w:pPr>
      <w:r>
        <w:rPr>
          <w:b/>
        </w:rPr>
        <w:t xml:space="preserve">Abstract (EN): </w:t>
      </w:r>
      <w:r>
        <w:t>The instability of perovskite solar cells (PSCs) stems largely from the formation and evolution of interfacial defects associated with the soft, multicomponent perovskite lattice. We report a scalable, plasma-based passivation strategy that forms conformal, uniform, and strong-bonded heterostructure through in situ chemical reactions on large-area perovskite films. This approach also mitigates defect accumulation within the laser-scribed interconnection regions, where localized damage often dominates module-level performance losses. We achieved a power conversion efficiency (PCE) of 27.2% in small-area devices (active area 8.313 square millimeters) and 24.0% (certified efficiency of 23.5%) in 100-square-centimeter (cm</w:t>
      </w:r>
      <w:r>
        <w:rPr>
          <w:vertAlign w:val="subscript"/>
        </w:rPr>
        <w:t>2</w:t>
      </w:r>
      <w:r>
        <w:t>) modules (aperture area 65.05 cm</w:t>
      </w:r>
      <w:r>
        <w:rPr>
          <w:vertAlign w:val="subscript"/>
        </w:rPr>
        <w:t>2</w:t>
      </w:r>
      <w:r>
        <w:t>). The small-area device retained 98.1% of its initial PCE after 2000 hours of maximum power point tracking at 85°C under 1-sun illumination, and the 100-cm</w:t>
      </w:r>
      <w:r>
        <w:rPr>
          <w:vertAlign w:val="subscript"/>
        </w:rPr>
        <w:t>2</w:t>
      </w:r>
      <w:r>
        <w:t>module retained 99.3% of its initial PCE after 1600 hours at 65°C under 1-sun illumination.</w:t>
      </w:r>
    </w:p>
    <w:p>
      <w:pPr>
        <w:spacing w:before="120" w:after="120"/>
      </w:pPr>
      <w:r>
        <w:rPr>
          <w:sz w:val="18"/>
        </w:rPr>
        <w:t>——————————————————————————————————————————————————————————————————————</w:t>
      </w:r>
    </w:p>
    <w:p>
      <w:pPr>
        <w:spacing w:before="160" w:after="40" w:line="240" w:lineRule="auto"/>
      </w:pPr>
      <w:r>
        <w:rPr>
          <w:b/>
        </w:rPr>
        <w:t xml:space="preserve">[29] </w:t>
      </w:r>
      <w:hyperlink r:id="rId62">
        <w:r>
          <w:rPr>
            <w:color w:val="1155CC"/>
            <w:u w:val="single"/>
          </w:rPr>
          <w:t>n 型聚合物层可实现高效、可扩展且热稳定的钙钛矿太阳能模块</w:t>
        </w:r>
      </w:hyperlink>
    </w:p>
    <w:p>
      <w:pPr>
        <w:spacing w:before="0" w:after="80"/>
      </w:pPr>
      <w:r>
        <w:rPr>
          <w:i/>
          <w:sz w:val="20"/>
        </w:rPr>
        <w:t>EN: n-Type polymer layers enable efficient, scalable, and thermally stable perovskite solar modules</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63">
        <w:r>
          <w:rPr>
            <w:color w:val="1155CC"/>
            <w:u w:val="single"/>
          </w:rPr>
          <w:t>10.1126/science.aed8175</w:t>
        </w:r>
      </w:hyperlink>
    </w:p>
    <w:p>
      <w:pPr>
        <w:spacing w:before="0" w:after="120"/>
      </w:pPr>
      <w:r>
        <w:rPr>
          <w:b/>
        </w:rPr>
        <w:t xml:space="preserve">Notes: </w:t>
      </w:r>
      <w:r>
        <w:t>abstract_source=crossref</w:t>
      </w:r>
    </w:p>
    <w:p>
      <w:pPr>
        <w:spacing w:before="0" w:after="80" w:lineRule="auto" w:line="276"/>
      </w:pPr>
      <w:r>
        <w:rPr>
          <w:b/>
        </w:rPr>
        <w:t xml:space="preserve">摘要（ZH）: </w:t>
      </w:r>
      <w:r>
        <w:t>用于倒置（p-i-n）钙钛矿太阳能电池的基于富勒烯的电子传输层（ETL）面临着成本、可扩展性和不稳定性等问题，而高度稳定的无机氧化物则具有不利的能量排列和增强的磁滞现象，从而降低了功率转换效率（PCE）。我们报告了一种非富勒烯共轭聚合物 2PB-T，它将共面且吸电子的苝双酰亚胺 (PBI) 单元纳入其主链中。 PBI 聚合物主链和侧链工程通过优化电子传输性能、薄膜均匀性和界面结合来解决小分子 ETL 的不稳定性。小面积器件获得了 27.8% 的冠军 PCE，经认证的最大功率点跟踪 (MPPT) 效率为 27.3%。面积为20.6和625平方厘米的钙钛矿模块的PCE分别达到24.4和22.5%。小面积器件在85°C空气中连续MPPT运行1752小时后，仍保持98.6%以上的初始PCE；625平方厘米组件在室外运行5900小时后，仍保持96.9%的初始PCE。</w:t>
      </w:r>
    </w:p>
    <w:p>
      <w:pPr>
        <w:spacing w:before="0" w:after="200" w:lineRule="auto" w:line="276"/>
      </w:pPr>
      <w:r>
        <w:rPr>
          <w:b/>
        </w:rPr>
        <w:t xml:space="preserve">Abstract (EN): </w:t>
      </w:r>
      <w:r>
        <w:t>Fullerene-based electron transport layers (ETLs) used in inverted (p-i-n) perovskite solar cells face issues regarding cost, scalability, and instability, whereas highly stable inorganic oxides feature unfavorable energy alignment and enhance hysteresis, which reduce power conversion efficiency (PCE). We report a nonfullerene conjugated polymer, 2PB-T, that incorporates coplanar and electron-withdrawing perylene bisimide (PBI) units into its backbone. The PBI polymeric backbone and side-chain engineering address the instability of small-molecule ETLs by optimizing electron transport properties, film uniformity, and interfacial binding. Small-area devices achieved a champion PCE of 27.8%, with a certified maximum power point tracking (MPPT) efficiency of 27.3%. Perovskite modules with areas of 20.6 and 625 square centimeters reached PCEs of 24.4 and 22.5%, respectively. Small-area devices retained more than 98.6% of their initial PCE after 1752 hours of continuous MPPT at 85°C in air, and the 625-square-centimeter module maintained 96.9% of its initial PCE after 5900 hours of outdoor operation.</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64">
        <w:r>
          <w:rPr>
            <w:color w:val="1155CC"/>
            <w:u w:val="single"/>
          </w:rPr>
          <w:t>双溶剂超分子组装实现安培小时卤化物全固态软包电池</w:t>
        </w:r>
      </w:hyperlink>
    </w:p>
    <w:p>
      <w:pPr>
        <w:spacing w:before="0" w:after="80"/>
      </w:pPr>
      <w:r>
        <w:rPr>
          <w:i/>
          <w:sz w:val="20"/>
        </w:rPr>
        <w:t>EN: Dual‐Solvent Supramolecular Assembly Enables Ampere‐Hour Halide All‐Solid‐State Pouch Cell</w:t>
      </w:r>
    </w:p>
    <w:p>
      <w:pPr>
        <w:spacing w:before="0" w:after="120"/>
      </w:pPr>
      <w:r>
        <w:rPr>
          <w:b/>
        </w:rPr>
        <w:t xml:space="preserve">Source: </w:t>
      </w:r>
      <w:r>
        <w:t>Wiley: Advanced Materials: Table of Contents</w:t>
      </w:r>
      <w:r>
        <w:t xml:space="preserve">    </w:t>
      </w:r>
      <w:r>
        <w:rPr>
          <w:b/>
        </w:rPr>
        <w:t xml:space="preserve">Pub date: </w:t>
      </w:r>
      <w:r>
        <w:t>2026-07-24 06:44:50+00:00</w:t>
      </w:r>
      <w:r>
        <w:t xml:space="preserve">    </w:t>
      </w:r>
      <w:r>
        <w:rPr>
          <w:b/>
        </w:rPr>
        <w:t xml:space="preserve">DOI: </w:t>
      </w:r>
      <w:hyperlink r:id="rId65">
        <w:r>
          <w:rPr>
            <w:color w:val="1155CC"/>
            <w:u w:val="single"/>
          </w:rPr>
          <w:t>10.1002/adma.74206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卤化物固体电解质（SSE）有望成为下一代全固态电池（ASSB），但通过浆料涂层大规模制造卤化物SSE薄膜和安时级全固态软包电池（ASSPC）尚未得到证实。在这里，我们引入了一种双溶剂超分子组装策略，可以精确调节多嵌段共聚物粘合剂（SEEPS）的链组织，从而实现低粘合剂、高粘度浆料，从而形成均匀的卤化物SSE薄膜。甲基环己烷和癸烷被认为是化学相容的溶剂，可以减少 InCl</w:t>
      </w:r>
      <w:r>
        <w:rPr>
          <w:vertAlign w:val="subscript"/>
        </w:rPr>
        <w:t>3</w:t>
      </w:r>
      <w:r>
        <w:t>Li的地表降水</w:t>
      </w:r>
      <w:r>
        <w:rPr>
          <w:vertAlign w:val="subscript"/>
        </w:rPr>
        <w:t>3</w:t>
      </w:r>
      <w:r>
        <w:t>氯化铟</w:t>
      </w:r>
      <w:r>
        <w:rPr>
          <w:vertAlign w:val="subscript"/>
        </w:rPr>
        <w:t>6</w:t>
      </w:r>
      <w:r>
        <w:t>，保持离子电导率。由此产生的李</w:t>
      </w:r>
      <w:r>
        <w:rPr>
          <w:vertAlign w:val="subscript"/>
        </w:rPr>
        <w:t>3</w:t>
      </w:r>
      <w:r>
        <w:t>氯化铟</w:t>
      </w:r>
      <w:r>
        <w:rPr>
          <w:vertAlign w:val="subscript"/>
        </w:rPr>
        <w:t>6</w:t>
      </w:r>
      <w:r>
        <w:t>/李</w:t>
      </w:r>
      <w:r>
        <w:t xml:space="preserve"> </w:t>
      </w:r>
      <w:r>
        <w:t>6−</w:t>
      </w:r>
      <w:r>
        <w:t xml:space="preserve"> </w:t>
      </w:r>
      <w:r>
        <w:t>x</w:t>
      </w:r>
      <w:r>
        <w:t xml:space="preserve"> </w:t>
      </w:r>
      <w:r>
        <w:t>聚苯乙烯</w:t>
      </w:r>
      <w:r>
        <w:t xml:space="preserve"> </w:t>
      </w:r>
      <w:r>
        <w:t>5−</w:t>
      </w:r>
      <w:r>
        <w:t xml:space="preserve"> </w:t>
      </w:r>
      <w:r>
        <w:t>x</w:t>
      </w:r>
      <w:r>
        <w:t xml:space="preserve"> </w:t>
      </w:r>
      <w:r>
        <w:t>氯</w:t>
      </w:r>
      <w:r>
        <w:t xml:space="preserve"> </w:t>
      </w:r>
      <w:r>
        <w:t>1+</w:t>
      </w:r>
      <w:r>
        <w:t xml:space="preserve"> </w:t>
      </w:r>
      <w:r>
        <w:t>x</w:t>
      </w:r>
      <w:r>
        <w:t xml:space="preserve"> </w:t>
      </w:r>
      <w:r>
        <w:t>双层 SSE 薄膜具有高离子电导率 (1.26 mS/cm)、机械鲁棒性和电化学稳定性。使用 NCM88 阴极和微硅阳极的 ASSB 在 0.5 C 下循环 600 次后仍保留 71.3% 的容量，而首款十层安培小时级卤化物 ASSPC 在 0.2 C 下提供 1.45 Ah 容量，容量保留率为 95.1%</w:t>
      </w:r>
    </w:p>
    <w:p>
      <w:pPr>
        <w:spacing w:before="0" w:after="200" w:lineRule="auto" w:line="276"/>
      </w:pPr>
      <w:r>
        <w:rPr>
          <w:b/>
        </w:rPr>
        <w:t xml:space="preserve">Abstract (EN): </w:t>
      </w:r>
      <w:r>
        <w:t>Halide solid electrolytes (SSEs) hold promise for next‐generation all‐solid‐state batteries (ASSBs), yet scalable fabrication of halide SSE films and ampere‐hour‐scale all‐solid‐state pouch cells (ASSPCs) via slurry coating has not been demonstrated. Here, we introduce a dual‐solvent supramolecular assembly strategy that precisely regulates the chain organization of a multiblock copolymer binder (SEEPS), enabling low‐binder, high‐viscosity slurries for uniform halide SSE film formation. Methylcyclohexane and decane are identified as chemically compatible solvents that diminish InCl</w:t>
      </w:r>
      <w:r>
        <w:rPr>
          <w:vertAlign w:val="subscript"/>
        </w:rPr>
        <w:t>3</w:t>
      </w:r>
      <w:r>
        <w:t>surface precipitation in Li</w:t>
      </w:r>
      <w:r>
        <w:rPr>
          <w:vertAlign w:val="subscript"/>
        </w:rPr>
        <w:t>3</w:t>
      </w:r>
      <w:r>
        <w:t>InCl</w:t>
      </w:r>
      <w:r>
        <w:rPr>
          <w:vertAlign w:val="subscript"/>
        </w:rPr>
        <w:t>6</w:t>
      </w:r>
      <w:r>
        <w:t>, preserving ionic conductivity. The resulting Li</w:t>
      </w:r>
      <w:r>
        <w:rPr>
          <w:vertAlign w:val="subscript"/>
        </w:rPr>
        <w:t>3</w:t>
      </w:r>
      <w:r>
        <w:t>InCl</w:t>
      </w:r>
      <w:r>
        <w:rPr>
          <w:vertAlign w:val="subscript"/>
        </w:rPr>
        <w:t>6</w:t>
      </w:r>
      <w:r>
        <w:t>/Li</w:t>
      </w:r>
      <w:r>
        <w:t xml:space="preserve"> </w:t>
      </w:r>
      <w:r>
        <w:t>6−</w:t>
      </w:r>
      <w:r>
        <w:t xml:space="preserve"> </w:t>
      </w:r>
      <w:r>
        <w:t>x</w:t>
      </w:r>
      <w:r>
        <w:t xml:space="preserve"> </w:t>
      </w:r>
      <w:r>
        <w:t>PS</w:t>
      </w:r>
      <w:r>
        <w:t xml:space="preserve"> </w:t>
      </w:r>
      <w:r>
        <w:t>5−</w:t>
      </w:r>
      <w:r>
        <w:t xml:space="preserve"> </w:t>
      </w:r>
      <w:r>
        <w:t>x</w:t>
      </w:r>
      <w:r>
        <w:t xml:space="preserve"> </w:t>
      </w:r>
      <w:r>
        <w:t>Cl</w:t>
      </w:r>
      <w:r>
        <w:t xml:space="preserve"> </w:t>
      </w:r>
      <w:r>
        <w:t>1+</w:t>
      </w:r>
      <w:r>
        <w:t xml:space="preserve"> </w:t>
      </w:r>
      <w:r>
        <w:t>x</w:t>
      </w:r>
      <w:r>
        <w:t xml:space="preserve"> </w:t>
      </w:r>
      <w:r>
        <w:t>bilayer SSE film exhibits high ionic conductivity (1.26 mS/cm), mechanical robustness, and electrochemical stability. ASSBs using NCM88 cathodes and micro‐silicon anodes retain 71.3% capacity after 600 cycles at 0.5 C, while the first ten‐layer ampere‐hour‐scale halide ASSPC delivers 1.45 Ah at 0.2 C with 95.1% capacity retention over 100 cycles. This approach establishes a practical and scalable pathway for fabricating halide ASSPCs, bridging laboratory innovations and commercial deployment.</w:t>
      </w:r>
    </w:p>
    <w:p>
      <w:pPr>
        <w:spacing w:before="120" w:after="120"/>
      </w:pPr>
      <w:r>
        <w:rPr>
          <w:sz w:val="18"/>
        </w:rPr>
        <w:t>——————————————————————————————————————————————————————————————————————</w:t>
      </w:r>
    </w:p>
    <w:p>
      <w:pPr>
        <w:spacing w:before="160" w:after="40" w:line="240" w:lineRule="auto"/>
      </w:pPr>
      <w:r>
        <w:rPr>
          <w:b/>
        </w:rPr>
        <w:t xml:space="preserve">[2] </w:t>
      </w:r>
      <w:hyperlink r:id="rId66">
        <w:r>
          <w:rPr>
            <w:color w:val="1155CC"/>
            <w:u w:val="single"/>
          </w:rPr>
          <w:t>用于耐用海水电池的高熵 MXene 中的可逆多阳离子存储</w:t>
        </w:r>
      </w:hyperlink>
    </w:p>
    <w:p>
      <w:pPr>
        <w:spacing w:before="0" w:after="80"/>
      </w:pPr>
      <w:r>
        <w:rPr>
          <w:i/>
          <w:sz w:val="20"/>
        </w:rPr>
        <w:t>EN: Reversible Multiple Cation Storage in High‐Entropy MXenes for Durable Seawater Batteries</w:t>
      </w:r>
    </w:p>
    <w:p>
      <w:pPr>
        <w:spacing w:before="0" w:after="120"/>
      </w:pPr>
      <w:r>
        <w:rPr>
          <w:b/>
        </w:rPr>
        <w:t xml:space="preserve">Source: </w:t>
      </w:r>
      <w:r>
        <w:t>Wiley: Angewandte Chemie International Edition: Table of Contents</w:t>
      </w:r>
      <w:r>
        <w:t xml:space="preserve">    </w:t>
      </w:r>
      <w:r>
        <w:rPr>
          <w:b/>
        </w:rPr>
        <w:t xml:space="preserve">Pub date: </w:t>
      </w:r>
      <w:r>
        <w:t>2026-07-24 11:01:42+00:00</w:t>
      </w:r>
      <w:r>
        <w:t xml:space="preserve">    </w:t>
      </w:r>
      <w:r>
        <w:rPr>
          <w:b/>
        </w:rPr>
        <w:t xml:space="preserve">DOI: </w:t>
      </w:r>
      <w:hyperlink r:id="rId67">
        <w:r>
          <w:rPr>
            <w:color w:val="1155CC"/>
            <w:u w:val="single"/>
          </w:rPr>
          <w:t>10.1002/anie.8021992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海水电解质的天然丰富性和本质安全性，可充电海水电池（SWB）为可持续能源存储提供了引人注目的优势。然而，海水中多种阳离子的存在对传统存储材料的可逆性和稳定性提出了挑战。在此，引入高熵策略来解锁 MXenes 对海水中多种阳离子的电化学活性。机理研究表明，高熵 MXene 独特的“鸡尾酒效应”可加速离子传输动力学并稳定层状结构，从而实现单价（Na</w:t>
      </w:r>
      <w:r>
        <w:t xml:space="preserve"> </w:t>
      </w:r>
      <w:r>
        <w:t>+</w:t>
      </w:r>
      <w:r>
        <w:t xml:space="preserve"> </w:t>
      </w:r>
      <w:r>
        <w:t>, K</w:t>
      </w:r>
      <w:r>
        <w:t xml:space="preserve"> </w:t>
      </w:r>
      <w:r>
        <w:t>+</w:t>
      </w:r>
      <w:r>
        <w:t xml:space="preserve"> </w:t>
      </w:r>
      <w:r>
        <w:t>）和二价（Mg</w:t>
      </w:r>
      <w:r>
        <w:t xml:space="preserve"> </w:t>
      </w:r>
      <w:r>
        <w:t>2+</w:t>
      </w:r>
      <w:r>
        <w:t xml:space="preserve"> </w:t>
      </w:r>
      <w:r>
        <w:t>, 钙</w:t>
      </w:r>
      <w:r>
        <w:t xml:space="preserve"> </w:t>
      </w:r>
      <w:r>
        <w:t>2+</w:t>
      </w:r>
      <w:r>
        <w:t xml:space="preserve"> </w:t>
      </w:r>
      <w:r>
        <w:t>）具有零应变特性的离子。作为概念验证，一种新型 SWB 是基于具有多阳离子存储能力的 MXene 阳极和具有 Cl 的聚三苯胺阴极构建的。</w:t>
      </w:r>
      <w:r>
        <w:t xml:space="preserve"> </w:t>
      </w:r>
      <w:r>
        <w:t>-</w:t>
      </w:r>
      <w:r>
        <w:t>储存化学。该SWB实现了155 mAh g的高比容量</w:t>
      </w:r>
      <w:r>
        <w:t xml:space="preserve"> </w:t>
      </w:r>
      <w:r>
        <w:t>−1</w:t>
      </w:r>
      <w:r>
        <w:t xml:space="preserve"> </w:t>
      </w:r>
      <w:r>
        <w:t>, 15 A g 时具有出色的倍率性能</w:t>
      </w:r>
      <w:r>
        <w:t xml:space="preserve"> </w:t>
      </w:r>
      <w:r>
        <w:t>−1</w:t>
      </w:r>
      <w:r>
        <w:t xml:space="preserve"> </w:t>
      </w:r>
      <w:r>
        <w:t>，以及在 25°C 下超过 11000 次循环的令人印象深刻的循环耐久性。此外，该SWB甚至可以在-30°C下发挥作用，拓宽了海水能源设备的应用领域。总的来说，这项研究为高熵中的鸡尾酒效应提供了基本的见解。</w:t>
      </w:r>
    </w:p>
    <w:p>
      <w:pPr>
        <w:spacing w:before="0" w:after="200" w:lineRule="auto" w:line="276"/>
      </w:pPr>
      <w:r>
        <w:rPr>
          <w:b/>
        </w:rPr>
        <w:t xml:space="preserve">Abstract (EN): </w:t>
      </w:r>
      <w:r>
        <w:t>Rechargeable seawater batteries (SWBs) offer compelling advantages for sustainable energy storage, owing to the natural abundance and intrinsic safety of seawater electrolytes. However, the presence of multiple cations in seawater poses challenges for the reversibility and stability of conventional storage materials. Herein, a high‐entropy strategy is introduced to unlock the electrochemical activity of MXenes toward multiple cations in seawater. Mechanistic studies reveal that the unique “cocktail effect” of high‐entropy MXene accelerates ion transport kinetics and stabilizes the layered structure, enabling reversible storage of monovalent (Na</w:t>
      </w:r>
      <w:r>
        <w:t xml:space="preserve"> </w:t>
      </w:r>
      <w:r>
        <w:t>+</w:t>
      </w:r>
      <w:r>
        <w:t xml:space="preserve"> </w:t>
      </w:r>
      <w:r>
        <w:t>, K</w:t>
      </w:r>
      <w:r>
        <w:t xml:space="preserve"> </w:t>
      </w:r>
      <w:r>
        <w:t>+</w:t>
      </w:r>
      <w:r>
        <w:t xml:space="preserve"> </w:t>
      </w:r>
      <w:r>
        <w:t>) and divalent (Mg</w:t>
      </w:r>
      <w:r>
        <w:t xml:space="preserve"> </w:t>
      </w:r>
      <w:r>
        <w:t>2+</w:t>
      </w:r>
      <w:r>
        <w:t xml:space="preserve"> </w:t>
      </w:r>
      <w:r>
        <w:t>, Ca</w:t>
      </w:r>
      <w:r>
        <w:t xml:space="preserve"> </w:t>
      </w:r>
      <w:r>
        <w:t>2+</w:t>
      </w:r>
      <w:r>
        <w:t xml:space="preserve"> </w:t>
      </w:r>
      <w:r>
        <w:t>) ions with zero‐strain characteristic. As a proof‐of‐concept, a novel SWB is constructed based on an MXene anode with multiple‐cation storage capability and a polytriphenylamine cathode with Cl</w:t>
      </w:r>
      <w:r>
        <w:t xml:space="preserve"> </w:t>
      </w:r>
      <w:r>
        <w:t>−</w:t>
      </w:r>
      <w:r>
        <w:t>storage chemistry. This SWB achieves a high specific capacity of 155 mAh g</w:t>
      </w:r>
      <w:r>
        <w:t xml:space="preserve"> </w:t>
      </w:r>
      <w:r>
        <w:t>−1</w:t>
      </w:r>
      <w:r>
        <w:t xml:space="preserve"> </w:t>
      </w:r>
      <w:r>
        <w:t>, excellent rate capability at 15 A g</w:t>
      </w:r>
      <w:r>
        <w:t xml:space="preserve"> </w:t>
      </w:r>
      <w:r>
        <w:t>−1</w:t>
      </w:r>
      <w:r>
        <w:t xml:space="preserve"> </w:t>
      </w:r>
      <w:r>
        <w:t>, and impressive cycling durability over 11000 cycles at 25°C. Furthermore, this SWB functions even at −30°C, broadening the application field of seawater‐based energy devices. Overall, this study provides fundamental insights into the cocktail effect in high‐entropy materials and offers a new strategy for designing advanced electrodes for high‐performance SWBs.</w:t>
      </w:r>
    </w:p>
    <w:p>
      <w:pPr>
        <w:spacing w:before="120" w:after="120"/>
      </w:pPr>
      <w:r>
        <w:rPr>
          <w:sz w:val="18"/>
        </w:rPr>
        <w:t>——————————————————————————————————————————————————————————————————————</w:t>
      </w:r>
    </w:p>
    <w:p>
      <w:pPr>
        <w:spacing w:before="160" w:after="40" w:line="240" w:lineRule="auto"/>
      </w:pPr>
      <w:r>
        <w:rPr>
          <w:b/>
        </w:rPr>
        <w:t xml:space="preserve">[3] </w:t>
      </w:r>
      <w:hyperlink r:id="rId68">
        <w:r>
          <w:rPr>
            <w:color w:val="1155CC"/>
            <w:u w:val="single"/>
          </w:rPr>
          <w:t>仿生定点原子修复，实现废旧磷酸铁锂电池的节能再生</w:t>
        </w:r>
      </w:hyperlink>
    </w:p>
    <w:p>
      <w:pPr>
        <w:spacing w:before="0" w:after="80"/>
      </w:pPr>
      <w:r>
        <w:rPr>
          <w:i/>
          <w:sz w:val="20"/>
        </w:rPr>
        <w:t>EN: Bio‐Inspired Site‐Specific Atomic Repair for Energy‐Efficient Regeneration of Spent LiFePO4 Batteries</w:t>
      </w:r>
    </w:p>
    <w:p>
      <w:pPr>
        <w:spacing w:before="0" w:after="120"/>
      </w:pPr>
      <w:r>
        <w:rPr>
          <w:b/>
        </w:rPr>
        <w:t xml:space="preserve">Source: </w:t>
      </w:r>
      <w:r>
        <w:t>Wiley: Advanced Materials: Table of Contents</w:t>
      </w:r>
      <w:r>
        <w:t xml:space="preserve">    </w:t>
      </w:r>
      <w:r>
        <w:rPr>
          <w:b/>
        </w:rPr>
        <w:t xml:space="preserve">Pub date: </w:t>
      </w:r>
      <w:r>
        <w:t>2026-07-24 12:04:08+00:00</w:t>
      </w:r>
      <w:r>
        <w:t xml:space="preserve">    </w:t>
      </w:r>
      <w:r>
        <w:rPr>
          <w:b/>
        </w:rPr>
        <w:t xml:space="preserve">DOI: </w:t>
      </w:r>
      <w:hyperlink r:id="rId69">
        <w:r>
          <w:rPr>
            <w:color w:val="1155CC"/>
            <w:u w:val="single"/>
          </w:rPr>
          <w:t>10.1002/adma.74324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固态烧结再生为修复废磷酸铁锂（LFP）正极提供了一种有前景的策略，但传统的均匀混合（HM）烧结方法忽视了 FePO 的固有异质性</w:t>
      </w:r>
      <w:r>
        <w:rPr>
          <w:vertAlign w:val="subscript"/>
        </w:rPr>
        <w:t>4</w:t>
      </w:r>
      <w:r>
        <w:t>LFP 颗粒内。这会产生额外的长程锂</w:t>
      </w:r>
      <w:r>
        <w:t xml:space="preserve"> </w:t>
      </w:r>
      <w:r>
        <w:t>+</w:t>
      </w:r>
      <w:r>
        <w:t xml:space="preserve"> </w:t>
      </w:r>
      <w:r>
        <w:t>再生过程中从富锂区域到缺锂区域的固态迁移，产生大量的固态扩散障碍，需要延长高温烧结时间，同时引发局部过度锂化，最终降低再生性能。受特异性抗原-抗体-吞噬细胞相互作用的启发，我们提出了一种新的位点特异性原子修复（SAR）机制概念，用于节能的 LFP 再生。通过定向吸附增强蒸发成核过程，锂源和还原剂选择性地固定在异质 FePO 上</w:t>
      </w:r>
      <w:r>
        <w:rPr>
          <w:vertAlign w:val="subscript"/>
        </w:rPr>
        <w:t>4</w:t>
      </w:r>
      <w:r>
        <w:t>局部修复域，缩短了 Li</w:t>
      </w:r>
      <w:r>
        <w:t xml:space="preserve"> </w:t>
      </w:r>
      <w:r>
        <w:t>+</w:t>
      </w:r>
      <w:r>
        <w:t xml:space="preserve"> </w:t>
      </w:r>
      <w:r>
        <w:t>固态扩散途径，降低迁移势垒，并减少 FePO</w:t>
      </w:r>
      <w:r>
        <w:rPr>
          <w:vertAlign w:val="subscript"/>
        </w:rPr>
        <w:t>4</w:t>
      </w:r>
      <w:r>
        <w:t>→ 磷酸铁锂</w:t>
      </w:r>
      <w:r>
        <w:rPr>
          <w:vertAlign w:val="subscript"/>
        </w:rPr>
        <w:t>4</w:t>
      </w:r>
      <w:r>
        <w:t>转变温度从 300–400°C 到 100–200°C。因此，SAR 再生 LFP 阴极可提供增强的性能，同时只需要传统 HM 方法一半的高温烧结时间，从而实现约 20%–30% 的 en 减少</w:t>
      </w:r>
    </w:p>
    <w:p>
      <w:pPr>
        <w:spacing w:before="0" w:after="200" w:lineRule="auto" w:line="276"/>
      </w:pPr>
      <w:r>
        <w:rPr>
          <w:b/>
        </w:rPr>
        <w:t xml:space="preserve">Abstract (EN): </w:t>
      </w:r>
      <w:r>
        <w:t>Solid‐state sintering regeneration offers a promising strategy for repairing spent lithium iron phosphate (LFP) cathodes, yet conventional homogeneous‐mixing (HM) sintering approaches neglect the intrinsic heterogeneity of FePO</w:t>
      </w:r>
      <w:r>
        <w:rPr>
          <w:vertAlign w:val="subscript"/>
        </w:rPr>
        <w:t>4</w:t>
      </w:r>
      <w:r>
        <w:t>within LFP particles. This induces additional long‐range Li</w:t>
      </w:r>
      <w:r>
        <w:t xml:space="preserve"> </w:t>
      </w:r>
      <w:r>
        <w:t>+</w:t>
      </w:r>
      <w:r>
        <w:t xml:space="preserve"> </w:t>
      </w:r>
      <w:r>
        <w:t>solid‐state migration from Li‐rich to Li‐deficient domains during regeneration, creating substantial solid‐state diffusion barriers that necessitate extended high‐temperature sintering duration while triggering local over‐lithiation, ultimately degrading regeneration performance. Inspired by specific antigen‐antibody‐phagocyte interactions, we propose a novel mechanistic concept of site‐specific atomic repair (SAR) for energy‐efficient LFP regeneration. Through targeted‐adsorption‐enhanced evaporation‐nucleation processes, lithium sources and reductants are selectively anchored onto heterogeneous FePO</w:t>
      </w:r>
      <w:r>
        <w:rPr>
          <w:vertAlign w:val="subscript"/>
        </w:rPr>
        <w:t>4</w:t>
      </w:r>
      <w:r>
        <w:t>domains for localized repair, which shortens Li</w:t>
      </w:r>
      <w:r>
        <w:t xml:space="preserve"> </w:t>
      </w:r>
      <w:r>
        <w:t>+</w:t>
      </w:r>
      <w:r>
        <w:t xml:space="preserve"> </w:t>
      </w:r>
      <w:r>
        <w:t>solid‐state diffusion pathways, lowers migration barrier, and reduces FePO</w:t>
      </w:r>
      <w:r>
        <w:rPr>
          <w:vertAlign w:val="subscript"/>
        </w:rPr>
        <w:t>4</w:t>
      </w:r>
      <w:r>
        <w:t>→ LiFePO</w:t>
      </w:r>
      <w:r>
        <w:rPr>
          <w:vertAlign w:val="subscript"/>
        </w:rPr>
        <w:t>4</w:t>
      </w:r>
      <w:r>
        <w:t>transition temperature from 300–400°C to 100–200°C. Consequently, the SAR‐regenerated LFP cathodes deliver enhanced performance while requiring only half of the high‐temperature sintering duration of conventional HM approaches, thereby achieving ∼20%–30% reduction in energy consumption &amp;amp; CO</w:t>
      </w:r>
      <w:r>
        <w:rPr>
          <w:vertAlign w:val="subscript"/>
        </w:rPr>
        <w:t>2</w:t>
      </w:r>
      <w:r>
        <w:t>emissions with a markedly improved profit by ∼40%. With additional heteroatom doping, SAR demonstrates exceptional rate performance (73.0 mAh g</w:t>
      </w:r>
      <w:r>
        <w:t xml:space="preserve"> </w:t>
      </w:r>
      <w:r>
        <w:t>−1</w:t>
      </w:r>
      <w:r>
        <w:t xml:space="preserve"> </w:t>
      </w:r>
      <w:r>
        <w:t>at 15 C) and long‐term stability (90.0% after 600 cycles), ranking among the best reported to date, demonstrating cost‐effective mechanistic advances for industrial‐scale LFP recycling.</w:t>
      </w:r>
    </w:p>
    <w:p>
      <w:pPr>
        <w:spacing w:before="120" w:after="120"/>
      </w:pPr>
      <w:r>
        <w:rPr>
          <w:sz w:val="18"/>
        </w:rPr>
        <w:t>——————————————————————————————————————————————————————————————————————</w:t>
      </w:r>
    </w:p>
    <w:p>
      <w:pPr>
        <w:spacing w:before="160" w:after="40" w:line="240" w:lineRule="auto"/>
      </w:pPr>
      <w:r>
        <w:rPr>
          <w:b/>
        </w:rPr>
        <w:t xml:space="preserve">[4] </w:t>
      </w:r>
      <w:hyperlink r:id="rId70">
        <w:r>
          <w:rPr>
            <w:color w:val="1155CC"/>
            <w:u w:val="single"/>
          </w:rPr>
          <w:t>用于高压低温锂离子电池的微观异质 LiBO2 介导的电解质</w:t>
        </w:r>
      </w:hyperlink>
    </w:p>
    <w:p>
      <w:pPr>
        <w:spacing w:before="0" w:after="80"/>
      </w:pPr>
      <w:r>
        <w:rPr>
          <w:i/>
          <w:sz w:val="20"/>
        </w:rPr>
        <w:t>EN: A Microscopic Heterogeneous LiBO2‐Mediated Electrolyte for High‐Voltage and Low‐Temperature Lithium‐Ion Batteries</w:t>
      </w:r>
    </w:p>
    <w:p>
      <w:pPr>
        <w:spacing w:before="0" w:after="120"/>
      </w:pPr>
      <w:r>
        <w:rPr>
          <w:b/>
        </w:rPr>
        <w:t xml:space="preserve">Source: </w:t>
      </w:r>
      <w:r>
        <w:t>Wiley: Advanced Materials: Table of Contents</w:t>
      </w:r>
      <w:r>
        <w:t xml:space="preserve">    </w:t>
      </w:r>
      <w:r>
        <w:rPr>
          <w:b/>
        </w:rPr>
        <w:t xml:space="preserve">Pub date: </w:t>
      </w:r>
      <w:r>
        <w:t>2026-07-24 12:10:36+00:00</w:t>
      </w:r>
      <w:r>
        <w:t xml:space="preserve">    </w:t>
      </w:r>
      <w:r>
        <w:rPr>
          <w:b/>
        </w:rPr>
        <w:t xml:space="preserve">DOI: </w:t>
      </w:r>
      <w:hyperlink r:id="rId71">
        <w:r>
          <w:rPr>
            <w:color w:val="1155CC"/>
            <w:u w:val="single"/>
          </w:rPr>
          <w:t>10.1002/adma.74257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传统电解质仍然从根本上受到高电压稳定性、低温操作和快速离子传输之间的权衡的限制，限制了先进锂离子电池（LIB）的实际部署。在这里，我们报道了一种微异质偏硼酸锂（LiBO</w:t>
      </w:r>
      <w:r>
        <w:rPr>
          <w:vertAlign w:val="subscript"/>
        </w:rPr>
        <w:t>2</w:t>
      </w:r>
      <w:r>
        <w:t>）介导的电解质（LBME）利用胶体界面化学来调节Li</w:t>
      </w:r>
      <w:r>
        <w:t xml:space="preserve"> </w:t>
      </w:r>
      <w:r>
        <w:t>+</w:t>
      </w:r>
      <w:r>
        <w:t xml:space="preserve"> </w:t>
      </w:r>
      <w:r>
        <w:t>溶剂化结构。稳定的锂硼酸锂</w:t>
      </w:r>
      <w:r>
        <w:rPr>
          <w:vertAlign w:val="subscript"/>
        </w:rPr>
        <w:t>2</w:t>
      </w:r>
      <w:r>
        <w:t>胶体通过配位不饱和表面位点与阴离子竞争性配位，从而削弱Li</w:t>
      </w:r>
      <w:r>
        <w:t xml:space="preserve"> </w:t>
      </w:r>
      <w:r>
        <w:t>+</w:t>
      </w:r>
      <w:r>
        <w:t xml:space="preserve"> </w:t>
      </w:r>
      <w:r>
        <w:t>–溶剂/阴离子相互作用并加速配体交换动力学。因此，LBME 表现出增强的离子电导率和减少的 Li</w:t>
      </w:r>
      <w:r>
        <w:t xml:space="preserve"> </w:t>
      </w:r>
      <w:r>
        <w:t>+</w:t>
      </w:r>
      <w:r>
        <w:t xml:space="preserve"> </w:t>
      </w:r>
      <w:r>
        <w:t>去溶剂化势垒，能够在-30°C下实现均匀的锂沉积，并在超高电压运行期间促进紧凑的富含无机物的阴极电解质界面（CEI）。因此，5.0 V Li ||李妮</w:t>
      </w:r>
      <w:r>
        <w:t xml:space="preserve"> </w:t>
      </w:r>
      <w:r>
        <w:t>0.5</w:t>
      </w:r>
      <w:r>
        <w:t xml:space="preserve"> </w:t>
      </w:r>
      <w:r>
        <w:t>锰</w:t>
      </w:r>
      <w:r>
        <w:t xml:space="preserve"> </w:t>
      </w:r>
      <w:r>
        <w:t>1.5</w:t>
      </w:r>
      <w:r>
        <w:t xml:space="preserve"> </w:t>
      </w:r>
      <w:r>
        <w:t>氧</w:t>
      </w:r>
      <w:r>
        <w:rPr>
          <w:vertAlign w:val="subscript"/>
        </w:rPr>
        <w:t>4</w:t>
      </w:r>
      <w:r>
        <w:t>采用 LBME 的 (LNMO) 电池实现了出色的循环性能，在 5 C 下循环 5000 次后仍保留 99.1% 的容量，并在 -30°C 下保持 72% 的室温容量。该技术的可行性在实际软包电池中得到了进一步证明，其中 1 Ah 石墨 ||李妮</w:t>
      </w:r>
      <w:r>
        <w:t xml:space="preserve"> </w:t>
      </w:r>
      <w:r>
        <w:t>0.8</w:t>
      </w:r>
    </w:p>
    <w:p>
      <w:pPr>
        <w:spacing w:before="0" w:after="200" w:lineRule="auto" w:line="276"/>
      </w:pPr>
      <w:r>
        <w:rPr>
          <w:b/>
        </w:rPr>
        <w:t xml:space="preserve">Abstract (EN): </w:t>
      </w:r>
      <w:r>
        <w:t>Conventional electrolytes remain fundamentally constrained by the trade‐offs among high‐voltage stability, low‐temperature operation, and fast ion transport, limiting the practical deployment of advanced lithium‐ion batteries (LIBs). Here, we report a micro‐heterogeneous lithium metaborate (LiBO</w:t>
      </w:r>
      <w:r>
        <w:rPr>
          <w:vertAlign w:val="subscript"/>
        </w:rPr>
        <w:t>2</w:t>
      </w:r>
      <w:r>
        <w:t>)‐mediated electrolyte (LBME) that leverages colloid interfacial chemistry to regulate the Li</w:t>
      </w:r>
      <w:r>
        <w:t xml:space="preserve"> </w:t>
      </w:r>
      <w:r>
        <w:t>+</w:t>
      </w:r>
      <w:r>
        <w:t xml:space="preserve"> </w:t>
      </w:r>
      <w:r>
        <w:t>solvation structure. Stable LiBO</w:t>
      </w:r>
      <w:r>
        <w:rPr>
          <w:vertAlign w:val="subscript"/>
        </w:rPr>
        <w:t>2</w:t>
      </w:r>
      <w:r>
        <w:t>colloids competitively coordinate with anions through coordinatively unsaturated surface sites, thereby weakening Li</w:t>
      </w:r>
      <w:r>
        <w:t xml:space="preserve"> </w:t>
      </w:r>
      <w:r>
        <w:t>+</w:t>
      </w:r>
      <w:r>
        <w:t xml:space="preserve"> </w:t>
      </w:r>
      <w:r>
        <w:t>–solvent/anion interactions and accelerating ligand‐exchange kinetics. Consequently, the LBME exhibits enhanced ionic conductivity and reduced Li</w:t>
      </w:r>
      <w:r>
        <w:t xml:space="preserve"> </w:t>
      </w:r>
      <w:r>
        <w:t>+</w:t>
      </w:r>
      <w:r>
        <w:t xml:space="preserve"> </w:t>
      </w:r>
      <w:r>
        <w:t>desolvation barrier, enabling uniform lithium deposition at −30°C and facilitating a compact inorganic‐rich cathode‐electrolyte interphase (CEI) during ultrahigh‐voltage operation. Consequently, a 5.0 V Li || LiNi</w:t>
      </w:r>
      <w:r>
        <w:t xml:space="preserve"> </w:t>
      </w:r>
      <w:r>
        <w:t>0.5</w:t>
      </w:r>
      <w:r>
        <w:t xml:space="preserve"> </w:t>
      </w:r>
      <w:r>
        <w:t>Mn</w:t>
      </w:r>
      <w:r>
        <w:t xml:space="preserve"> </w:t>
      </w:r>
      <w:r>
        <w:t>1.5</w:t>
      </w:r>
      <w:r>
        <w:t xml:space="preserve"> </w:t>
      </w:r>
      <w:r>
        <w:t>O</w:t>
      </w:r>
      <w:r>
        <w:rPr>
          <w:vertAlign w:val="subscript"/>
        </w:rPr>
        <w:t>4</w:t>
      </w:r>
      <w:r>
        <w:t>(LNMO) cell with LBME achieves exceptional cyclability, retaining 99.1% of its capacity after 5000 cycles at 5 C, and maintaining 72% of its room‐temperature capacity at −30°C. The technological viability is further demonstrated in practical pouch cells, where 1 Ah graphite ||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(NCM811) and 5 Ah silicon‐graphite (Si‐C) || LiNi</w:t>
      </w:r>
      <w:r>
        <w:t xml:space="preserve"> </w:t>
      </w:r>
      <w:r>
        <w:t>0.91</w:t>
      </w:r>
      <w:r>
        <w:t xml:space="preserve"> </w:t>
      </w:r>
      <w:r>
        <w:t>Co</w:t>
      </w:r>
      <w:r>
        <w:t xml:space="preserve"> </w:t>
      </w:r>
      <w:r>
        <w:t>0.06</w:t>
      </w:r>
      <w:r>
        <w:t xml:space="preserve"> </w:t>
      </w:r>
      <w:r>
        <w:t>Mn</w:t>
      </w:r>
      <w:r>
        <w:t xml:space="preserve"> </w:t>
      </w:r>
      <w:r>
        <w:t>0.03</w:t>
      </w:r>
      <w:r>
        <w:t xml:space="preserve"> </w:t>
      </w:r>
      <w:r>
        <w:t>O</w:t>
      </w:r>
      <w:r>
        <w:rPr>
          <w:vertAlign w:val="subscript"/>
        </w:rPr>
        <w:t>2</w:t>
      </w:r>
      <w:r>
        <w:t>(NCM90) pouch cells demonstrate superior stability, achieving 87.8% capacity retention (500 cycles) and a striking energy density of 394 Wh kg</w:t>
      </w:r>
      <w:r>
        <w:t xml:space="preserve"> </w:t>
      </w:r>
      <w:r>
        <w:t>−1</w:t>
      </w:r>
      <w:r>
        <w:t xml:space="preserve"> </w:t>
      </w:r>
      <w:r>
        <w:t>(89% retention after 120 cycles), respectively. This work demonstrates a heterogeneous electrolyte strategy promising for stable LIBs under harsh conditions.</w:t>
      </w:r>
    </w:p>
    <w:p>
      <w:pPr>
        <w:spacing w:before="120" w:after="120"/>
      </w:pPr>
      <w:r>
        <w:rPr>
          <w:sz w:val="18"/>
        </w:rPr>
        <w:t>——————————————————————————————————————————————————————————————————————</w:t>
      </w:r>
    </w:p>
    <w:p>
      <w:pPr>
        <w:spacing w:before="160" w:after="40" w:line="240" w:lineRule="auto"/>
      </w:pPr>
      <w:r>
        <w:rPr>
          <w:b/>
        </w:rPr>
        <w:t xml:space="preserve">[5] </w:t>
      </w:r>
      <w:hyperlink r:id="rId72">
        <w:r>
          <w:rPr>
            <w:color w:val="1155CC"/>
            <w:u w:val="single"/>
          </w:rPr>
          <w:t>MXene 中的双阴离子空位工程：解锁超稳定 Mg2+/Li+ 离子存储的量子限制、电荷补偿和屏蔽效应</w:t>
        </w:r>
      </w:hyperlink>
    </w:p>
    <w:p>
      <w:pPr>
        <w:spacing w:before="0" w:after="80"/>
      </w:pPr>
      <w:r>
        <w:rPr>
          <w:i/>
          <w:sz w:val="20"/>
        </w:rPr>
        <w:t>EN: Dual‐Anion‐Vacancy Engineering in MXene: Unlocking Quantum Confinement, Charge Compensation and Shielding Effects for Ultra‐Stable Mg2+/Li+ Ions Storage</w:t>
      </w:r>
    </w:p>
    <w:p>
      <w:pPr>
        <w:spacing w:before="0" w:after="120"/>
      </w:pPr>
      <w:r>
        <w:rPr>
          <w:b/>
        </w:rPr>
        <w:t xml:space="preserve">Source: </w:t>
      </w:r>
      <w:r>
        <w:t>Wiley: Advanced Energy Materials: Table of Contents</w:t>
      </w:r>
      <w:r>
        <w:t xml:space="preserve">    </w:t>
      </w:r>
      <w:r>
        <w:rPr>
          <w:b/>
        </w:rPr>
        <w:t xml:space="preserve">Pub date: </w:t>
      </w:r>
      <w:r>
        <w:t>2026-07-25 14:21:53+00:00</w:t>
      </w:r>
      <w:r>
        <w:t xml:space="preserve">    </w:t>
      </w:r>
      <w:r>
        <w:rPr>
          <w:b/>
        </w:rPr>
        <w:t xml:space="preserve">DOI: </w:t>
      </w:r>
      <w:hyperlink r:id="rId73">
        <w:r>
          <w:rPr>
            <w:color w:val="1155CC"/>
            <w:u w:val="single"/>
          </w:rPr>
          <w:t>10.1002/aenm.71354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设计能够协同存储具有显着不同电荷密度和离子半径的离子的阴极材料对镁的持续开发提出了关键挑战</w:t>
      </w:r>
      <w:r>
        <w:t xml:space="preserve"> </w:t>
      </w:r>
      <w:r>
        <w:t>2+</w:t>
      </w:r>
      <w:r>
        <w:t xml:space="preserve"> </w:t>
      </w:r>
      <w:r>
        <w:t>/李</w:t>
      </w:r>
      <w:r>
        <w:t xml:space="preserve"> </w:t>
      </w:r>
      <w:r>
        <w:t>+</w:t>
      </w:r>
      <w:r>
        <w:t xml:space="preserve"> </w:t>
      </w:r>
      <w:r>
        <w:t>混合动力电池（MLHB）。具有空位缺陷的 MXene 基材料提供了希望，但传统的单空位策略无法平衡容量和反应动力学。在此，提出了一种创新的双阴离子（Se，O）空位工程策略并构建了量子点（QD）Ti</w:t>
      </w:r>
      <w:r>
        <w:rPr>
          <w:vertAlign w:val="subscript"/>
        </w:rPr>
        <w:t>3</w:t>
      </w:r>
      <w:r>
        <w:t>C</w:t>
      </w:r>
      <w:r>
        <w:rPr>
          <w:vertAlign w:val="subscript"/>
        </w:rPr>
        <w:t>2</w:t>
      </w:r>
      <w:r>
        <w:t>MXene异质结构（QD@V</w:t>
      </w:r>
      <w:r>
        <w:t xml:space="preserve"> </w:t>
      </w:r>
      <w:r>
        <w:t>硒,O</w:t>
      </w:r>
      <w:r>
        <w:t xml:space="preserve"> </w:t>
      </w:r>
      <w:r>
        <w:t>‐钛</w:t>
      </w:r>
      <w:r>
        <w:rPr>
          <w:vertAlign w:val="subscript"/>
        </w:rPr>
        <w:t>3</w:t>
      </w:r>
      <w:r>
        <w:t>C</w:t>
      </w:r>
      <w:r>
        <w:rPr>
          <w:vertAlign w:val="subscript"/>
        </w:rPr>
        <w:t>2</w:t>
      </w:r>
      <w:r>
        <w:t>）。 受益于 (i) QD TiO 引起的量子限制效应</w:t>
      </w:r>
      <w:r>
        <w:rPr>
          <w:vertAlign w:val="subscript"/>
        </w:rPr>
        <w:t>2</w:t>
      </w:r>
      <w:r>
        <w:t>，它改变了电子能带结构并改善了界面电荷转移，（ii）双阴离子空位建立了互补的电荷环境，提供静电屏蔽以降低 Mg</w:t>
      </w:r>
      <w:r>
        <w:t xml:space="preserve"> </w:t>
      </w:r>
      <w:r>
        <w:t>2+</w:t>
      </w:r>
      <w:r>
        <w:t xml:space="preserve"> </w:t>
      </w:r>
      <w:r>
        <w:t>扩散势垒并促进电荷补偿，以及（iii）原位形成的 TiSe</w:t>
      </w:r>
      <w:r>
        <w:rPr>
          <w:vertAlign w:val="subscript"/>
        </w:rPr>
        <w:t>2</w:t>
      </w:r>
      <w:r>
        <w:t>层与强 Se─C 键结合，确保快速离子/电子传输并保持结构完整性。 QD@V</w:t>
      </w:r>
      <w:r>
        <w:t xml:space="preserve"> </w:t>
      </w:r>
      <w:r>
        <w:t>硒,O</w:t>
      </w:r>
      <w:r>
        <w:t xml:space="preserve"> </w:t>
      </w:r>
      <w:r>
        <w:t>‐钛</w:t>
      </w:r>
      <w:r>
        <w:rPr>
          <w:vertAlign w:val="subscript"/>
        </w:rPr>
        <w:t>3</w:t>
      </w:r>
      <w:r>
        <w:t>C</w:t>
      </w:r>
      <w:r>
        <w:rPr>
          <w:vertAlign w:val="subscript"/>
        </w:rPr>
        <w:t>2</w:t>
      </w:r>
    </w:p>
    <w:p>
      <w:pPr>
        <w:spacing w:before="0" w:after="200" w:lineRule="auto" w:line="276"/>
      </w:pPr>
      <w:r>
        <w:rPr>
          <w:b/>
        </w:rPr>
        <w:t xml:space="preserve">Abstract (EN): </w:t>
      </w:r>
      <w:r>
        <w:t>Designing cathode materials that can synergistically store ions with significantly different charge densities and ionic radii poses a critical challenge in the ongoing development of Mg</w:t>
      </w:r>
      <w:r>
        <w:t xml:space="preserve"> </w:t>
      </w:r>
      <w:r>
        <w:t>2+</w:t>
      </w:r>
      <w:r>
        <w:t xml:space="preserve"> </w:t>
      </w:r>
      <w:r>
        <w:t>/Li</w:t>
      </w:r>
      <w:r>
        <w:t xml:space="preserve"> </w:t>
      </w:r>
      <w:r>
        <w:t>+</w:t>
      </w:r>
      <w:r>
        <w:t xml:space="preserve"> </w:t>
      </w:r>
      <w:r>
        <w:t>hybrid batteries (MLHBs). MXene‐based materials with vacancy defects offer promise, yet conventional monovacancy strategies cannot balance capacity and reaction kinetics. Herein, an innovative dual‐anion (Se, O) vacancy engineering strategy is proposed and constructed a quantum dot (QD) Ti</w:t>
      </w:r>
      <w:r>
        <w:rPr>
          <w:vertAlign w:val="subscript"/>
        </w:rPr>
        <w:t>3</w:t>
      </w:r>
      <w:r>
        <w:t>C</w:t>
      </w:r>
      <w:r>
        <w:rPr>
          <w:vertAlign w:val="subscript"/>
        </w:rPr>
        <w:t>2</w:t>
      </w:r>
      <w:r>
        <w:t>MXene heterostructure (QD@V</w:t>
      </w:r>
      <w:r>
        <w:t xml:space="preserve"> </w:t>
      </w:r>
      <w:r>
        <w:t>Se,O</w:t>
      </w:r>
      <w:r>
        <w:t xml:space="preserve"> </w:t>
      </w:r>
      <w:r>
        <w:t>‐Ti</w:t>
      </w:r>
      <w:r>
        <w:rPr>
          <w:vertAlign w:val="subscript"/>
        </w:rPr>
        <w:t>3</w:t>
      </w:r>
      <w:r>
        <w:t>C</w:t>
      </w:r>
      <w:r>
        <w:rPr>
          <w:vertAlign w:val="subscript"/>
        </w:rPr>
        <w:t>2</w:t>
      </w:r>
      <w:r>
        <w:t>). Benefiting from (i) the quantum confinement effect induced by QD TiO</w:t>
      </w:r>
      <w:r>
        <w:rPr>
          <w:vertAlign w:val="subscript"/>
        </w:rPr>
        <w:t>2</w:t>
      </w:r>
      <w:r>
        <w:t>, which modifies the electronic band structure and improves interfacial charge transfer, (ii) dual‐anion vacancies that establish a complementary charge environment, providing electrostatic shielding to lower Mg</w:t>
      </w:r>
      <w:r>
        <w:t xml:space="preserve"> </w:t>
      </w:r>
      <w:r>
        <w:t>2+</w:t>
      </w:r>
      <w:r>
        <w:t xml:space="preserve"> </w:t>
      </w:r>
      <w:r>
        <w:t>diffusion barriers and facilitate charge compensation, and (iii) in situ formed TiSe</w:t>
      </w:r>
      <w:r>
        <w:rPr>
          <w:vertAlign w:val="subscript"/>
        </w:rPr>
        <w:t>2</w:t>
      </w:r>
      <w:r>
        <w:t>layers combined with strong Se─C bonds, which ensure rapid ion/electron transport and maintain structural integrity. The QD@V</w:t>
      </w:r>
      <w:r>
        <w:t xml:space="preserve"> </w:t>
      </w:r>
      <w:r>
        <w:t>Se,O</w:t>
      </w:r>
      <w:r>
        <w:t xml:space="preserve"> </w:t>
      </w:r>
      <w:r>
        <w:t>‐Ti</w:t>
      </w:r>
      <w:r>
        <w:rPr>
          <w:vertAlign w:val="subscript"/>
        </w:rPr>
        <w:t>3</w:t>
      </w:r>
      <w:r>
        <w:t>C</w:t>
      </w:r>
      <w:r>
        <w:rPr>
          <w:vertAlign w:val="subscript"/>
        </w:rPr>
        <w:t>2</w:t>
      </w:r>
      <w:r>
        <w:t>cathode delivers an ultra‐high capacity (705 mAh g</w:t>
      </w:r>
      <w:r>
        <w:t xml:space="preserve"> </w:t>
      </w:r>
      <w:r>
        <w:t>−1</w:t>
      </w:r>
      <w:r>
        <w:t xml:space="preserve"> </w:t>
      </w:r>
      <w:r>
        <w:t>at 50 mA g</w:t>
      </w:r>
      <w:r>
        <w:t xml:space="preserve"> </w:t>
      </w:r>
      <w:r>
        <w:t>−1</w:t>
      </w:r>
      <w:r>
        <w:t xml:space="preserve"> </w:t>
      </w:r>
      <w:r>
        <w:t>) and outstanding cycling stability with 70% capacity retention after 2300 cycles at 1000 mA g</w:t>
      </w:r>
      <w:r>
        <w:t xml:space="preserve"> </w:t>
      </w:r>
      <w:r>
        <w:t>−1</w:t>
      </w:r>
      <w:r>
        <w:t xml:space="preserve"> </w:t>
      </w:r>
      <w:r>
        <w:t>. The synergy among quantum‐confined, charge compensation and shielding effects, and interfacial electronic structure achieved unprecedented Mg</w:t>
      </w:r>
      <w:r>
        <w:t xml:space="preserve"> </w:t>
      </w:r>
      <w:r>
        <w:t>2+</w:t>
      </w:r>
      <w:r>
        <w:t xml:space="preserve"> </w:t>
      </w:r>
      <w:r>
        <w:t>/Li</w:t>
      </w:r>
      <w:r>
        <w:t xml:space="preserve"> </w:t>
      </w:r>
      <w:r>
        <w:t>+</w:t>
      </w:r>
      <w:r>
        <w:t xml:space="preserve"> </w:t>
      </w:r>
      <w:r>
        <w:t>co‐adsorption stability and rapid kinetics. This work establishes a new paradigm of QD‐enhanced multi‐anion vacancy engineering for next‐generation multivalent‐ion batteries.</w:t>
      </w:r>
    </w:p>
    <w:p>
      <w:pPr>
        <w:spacing w:before="120" w:after="120"/>
      </w:pPr>
      <w:r>
        <w:rPr>
          <w:sz w:val="18"/>
        </w:rPr>
        <w:t>——————————————————————————————————————————————————————————————————————</w:t>
      </w:r>
    </w:p>
    <w:p>
      <w:pPr>
        <w:spacing w:before="160" w:after="40" w:line="240" w:lineRule="auto"/>
      </w:pPr>
      <w:r>
        <w:rPr>
          <w:b/>
        </w:rPr>
        <w:t xml:space="preserve">[6] </w:t>
      </w:r>
      <w:hyperlink r:id="rId74">
        <w:r>
          <w:rPr>
            <w:color w:val="1155CC"/>
            <w:u w:val="single"/>
          </w:rPr>
          <w:t>双阳离子溶剂化重编程可实现催化多硫化物转化和稳定的钠金属，从而实现长寿命钠硫电池</w:t>
        </w:r>
      </w:hyperlink>
    </w:p>
    <w:p>
      <w:pPr>
        <w:spacing w:before="0" w:after="80"/>
      </w:pPr>
      <w:r>
        <w:rPr>
          <w:i/>
          <w:sz w:val="20"/>
        </w:rPr>
        <w:t>EN: Solvation Reprogramming With Dual Cations Enables Catalytic Polysulfide Conversion and Stable Sodium Metal for Long‐Life Na‐S Batteries</w:t>
      </w:r>
    </w:p>
    <w:p>
      <w:pPr>
        <w:spacing w:before="0" w:after="120"/>
      </w:pPr>
      <w:r>
        <w:rPr>
          <w:b/>
        </w:rPr>
        <w:t xml:space="preserve">Source: </w:t>
      </w:r>
      <w:r>
        <w:t>Wiley: Advanced Materials: Table of Contents</w:t>
      </w:r>
      <w:r>
        <w:t xml:space="preserve">    </w:t>
      </w:r>
      <w:r>
        <w:rPr>
          <w:b/>
        </w:rPr>
        <w:t xml:space="preserve">Pub date: </w:t>
      </w:r>
      <w:r>
        <w:t>2026-07-25 15:02:28+00:00</w:t>
      </w:r>
      <w:r>
        <w:t xml:space="preserve">    </w:t>
      </w:r>
      <w:r>
        <w:rPr>
          <w:b/>
        </w:rPr>
        <w:t xml:space="preserve">DOI: </w:t>
      </w:r>
      <w:hyperlink r:id="rId75">
        <w:r>
          <w:rPr>
            <w:color w:val="1155CC"/>
            <w:u w:val="single"/>
          </w:rPr>
          <w:t>10.1002/adma.74296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室温钠硫电池的实际开发面临着重大挑战，主要源于多硫化物穿梭效应和钠阳极的不稳定性。在这项研究中，我们提出了一种双阳离子电解质工程策略，通过引入 K 来同时解决这两个瓶颈</w:t>
      </w:r>
      <w:r>
        <w:t xml:space="preserve"> </w:t>
      </w:r>
      <w:r>
        <w:t>+</w:t>
      </w:r>
      <w:r>
        <w:t xml:space="preserve"> </w:t>
      </w:r>
      <w:r>
        <w:t>转化为传统的NaPF</w:t>
      </w:r>
      <w:r>
        <w:rPr>
          <w:vertAlign w:val="subscript"/>
        </w:rPr>
        <w:t>6</w:t>
      </w:r>
      <w:r>
        <w:t>/1-乙氧基-2-(2-甲氧基乙氧基)乙烷电解质。 K 的离子半径较大，路易斯酸度较低</w:t>
      </w:r>
      <w:r>
        <w:t xml:space="preserve"> </w:t>
      </w:r>
      <w:r>
        <w:t>+</w:t>
      </w:r>
      <w:r>
        <w:t xml:space="preserve"> </w:t>
      </w:r>
      <w:r>
        <w:t>竞争性修饰Na</w:t>
      </w:r>
      <w:r>
        <w:t xml:space="preserve"> </w:t>
      </w:r>
      <w:r>
        <w:t>+</w:t>
      </w:r>
      <w:r>
        <w:t xml:space="preserve"> </w:t>
      </w:r>
      <w:r>
        <w:t>溶剂化结构，削弱Na-溶剂相互作用并将溶剂化壳重组为接触离子对（CIP），从而促进富含无机固体电解质界面的形成。理论计算表明，占主导地位的NaKS</w:t>
      </w:r>
      <w:r>
        <w:t xml:space="preserve"> </w:t>
      </w:r>
      <w:r>
        <w:t>x</w:t>
      </w:r>
      <w:r>
        <w:t xml:space="preserve"> </w:t>
      </w:r>
      <w:r>
        <w:t>通过Na位点吸附的中间体通过双阳离子诱导电荷离域削弱S─S和Na─S键，建立催化循环，降低动力学势垒并减轻多硫化物穿梭。同时，引入 K 引起的静电屏蔽进一步抑制了枝晶生长和寄生副反应。</w:t>
      </w:r>
      <w:r>
        <w:t xml:space="preserve"> </w:t>
      </w:r>
      <w:r>
        <w:t>+</w:t>
      </w:r>
      <w:r>
        <w:t xml:space="preserve"> </w:t>
      </w:r>
      <w:r>
        <w:t>。因此，采用凹形中空介孔碳纳米球作为硫阴极基质和亲钠阳极涂层的对称全电池结构，实现了 10,000 次循环的创纪录寿命和</w:t>
      </w:r>
    </w:p>
    <w:p>
      <w:pPr>
        <w:spacing w:before="0" w:after="200" w:lineRule="auto" w:line="276"/>
      </w:pPr>
      <w:r>
        <w:rPr>
          <w:b/>
        </w:rPr>
        <w:t xml:space="preserve">Abstract (EN): </w:t>
      </w:r>
      <w:r>
        <w:t>The practical development of room‐temperature sodium‐sulfur batteries faces significant challenges, primarily stemming from the polysulfide shuttle effect and the instability of the sodium anode. In this study, we propose a dual‐cation electrolyte engineering strategy that simultaneously addresses both bottlenecks by introducing K</w:t>
      </w:r>
      <w:r>
        <w:t xml:space="preserve"> </w:t>
      </w:r>
      <w:r>
        <w:t>+</w:t>
      </w:r>
      <w:r>
        <w:t xml:space="preserve"> </w:t>
      </w:r>
      <w:r>
        <w:t>into the conventional NaPF</w:t>
      </w:r>
      <w:r>
        <w:rPr>
          <w:vertAlign w:val="subscript"/>
        </w:rPr>
        <w:t>6</w:t>
      </w:r>
      <w:r>
        <w:t>/1‐ethoxy‐2‐(2‐methoxyethoxy)ethane electrolyte. The larger ionic radius and lower Lewis acidity of K</w:t>
      </w:r>
      <w:r>
        <w:t xml:space="preserve"> </w:t>
      </w:r>
      <w:r>
        <w:t>+</w:t>
      </w:r>
      <w:r>
        <w:t xml:space="preserve"> </w:t>
      </w:r>
      <w:r>
        <w:t>competitively modified the Na</w:t>
      </w:r>
      <w:r>
        <w:t xml:space="preserve"> </w:t>
      </w:r>
      <w:r>
        <w:t>+</w:t>
      </w:r>
      <w:r>
        <w:t xml:space="preserve"> </w:t>
      </w:r>
      <w:r>
        <w:t>solvation structure, weakening Na−Solvent interactions and reorganizing the solvation shell into contact ion pairs (CIPs), thus promoting the formation of inorganic‐rich solid electrolyte interphase. Theoretical calculations reveal that dominant NaKS</w:t>
      </w:r>
      <w:r>
        <w:t xml:space="preserve"> </w:t>
      </w:r>
      <w:r>
        <w:t>x</w:t>
      </w:r>
      <w:r>
        <w:t xml:space="preserve"> </w:t>
      </w:r>
      <w:r>
        <w:t>intermediates adsorbed via Na sites weaken S─S and Na─S bonds with dual‐cation induced charge delocalization, establishing catalytic cycle that lowers the kinetic barrier and relieves polysulfide shuttling. Meanwhile, the dendrite growth and parasitic side reactions are further suppressed within electrostatic shielding evoked by introduced K</w:t>
      </w:r>
      <w:r>
        <w:t xml:space="preserve"> </w:t>
      </w:r>
      <w:r>
        <w:t>+</w:t>
      </w:r>
      <w:r>
        <w:t xml:space="preserve"> </w:t>
      </w:r>
      <w:r>
        <w:t>. Consequently, a symmetric full cell architecture, with concave hollow mesoporous carbon nanospheres as both sulfur cathode matrix and sodiophilic anode coating, achieves a record lifespan of 10,000 cycles and a high‐capacity retention of 95.3% at 10 A g</w:t>
      </w:r>
      <w:r>
        <w:t xml:space="preserve"> </w:t>
      </w:r>
      <w:r>
        <w:t>−1</w:t>
      </w:r>
      <w:r>
        <w:t xml:space="preserve"> </w:t>
      </w:r>
      <w:r>
        <w:t>and high energy density of 223 Wh kg</w:t>
      </w:r>
      <w:r>
        <w:t xml:space="preserve"> </w:t>
      </w:r>
      <w:r>
        <w:t>−1</w:t>
      </w:r>
      <w:r>
        <w:t xml:space="preserve"> </w:t>
      </w:r>
      <w:r>
        <w:t>for pouch cell. This work offers a comprehensive design strategy, advancing practical metal‐sulfur batteries through electrolyte solvation and electrode interface engineering.</w:t>
      </w:r>
    </w:p>
    <w:p>
      <w:pPr>
        <w:spacing w:before="120" w:after="120"/>
      </w:pPr>
      <w:r>
        <w:rPr>
          <w:sz w:val="18"/>
        </w:rPr>
        <w:t>——————————————————————————————————————————————————————————————————————</w:t>
      </w:r>
    </w:p>
    <w:p>
      <w:pPr>
        <w:spacing w:before="160" w:after="40" w:line="240" w:lineRule="auto"/>
      </w:pPr>
      <w:r>
        <w:rPr>
          <w:b/>
        </w:rPr>
        <w:t xml:space="preserve">[7] </w:t>
      </w:r>
      <w:hyperlink r:id="rId76">
        <w:r>
          <w:rPr>
            <w:color w:val="1155CC"/>
            <w:u w:val="single"/>
          </w:rPr>
          <w:t>拓扑交联剂设计调节锌碘电池中的界面和活性物质传输</w:t>
        </w:r>
      </w:hyperlink>
    </w:p>
    <w:p>
      <w:pPr>
        <w:spacing w:before="0" w:after="80"/>
      </w:pPr>
      <w:r>
        <w:rPr>
          <w:i/>
          <w:sz w:val="20"/>
        </w:rPr>
        <w:t>EN: Topological Crosslinker Design Regulates Interfacial and Active Species Transport in Zinc‐Iodine Batteries</w:t>
      </w:r>
    </w:p>
    <w:p>
      <w:pPr>
        <w:spacing w:before="0" w:after="120"/>
      </w:pPr>
      <w:r>
        <w:rPr>
          <w:b/>
        </w:rPr>
        <w:t xml:space="preserve">Source: </w:t>
      </w:r>
      <w:r>
        <w:t>Wiley: Advanced Materials: Table of Contents</w:t>
      </w:r>
      <w:r>
        <w:t xml:space="preserve">    </w:t>
      </w:r>
      <w:r>
        <w:rPr>
          <w:b/>
        </w:rPr>
        <w:t xml:space="preserve">Pub date: </w:t>
      </w:r>
      <w:r>
        <w:t>2026-07-25 15:06:28+00:00</w:t>
      </w:r>
      <w:r>
        <w:t xml:space="preserve">    </w:t>
      </w:r>
      <w:r>
        <w:rPr>
          <w:b/>
        </w:rPr>
        <w:t xml:space="preserve">DOI: </w:t>
      </w:r>
      <w:hyperlink r:id="rId77">
        <w:r>
          <w:rPr>
            <w:color w:val="1155CC"/>
            <w:u w:val="single"/>
          </w:rPr>
          <w:t>10.1002/adma.74282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离子电池（ZIB）受到界面不稳定性以及聚合物凝胶电解质（PGE）中机械强度和离子电导率之间内在权衡的限制，限制了其循环耐久性和实际应用。在这里，我们报告了一种拓扑调节的交联剂策略，该策略将交联剂从被动结构成分重新定义为离子传输和界面化学的主动调节剂。将四臂聚（2-乙基-2-恶唑啉）（4-PEtOx）交联剂集成到两性离子网络中以构建水凝胶电解质（4-PVEX）。独特的分子拓扑结构建立了致密而动态的氢键框架，使连续的锌</w:t>
      </w:r>
      <w:r>
        <w:t xml:space="preserve"> </w:t>
      </w:r>
      <w:r>
        <w:t>2+</w:t>
      </w:r>
      <w:r>
        <w:t xml:space="preserve"> </w:t>
      </w:r>
      <w:r>
        <w:t>运输途径，同时保持高机械强度。因此，4-PVEX 稳定了 Zn/电解质界面，促进均匀的无枝晶 Zn 沉积，抑制寄生反应，并有效固定聚碘物质，同时加速碘氧化还原动力学。 Zn||Zn 对称电池表现出超过 2700 小时的稳定循环，而 Zn||Cu 电池在 1000 次循环中的平均库仑效率为 99.7%。此外，Zn||I</w:t>
      </w:r>
      <w:r>
        <w:rPr>
          <w:vertAlign w:val="subscript"/>
        </w:rPr>
        <w:t>2</w:t>
      </w:r>
      <w:r>
        <w:t>全电池在 10 C 下循环 10,000 次后仍保留 90% 的初始容量。这项工作证明了分子拓扑结构是先进凝胶电解质的强大设计维度，并为水性金属电池中的界面和传输调节提供了新的见解。</w:t>
      </w:r>
    </w:p>
    <w:p>
      <w:pPr>
        <w:spacing w:before="0" w:after="200" w:lineRule="auto" w:line="276"/>
      </w:pPr>
      <w:r>
        <w:rPr>
          <w:b/>
        </w:rPr>
        <w:t xml:space="preserve">Abstract (EN): </w:t>
      </w:r>
      <w:r>
        <w:t>Aqueous zinc‐ion batteries (ZIBs) are limited by interfacial instability and an intrinsic trade‐off between mechanical strength and ionic conductivity in polymer gel electrolytes (PGEs), restricting their cycling durability and practical application. Here, we report a topology‐regulated crosslinker strategy that redefines crosslinkers from passive structural components to active regulators of ion transport and interfacial chemistry. A tetra‐armed poly(2‐ethyl‐2‐oxazoline) (4‐PEtOx) crosslinker is integrated into a zwitterionic network to construct a hydrogel electrolyte (4‐PVEX). The unique molecular topology establishes a dense yet dynamic hydrogen‐bonding framework, enabling continuous Zn</w:t>
      </w:r>
      <w:r>
        <w:t xml:space="preserve"> </w:t>
      </w:r>
      <w:r>
        <w:t>2+</w:t>
      </w:r>
      <w:r>
        <w:t xml:space="preserve"> </w:t>
      </w:r>
      <w:r>
        <w:t>transport pathways while maintaining high mechanical strength. As a result, 4‐PVEX stabilizes the Zn/electrolyte interface, promotes uniform dendrite‐free Zn deposition, suppresses parasitic reactions, and effectively immobilizes polyiodide species while accelerating iodine redox kinetics. Zn||Zn symmetric cell exhibits stable cycling for over 2700 h, and Zn||Cu cell delivers an average Coulombic efficiency of 99.7% over 1000 cycles. Moreover, Zn||I</w:t>
      </w:r>
      <w:r>
        <w:rPr>
          <w:vertAlign w:val="subscript"/>
        </w:rPr>
        <w:t>2</w:t>
      </w:r>
      <w:r>
        <w:t>full cell retains 90% of its initial capacity after 10 000 cycles at 10 C. This work demonstrates molecular topology as a powerful design dimension for advanced gel electrolytes and provides new insights into interfacial and transport regulation in aqueous metal batteries.</w:t>
      </w:r>
    </w:p>
    <w:p>
      <w:pPr>
        <w:spacing w:before="120" w:after="120"/>
      </w:pPr>
      <w:r>
        <w:rPr>
          <w:sz w:val="18"/>
        </w:rPr>
        <w:t>——————————————————————————————————————————————————————————————————————</w:t>
      </w:r>
    </w:p>
    <w:p>
      <w:pPr>
        <w:spacing w:before="160" w:after="40" w:line="240" w:lineRule="auto"/>
      </w:pPr>
      <w:r>
        <w:rPr>
          <w:b/>
        </w:rPr>
        <w:t xml:space="preserve">[8] </w:t>
      </w:r>
      <w:hyperlink r:id="rId78">
        <w:r>
          <w:rPr>
            <w:color w:val="1155CC"/>
            <w:u w:val="single"/>
          </w:rPr>
          <w:t>通过靶向锂占据来抑制本征反位点缺陷，释放无钒 NASICON 阴极的超高倍率能力</w:t>
        </w:r>
      </w:hyperlink>
    </w:p>
    <w:p>
      <w:pPr>
        <w:spacing w:before="0" w:after="80"/>
      </w:pPr>
      <w:r>
        <w:rPr>
          <w:i/>
          <w:sz w:val="20"/>
        </w:rPr>
        <w:t>EN: Suppressing Intrinsic Anti‐Site Defects via Targeted Li‐Occupation Unlocks Ultrahigh‐Rate Capability in Vanadium‐Free NASICON Cathodes</w:t>
      </w:r>
    </w:p>
    <w:p>
      <w:pPr>
        <w:spacing w:before="0" w:after="120"/>
      </w:pPr>
      <w:r>
        <w:rPr>
          <w:b/>
        </w:rPr>
        <w:t xml:space="preserve">Source: </w:t>
      </w:r>
      <w:r>
        <w:t>Wiley: Advanced Materials: Table of Contents</w:t>
      </w:r>
      <w:r>
        <w:t xml:space="preserve">    </w:t>
      </w:r>
      <w:r>
        <w:rPr>
          <w:b/>
        </w:rPr>
        <w:t xml:space="preserve">Pub date: </w:t>
      </w:r>
      <w:r>
        <w:t>2026-07-26 06:33:59+00:00</w:t>
      </w:r>
      <w:r>
        <w:t xml:space="preserve">    </w:t>
      </w:r>
      <w:r>
        <w:rPr>
          <w:b/>
        </w:rPr>
        <w:t xml:space="preserve">DOI: </w:t>
      </w:r>
      <w:hyperlink r:id="rId79">
        <w:r>
          <w:rPr>
            <w:color w:val="1155CC"/>
            <w:u w:val="single"/>
          </w:rPr>
          <w:t>10.1002/adma.74230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无钒钠超离子导体（NASICON）型钠</w:t>
      </w:r>
      <w:r>
        <w:rPr>
          <w:vertAlign w:val="subscript"/>
        </w:rPr>
        <w:t>3</w:t>
      </w:r>
      <w:r>
        <w:t>锰钛(PO</w:t>
      </w:r>
      <w:r>
        <w:rPr>
          <w:vertAlign w:val="subscript"/>
        </w:rPr>
        <w:t>4</w:t>
      </w:r>
      <w:r>
        <w:t>）</w:t>
      </w:r>
      <w:r>
        <w:rPr>
          <w:vertAlign w:val="subscript"/>
        </w:rPr>
        <w:t>3</w:t>
      </w:r>
      <w:r>
        <w:t>（NMTP）由于原材料丰富且成分环保，被认为是钠离子电池的一种有前景的正极材料。然而，由于 Mn 的占据而产生的本征反位缺陷（IASD）</w:t>
      </w:r>
      <w:r>
        <w:t xml:space="preserve"> </w:t>
      </w:r>
      <w:r>
        <w:t>2+</w:t>
      </w:r>
      <w:r>
        <w:t xml:space="preserve"> </w:t>
      </w:r>
      <w:r>
        <w:t>NMTP 中 Na 空位位点 (Mn/M2_v) 上的 Mn 严重恶化了 Mn 氧化还原动力学，导致异常电压滞后和令人不满意的倍率性能。本研究合理设计了目标Li占据，以有效抑制Mn/M2_v IASDs的形成。理论计算表明微小的Li</w:t>
      </w:r>
      <w:r>
        <w:t xml:space="preserve"> </w:t>
      </w:r>
      <w:r>
        <w:t>+</w:t>
      </w:r>
      <w:r>
        <w:t xml:space="preserve"> </w:t>
      </w:r>
      <w:r>
        <w:t>离子优先占据碱金属空位而不是Mn</w:t>
      </w:r>
      <w:r>
        <w:t xml:space="preserve"> </w:t>
      </w:r>
      <w:r>
        <w:t>2+</w:t>
      </w:r>
      <w:r>
        <w:t xml:space="preserve"> </w:t>
      </w:r>
      <w:r>
        <w:t>并选择性地占据M2（18</w:t>
      </w:r>
      <w:r>
        <w:t xml:space="preserve"> </w:t>
      </w:r>
      <w:r>
        <w:t>e</w:t>
      </w:r>
      <w:r>
        <w:t xml:space="preserve"> </w:t>
      </w:r>
      <w:r>
        <w:t>)-位点而不是 M1 (6</w:t>
      </w:r>
      <w:r>
        <w:t xml:space="preserve"> </w:t>
      </w:r>
      <w:r>
        <w:t>乙</w:t>
      </w:r>
      <w:r>
        <w:t xml:space="preserve"> </w:t>
      </w:r>
      <w:r>
        <w:t>)位点，从而有效抑制Mn的反位点占据</w:t>
      </w:r>
      <w:r>
        <w:t xml:space="preserve"> </w:t>
      </w:r>
      <w:r>
        <w:t>2+</w:t>
      </w:r>
      <w:r>
        <w:t xml:space="preserve"> </w:t>
      </w:r>
      <w:r>
        <w:t>。这在制备的 Na 中得到了实验验证</w:t>
      </w:r>
      <w:r>
        <w:t xml:space="preserve"> </w:t>
      </w:r>
      <w:r>
        <w:t>2.95</w:t>
      </w:r>
      <w:r>
        <w:t xml:space="preserve"> </w:t>
      </w:r>
      <w:r>
        <w:t>李</w:t>
      </w:r>
      <w:r>
        <w:t xml:space="preserve"> </w:t>
      </w:r>
      <w:r>
        <w:t>0.05</w:t>
      </w:r>
      <w:r>
        <w:t xml:space="preserve"> </w:t>
      </w:r>
      <w:r>
        <w:t>锰钛(PO</w:t>
      </w:r>
      <w:r>
        <w:rPr>
          <w:vertAlign w:val="subscript"/>
        </w:rPr>
        <w:t>4</w:t>
      </w:r>
      <w:r>
        <w:t>）</w:t>
      </w:r>
      <w:r>
        <w:rPr>
          <w:vertAlign w:val="subscript"/>
        </w:rPr>
        <w:t>3</w:t>
      </w:r>
      <w:r>
        <w:t>(NMTP-Li0.05)，其中最小的Li掺杂会导致Mn/M2_v IASD的显着抑制。充放电过程中，</w:t>
      </w:r>
    </w:p>
    <w:p>
      <w:pPr>
        <w:spacing w:before="0" w:after="200" w:lineRule="auto" w:line="276"/>
      </w:pPr>
      <w:r>
        <w:rPr>
          <w:b/>
        </w:rPr>
        <w:t xml:space="preserve">Abstract (EN): </w:t>
      </w:r>
      <w:r>
        <w:t>Vanadium‐free Na superionic conductor (NASICON)‐type Na</w:t>
      </w:r>
      <w:r>
        <w:rPr>
          <w:vertAlign w:val="subscript"/>
        </w:rPr>
        <w:t>3</w:t>
      </w:r>
      <w:r>
        <w:t>MnTi(PO</w:t>
      </w:r>
      <w:r>
        <w:rPr>
          <w:vertAlign w:val="subscript"/>
        </w:rPr>
        <w:t>4</w:t>
      </w:r>
      <w:r>
        <w:t>)</w:t>
      </w:r>
      <w:r>
        <w:rPr>
          <w:vertAlign w:val="subscript"/>
        </w:rPr>
        <w:t>3</w:t>
      </w:r>
      <w:r>
        <w:t>(NMTP) has been recognized as a prospective cathode material for sodium‐ion batteries owing to the abundance of raw materials, and its eco‐friendly composition. Yet the intrinsic anti‐site defects (IASDs) derived from the occupation of Mn</w:t>
      </w:r>
      <w:r>
        <w:t xml:space="preserve"> </w:t>
      </w:r>
      <w:r>
        <w:t>2+</w:t>
      </w:r>
      <w:r>
        <w:t xml:space="preserve"> </w:t>
      </w:r>
      <w:r>
        <w:t>on the Na‐vacancy site (Mn/M2_v) in NMTP severely deteriorates the Mn redox kinetics, causing abnormal voltage hysteresis and unsatisfactory rate performance. This study rationally designed a targeted Li‐occupation to effectively restrain the Mn/M2_v IASDs formation. Theoretical calculations identify that the tiny Li</w:t>
      </w:r>
      <w:r>
        <w:t xml:space="preserve"> </w:t>
      </w:r>
      <w:r>
        <w:t>+</w:t>
      </w:r>
      <w:r>
        <w:t xml:space="preserve"> </w:t>
      </w:r>
      <w:r>
        <w:t>ions preferentially occupy the alkali‐metal vacancies instead of Mn</w:t>
      </w:r>
      <w:r>
        <w:t xml:space="preserve"> </w:t>
      </w:r>
      <w:r>
        <w:t>2+</w:t>
      </w:r>
      <w:r>
        <w:t xml:space="preserve"> </w:t>
      </w:r>
      <w:r>
        <w:t>and selectively occupy M2 (18</w:t>
      </w:r>
      <w:r>
        <w:t xml:space="preserve"> </w:t>
      </w:r>
      <w:r>
        <w:t>e</w:t>
      </w:r>
      <w:r>
        <w:t xml:space="preserve"> </w:t>
      </w:r>
      <w:r>
        <w:t>)‐sites rather than M1 (6</w:t>
      </w:r>
      <w:r>
        <w:t xml:space="preserve"> </w:t>
      </w:r>
      <w:r>
        <w:t>b</w:t>
      </w:r>
      <w:r>
        <w:t xml:space="preserve"> </w:t>
      </w:r>
      <w:r>
        <w:t>)‐sites, thereby effectively inhibiting anti‐site occupation of Mn</w:t>
      </w:r>
      <w:r>
        <w:t xml:space="preserve"> </w:t>
      </w:r>
      <w:r>
        <w:t>2+</w:t>
      </w:r>
      <w:r>
        <w:t xml:space="preserve"> </w:t>
      </w:r>
      <w:r>
        <w:t>. This is experimentally validated in the prepared Na</w:t>
      </w:r>
      <w:r>
        <w:t xml:space="preserve"> </w:t>
      </w:r>
      <w:r>
        <w:t>2.95</w:t>
      </w:r>
      <w:r>
        <w:t xml:space="preserve"> </w:t>
      </w:r>
      <w:r>
        <w:t>Li</w:t>
      </w:r>
      <w:r>
        <w:t xml:space="preserve"> </w:t>
      </w:r>
      <w:r>
        <w:t>0.05</w:t>
      </w:r>
      <w:r>
        <w:t xml:space="preserve"> </w:t>
      </w:r>
      <w:r>
        <w:t>MnTi(PO</w:t>
      </w:r>
      <w:r>
        <w:rPr>
          <w:vertAlign w:val="subscript"/>
        </w:rPr>
        <w:t>4</w:t>
      </w:r>
      <w:r>
        <w:t>)</w:t>
      </w:r>
      <w:r>
        <w:rPr>
          <w:vertAlign w:val="subscript"/>
        </w:rPr>
        <w:t>3</w:t>
      </w:r>
      <w:r>
        <w:t>(NMTP‐Li0.05), where minimal Li doping leads to significant suppression of Mn/M2_v IASDs. During charge‐discharge, the introduced Li</w:t>
      </w:r>
      <w:r>
        <w:t xml:space="preserve"> </w:t>
      </w:r>
      <w:r>
        <w:t>+</w:t>
      </w:r>
      <w:r>
        <w:t xml:space="preserve"> </w:t>
      </w:r>
      <w:r>
        <w:t>exhibits high mobility between M1/M2 sites and low electrostatic repulsion with Na</w:t>
      </w:r>
      <w:r>
        <w:t xml:space="preserve"> </w:t>
      </w:r>
      <w:r>
        <w:t>+</w:t>
      </w:r>
      <w:r>
        <w:t xml:space="preserve"> </w:t>
      </w:r>
      <w:r>
        <w:t>. Therefore, the NMTP‐Li0.05 achieves promoted kinetics with eliminated voltage hysteresis and an ultrahigh‐rate capability of 70.2 mA h g</w:t>
      </w:r>
      <w:r>
        <w:t xml:space="preserve"> </w:t>
      </w:r>
      <w:r>
        <w:t>−1</w:t>
      </w:r>
      <w:r>
        <w:t xml:space="preserve"> </w:t>
      </w:r>
      <w:r>
        <w:t>at 100 C, which is exceptional among V‐free NASICON cathodes. This work establishes an effective strategy for IASDs suppression in polyanionic cathodes and paves the way for developing high‐performance and sustainable sodium‐ion batteries.</w:t>
      </w:r>
    </w:p>
    <w:p>
      <w:pPr>
        <w:spacing w:before="120" w:after="120"/>
      </w:pPr>
      <w:r>
        <w:rPr>
          <w:sz w:val="18"/>
        </w:rPr>
        <w:t>——————————————————————————————————————————————————————————————————————</w:t>
      </w:r>
    </w:p>
    <w:p>
      <w:pPr>
        <w:spacing w:before="160" w:after="40" w:line="240" w:lineRule="auto"/>
      </w:pPr>
      <w:r>
        <w:rPr>
          <w:b/>
        </w:rPr>
        <w:t xml:space="preserve">[9] </w:t>
      </w:r>
      <w:hyperlink r:id="rId80">
        <w:r>
          <w:rPr>
            <w:color w:val="1155CC"/>
            <w:u w:val="single"/>
          </w:rPr>
          <w:t>COF 和 CoO 的主客体协同作用可实现原位氧空位并调节高性能无阳极/少锂金属电池的 Li+ 行为</w:t>
        </w:r>
      </w:hyperlink>
    </w:p>
    <w:p>
      <w:pPr>
        <w:spacing w:before="0" w:after="80"/>
      </w:pPr>
      <w:r>
        <w:rPr>
          <w:i/>
          <w:sz w:val="20"/>
        </w:rPr>
        <w:t>EN: Host–Guest Synergy of COF and CoO Enables In Situ Oxygen Vacancies and Regulated Li+ Behavior for High‐Performance Anode‑Free/Less Li Metal Batteries</w:t>
      </w:r>
    </w:p>
    <w:p>
      <w:pPr>
        <w:spacing w:before="0" w:after="120"/>
      </w:pPr>
      <w:r>
        <w:rPr>
          <w:b/>
        </w:rPr>
        <w:t xml:space="preserve">Source: </w:t>
      </w:r>
      <w:r>
        <w:t>Wiley: Advanced Materials: Table of Contents</w:t>
      </w:r>
      <w:r>
        <w:t xml:space="preserve">    </w:t>
      </w:r>
      <w:r>
        <w:rPr>
          <w:b/>
        </w:rPr>
        <w:t xml:space="preserve">Pub date: </w:t>
      </w:r>
      <w:r>
        <w:t>2026-07-28 11:31:48+00:00</w:t>
      </w:r>
      <w:r>
        <w:t xml:space="preserve">    </w:t>
      </w:r>
      <w:r>
        <w:rPr>
          <w:b/>
        </w:rPr>
        <w:t xml:space="preserve">DOI: </w:t>
      </w:r>
      <w:hyperlink r:id="rId81">
        <w:r>
          <w:rPr>
            <w:color w:val="1155CC"/>
            <w:u w:val="single"/>
          </w:rPr>
          <w:t>10.1002/adma.74373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无阳极锂金属电池（AFLMB）因其高能量密度而成为电动汽车和低空飞机的绝佳候选者。然而，由于锂的可逆性较差，AFMBs的工业化仍然受到限制。</w:t>
      </w:r>
      <w:r>
        <w:t xml:space="preserve"> </w:t>
      </w:r>
      <w:r>
        <w:t>+</w:t>
      </w:r>
      <w:r>
        <w:t xml:space="preserve"> </w:t>
      </w:r>
      <w:r>
        <w:t>Cu 集流体 (CC) 上的沉积和剥离。在这项研究中，构建了一种集成共价有机骨架（COF）膜和CoO纳米颗粒的复合CC（TCMS@Cu）来应对这些挑战。 TCMS@Cu 通过外延生长在铜箔上形成致密的 COF 晶体膜，并掺入亲锂 CoO 纳米颗粒。 COF和CoO之间的主客体协同效应有效引导Li</w:t>
      </w:r>
      <w:r>
        <w:t xml:space="preserve"> </w:t>
      </w:r>
      <w:r>
        <w:t>+</w:t>
      </w:r>
      <w:r>
        <w:t xml:space="preserve"> </w:t>
      </w:r>
      <w:r>
        <w:t>迁移到COF空腔中，有效抑制枝晶形成和非活性锂的积累。在初始沉积过程中，CoO 与 Li 发生反应</w:t>
      </w:r>
      <w:r>
        <w:t xml:space="preserve"> </w:t>
      </w:r>
      <w:r>
        <w:t>+</w:t>
      </w:r>
      <w:r>
        <w:t xml:space="preserve"> </w:t>
      </w:r>
      <w:r>
        <w:t>产生氧空位，进一步增强TCMS膜的性能。用LiFePO组装的无阳极锂金属电池（ALLMB）</w:t>
      </w:r>
      <w:r>
        <w:rPr>
          <w:vertAlign w:val="subscript"/>
        </w:rPr>
        <w:t>4</w:t>
      </w:r>
      <w:r>
        <w:t>正极实现了 850 次循环的优异循环寿命和 5C 下 94.4% 的高倍率容量保持率。组装好的 AFLMB 软包电池可提供 288 Wh kg 的能量密度</w:t>
      </w:r>
      <w:r>
        <w:t xml:space="preserve"> </w:t>
      </w:r>
      <w:r>
        <w:t>−1</w:t>
      </w:r>
      <w:r>
        <w:t xml:space="preserve"> </w:t>
      </w:r>
      <w:r>
        <w:t>(LFP|CC) 和 452 Wh 千克</w:t>
      </w:r>
      <w:r>
        <w:t xml:space="preserve"> </w:t>
      </w:r>
      <w:r>
        <w:t>−1</w:t>
      </w:r>
      <w:r>
        <w:t xml:space="preserve"> </w:t>
      </w:r>
      <w:r>
        <w:t>(NCM811|CC)（没有单元罐和标签的情况下计算）。这项工作为设计高品质产品提供了有效的策略。</w:t>
      </w:r>
    </w:p>
    <w:p>
      <w:pPr>
        <w:spacing w:before="0" w:after="200" w:lineRule="auto" w:line="276"/>
      </w:pPr>
      <w:r>
        <w:rPr>
          <w:b/>
        </w:rPr>
        <w:t xml:space="preserve">Abstract (EN): </w:t>
      </w:r>
      <w:r>
        <w:t>Anode‐free Li metal batteries (AFLMBs) are excellent candidates for electric vehicles and low‐altitude aircrafts because of their high energy density. However, the industrialization of AFLMBs remains limited by the poor reversibility of Li</w:t>
      </w:r>
      <w:r>
        <w:t xml:space="preserve"> </w:t>
      </w:r>
      <w:r>
        <w:t>+</w:t>
      </w:r>
      <w:r>
        <w:t xml:space="preserve"> </w:t>
      </w:r>
      <w:r>
        <w:t>deposition and stripping on Cu current collectors (CCs). In this study, a composite CC (TCMS@Cu) integrating a covalent organic framework (COF) membrane and CoO nanoparticles is constructed to address these challenges. The TCMS@Cu forms a dense COF crystalline membrane on Cu foil via epitaxial growth and incorporates lithiophilic CoO nanoparticles. The host–guest synergistic effect between the COF and CoO effectively guides Li</w:t>
      </w:r>
      <w:r>
        <w:t xml:space="preserve"> </w:t>
      </w:r>
      <w:r>
        <w:t>+</w:t>
      </w:r>
      <w:r>
        <w:t xml:space="preserve"> </w:t>
      </w:r>
      <w:r>
        <w:t>migration into COF cavities, effectively suppressing dendrite formation and the accumulation of inactive Li. During the initial deposition process, CoO reacts with Li</w:t>
      </w:r>
      <w:r>
        <w:t xml:space="preserve"> </w:t>
      </w:r>
      <w:r>
        <w:t>+</w:t>
      </w:r>
      <w:r>
        <w:t xml:space="preserve"> </w:t>
      </w:r>
      <w:r>
        <w:t>to generate oxygen vacancies, further enhancing the performance of the TCMS membrane. The anode‐less Li metal batteries (ALLMBs) assembled with LiFePO</w:t>
      </w:r>
      <w:r>
        <w:rPr>
          <w:vertAlign w:val="subscript"/>
        </w:rPr>
        <w:t>4</w:t>
      </w:r>
      <w:r>
        <w:t>cathode achieve an exceptional cycle life of 850 cycles and a high‐rate capacity retention of 94.4% at 5C. The assembled AFLMB pouch cells deliver energy densities of 288 Wh kg</w:t>
      </w:r>
      <w:r>
        <w:t xml:space="preserve"> </w:t>
      </w:r>
      <w:r>
        <w:t>−1</w:t>
      </w:r>
      <w:r>
        <w:t xml:space="preserve"> </w:t>
      </w:r>
      <w:r>
        <w:t>(LFP|CC) and 452 Wh kg</w:t>
      </w:r>
      <w:r>
        <w:t xml:space="preserve"> </w:t>
      </w:r>
      <w:r>
        <w:t>−1</w:t>
      </w:r>
      <w:r>
        <w:t xml:space="preserve"> </w:t>
      </w:r>
      <w:r>
        <w:t>(NCM811|CC) (calculated without cell can and tabs). This work provides an effective strategy for designing high performance AFLMBs and promotes the development of next‐generation energy storage devices.</w:t>
      </w:r>
    </w:p>
    <w:p>
      <w:pPr>
        <w:spacing w:before="120" w:after="120"/>
      </w:pPr>
      <w:r>
        <w:rPr>
          <w:sz w:val="18"/>
        </w:rPr>
        <w:t>——————————————————————————————————————————————————————————————————————</w:t>
      </w:r>
    </w:p>
    <w:p>
      <w:pPr>
        <w:spacing w:before="160" w:after="40" w:line="240" w:lineRule="auto"/>
      </w:pPr>
      <w:r>
        <w:rPr>
          <w:b/>
        </w:rPr>
        <w:t xml:space="preserve">[10] </w:t>
      </w:r>
      <w:hyperlink r:id="rId82">
        <w:r>
          <w:rPr>
            <w:color w:val="1155CC"/>
            <w:u w:val="single"/>
          </w:rPr>
          <w:t>具有双界面调节的精简溶剂化结构，用于高性能和安全的锂硫电池</w:t>
        </w:r>
      </w:hyperlink>
    </w:p>
    <w:p>
      <w:pPr>
        <w:spacing w:before="0" w:after="80"/>
      </w:pPr>
      <w:r>
        <w:rPr>
          <w:i/>
          <w:sz w:val="20"/>
        </w:rPr>
        <w:t>EN: Slimmed Solvation Structure With Dual‐Interface Regulation for High‐Performance and Safe Lithium‐Sulfur Batteries</w:t>
      </w:r>
    </w:p>
    <w:p>
      <w:pPr>
        <w:spacing w:before="0" w:after="120"/>
      </w:pPr>
      <w:r>
        <w:rPr>
          <w:b/>
        </w:rPr>
        <w:t xml:space="preserve">Source: </w:t>
      </w:r>
      <w:r>
        <w:t>Wiley: Advanced Materials: Table of Contents</w:t>
      </w:r>
      <w:r>
        <w:t xml:space="preserve">    </w:t>
      </w:r>
      <w:r>
        <w:rPr>
          <w:b/>
        </w:rPr>
        <w:t xml:space="preserve">Pub date: </w:t>
      </w:r>
      <w:r>
        <w:t>2026-07-28 12:22:09+00:00</w:t>
      </w:r>
      <w:r>
        <w:t xml:space="preserve">    </w:t>
      </w:r>
      <w:r>
        <w:rPr>
          <w:b/>
        </w:rPr>
        <w:t xml:space="preserve">DOI: </w:t>
      </w:r>
      <w:hyperlink r:id="rId83">
        <w:r>
          <w:rPr>
            <w:color w:val="1155CC"/>
            <w:u w:val="single"/>
          </w:rPr>
          <w:t>10.1002/adma.74357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广泛电化学储能的关键一步是设计将高能量密度与强大安全性结合在一起的锂硫电池（LSB）。实现实用的LSB需要电解质具有高界面稳定性、优异的离子环境调节能力和高电催化活性。尽管当前的电解质技术已经改善了LSB的循环性能，但制备同时提供高能量密度、高循环稳定性和高安全性的电解质仍然是一个重大挑战。在这里，我们报告了一种旨在实现高性能和高安全性 LSB 的电解质设计策略。这主要是通过将对称离子塑料晶体合并到电解质中以构建细化的溶剂化结构（Li</w:t>
      </w:r>
      <w:r>
        <w:t xml:space="preserve"> </w:t>
      </w:r>
      <w:r>
        <w:t>+</w:t>
      </w:r>
      <w:r>
        <w:t xml:space="preserve"> </w:t>
      </w:r>
      <w:r>
        <w:t>）通过抑制阴离子聚集（S</w:t>
      </w:r>
      <w:r>
        <w:t xml:space="preserve"> </w:t>
      </w:r>
      <w:r>
        <w:t>n</w:t>
      </w:r>
      <w:r>
        <w:t xml:space="preserve"> </w:t>
      </w:r>
      <w:r>
        <w:t>2−</w:t>
      </w:r>
      <w:r>
        <w:t>和 TFSI</w:t>
      </w:r>
      <w:r>
        <w:t xml:space="preserve"> </w:t>
      </w:r>
      <w:r>
        <w:t>-</w:t>
      </w:r>
      <w:r>
        <w:t>）放电期间。该电解质具有高离子电导率、低去溶剂化能垒、高电催化活性和界面稳定性。该设计同时作用于阴极和阳极界面，实现LSB的稳定快速循环，具有高能量密度（软包电池：704 Wh kg</w:t>
      </w:r>
      <w:r>
        <w:t xml:space="preserve"> </w:t>
      </w:r>
      <w:r>
        <w:t>−1</w:t>
      </w:r>
      <w:r>
        <w:t xml:space="preserve"> </w:t>
      </w:r>
      <w:r>
        <w:t>）和高稳定性（600次循环后，每个循环的平均容量衰减率为0.018%）。我们的溶剂化结构模型设计提供了一种可行的方法</w:t>
      </w:r>
    </w:p>
    <w:p>
      <w:pPr>
        <w:spacing w:before="0" w:after="200" w:lineRule="auto" w:line="276"/>
      </w:pPr>
      <w:r>
        <w:rPr>
          <w:b/>
        </w:rPr>
        <w:t xml:space="preserve">Abstract (EN): </w:t>
      </w:r>
      <w:r>
        <w:t>A crucial step toward widespread electrochemical energy storage is the design of lithium–sulfur batteries (LSBs) that integrate high energy density with robust safety. Realizing practical LSBs demands an electrolyte that possesses high interfacial stability, excellent ion‐environment regulation capability, and high electrocatalytic activity. Although current electrolyte technologies have improved the cycling performance of LSBs, preparing electrolytes that simultaneously deliver high energy density, high cycling stability, and high safety remains a significant challenge. Here, we report an electrolyte design strategy aimed at achieving high‐performance and high‐safety LSBs. This is primarily accomplished by incorporating symmetric ionic plastic crystals into the electrolyte to construct a slimmed solvation structure (Li</w:t>
      </w:r>
      <w:r>
        <w:t xml:space="preserve"> </w:t>
      </w:r>
      <w:r>
        <w:t>+</w:t>
      </w:r>
      <w:r>
        <w:t xml:space="preserve"> </w:t>
      </w:r>
      <w:r>
        <w:t>) regulated by suppression of anion aggregation (S</w:t>
      </w:r>
      <w:r>
        <w:t xml:space="preserve"> </w:t>
      </w:r>
      <w:r>
        <w:t>n</w:t>
      </w:r>
      <w:r>
        <w:t xml:space="preserve"> </w:t>
      </w:r>
      <w:r>
        <w:t>2−</w:t>
      </w:r>
      <w:r>
        <w:t>and TFSI</w:t>
      </w:r>
      <w:r>
        <w:t xml:space="preserve"> </w:t>
      </w:r>
      <w:r>
        <w:t>−</w:t>
      </w:r>
      <w:r>
        <w:t>) during discharge. The electrolyte exhibits high ionic conductivity, low desolvation energy barrier, high electrocatalytic activity, and interfacial stability. This design acts simultaneously on the cathode and anode interfaces, enabling stable and rapid cycling of LSBs, with high energy density (pouch cell: 704 Wh kg</w:t>
      </w:r>
      <w:r>
        <w:t xml:space="preserve"> </w:t>
      </w:r>
      <w:r>
        <w:t>−1</w:t>
      </w:r>
      <w:r>
        <w:t xml:space="preserve"> </w:t>
      </w:r>
      <w:r>
        <w:t>) and high stability (average capacity decay rate per cycle of 0.018% over 600 cycles). Our solvation structure model design provides a feasible approach for realizing high‐performance and high‐safety LSBs.</w:t>
      </w:r>
    </w:p>
    <w:p>
      <w:pPr>
        <w:spacing w:before="120" w:after="120"/>
      </w:pPr>
      <w:r>
        <w:rPr>
          <w:sz w:val="18"/>
        </w:rPr>
        <w:t>——————————————————————————————————————————————————————————————————————</w:t>
      </w:r>
    </w:p>
    <w:p>
      <w:pPr>
        <w:spacing w:before="160" w:after="40" w:line="240" w:lineRule="auto"/>
      </w:pPr>
      <w:r>
        <w:rPr>
          <w:b/>
        </w:rPr>
        <w:t xml:space="preserve">[11] </w:t>
      </w:r>
      <w:hyperlink r:id="rId84">
        <w:r>
          <w:rPr>
            <w:color w:val="1155CC"/>
            <w:u w:val="single"/>
          </w:rPr>
          <w:t>相变工程为 192 Wh kg−1 钠离子电池提供低应变阴极</w:t>
        </w:r>
      </w:hyperlink>
    </w:p>
    <w:p>
      <w:pPr>
        <w:spacing w:before="0" w:after="80"/>
      </w:pPr>
      <w:r>
        <w:rPr>
          <w:i/>
          <w:sz w:val="20"/>
        </w:rPr>
        <w:t>EN: Phase‐Transition Engineering Enables Low‐Strain Cathodes for 192 Wh kg−1 Sodium‐Ion Batteries</w:t>
      </w:r>
    </w:p>
    <w:p>
      <w:pPr>
        <w:spacing w:before="0" w:after="120"/>
      </w:pPr>
      <w:r>
        <w:rPr>
          <w:b/>
        </w:rPr>
        <w:t xml:space="preserve">Source: </w:t>
      </w:r>
      <w:r>
        <w:t>Wiley: Advanced Materials: Table of Contents</w:t>
      </w:r>
      <w:r>
        <w:t xml:space="preserve">    </w:t>
      </w:r>
      <w:r>
        <w:rPr>
          <w:b/>
        </w:rPr>
        <w:t xml:space="preserve">Pub date: </w:t>
      </w:r>
      <w:r>
        <w:t>2026-07-28 13:25:16+00:00</w:t>
      </w:r>
      <w:r>
        <w:t xml:space="preserve">    </w:t>
      </w:r>
      <w:r>
        <w:rPr>
          <w:b/>
        </w:rPr>
        <w:t xml:space="preserve">DOI: </w:t>
      </w:r>
      <w:hyperlink r:id="rId85">
        <w:r>
          <w:rPr>
            <w:color w:val="1155CC"/>
            <w:u w:val="single"/>
          </w:rPr>
          <w:t>10.1002/adma.74333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钠层状过渡金属（TM）氧化物中的相变通常会引起微应变和TM离子迁移，导致结构降解和循环稳定性差。然而，仍然缺乏优化相变的合理设计方法。这里我们引入相变势（Φ</w:t>
      </w:r>
      <w:r>
        <w:t xml:space="preserve"> </w:t>
      </w:r>
      <w:r>
        <w:t>阶段</w:t>
      </w:r>
      <w:r>
        <w:t xml:space="preserve"> </w:t>
      </w:r>
      <w:r>
        <w:t>）作为预测和控制这些阴极中的相演化的理性描述符。较低的 Φ</w:t>
      </w:r>
      <w:r>
        <w:t xml:space="preserve"> </w:t>
      </w:r>
      <w:r>
        <w:t>阶段</w:t>
      </w:r>
      <w:r>
        <w:t xml:space="preserve"> </w:t>
      </w:r>
      <w:r>
        <w:t>使 Na 更平滑</w:t>
      </w:r>
      <w:r>
        <w:t xml:space="preserve"> </w:t>
      </w:r>
      <w:r>
        <w:t>+</w:t>
      </w:r>
      <w:r>
        <w:t xml:space="preserve"> </w:t>
      </w:r>
      <w:r>
        <w:t>钠提取过程中的迁移和较慢的板滑动，从而促进连续的相变而不是突然的相变。在这个概念的指导下，我们设计了一种钙取代的层状氧化物，Na</w:t>
      </w:r>
      <w:r>
        <w:t xml:space="preserve"> </w:t>
      </w:r>
      <w:r>
        <w:t>0.96</w:t>
      </w:r>
      <w:r>
        <w:t xml:space="preserve"> </w:t>
      </w:r>
      <w:r>
        <w:t>钙</w:t>
      </w:r>
      <w:r>
        <w:t xml:space="preserve"> </w:t>
      </w:r>
      <w:r>
        <w:t>0.02</w:t>
      </w:r>
      <w:r>
        <w:t xml:space="preserve"> </w:t>
      </w:r>
      <w:r>
        <w:t>镍</w:t>
      </w:r>
      <w:r>
        <w:t xml:space="preserve"> </w:t>
      </w:r>
      <w:r>
        <w:t>0.33</w:t>
      </w:r>
      <w:r>
        <w:t xml:space="preserve"> </w:t>
      </w:r>
      <w:r>
        <w:t>铁</w:t>
      </w:r>
      <w:r>
        <w:t xml:space="preserve"> </w:t>
      </w:r>
      <w:r>
        <w:t>0.33</w:t>
      </w:r>
      <w:r>
        <w:t xml:space="preserve"> </w:t>
      </w:r>
      <w:r>
        <w:t>锰</w:t>
      </w:r>
      <w:r>
        <w:t xml:space="preserve"> </w:t>
      </w:r>
      <w:r>
        <w:t>0.33</w:t>
      </w:r>
      <w:r>
        <w:t xml:space="preserve"> </w:t>
      </w:r>
      <w:r>
        <w:t>氧</w:t>
      </w:r>
      <w:r>
        <w:rPr>
          <w:vertAlign w:val="subscript"/>
        </w:rPr>
        <w:t>2</w:t>
      </w:r>
      <w:r>
        <w:t>(NCNFMO)，比容量为 140 mAh g</w:t>
      </w:r>
      <w:r>
        <w:t xml:space="preserve"> </w:t>
      </w:r>
      <w:r>
        <w:t>−1</w:t>
      </w:r>
      <w:r>
        <w:t xml:space="preserve"> </w:t>
      </w:r>
      <w:r>
        <w:t>在 0.1 C 下，在 1 C 下循环 500 次后保留了 84.2% 的初始容量，而 NaNi 仅保留了 26.4%</w:t>
      </w:r>
      <w:r>
        <w:t xml:space="preserve"> </w:t>
      </w:r>
      <w:r>
        <w:t>0.33</w:t>
      </w:r>
      <w:r>
        <w:t xml:space="preserve"> </w:t>
      </w:r>
      <w:r>
        <w:t>铁</w:t>
      </w:r>
      <w:r>
        <w:t xml:space="preserve"> </w:t>
      </w:r>
      <w:r>
        <w:t>0.33</w:t>
      </w:r>
      <w:r>
        <w:t xml:space="preserve"> </w:t>
      </w:r>
      <w:r>
        <w:t>锰</w:t>
      </w:r>
      <w:r>
        <w:t xml:space="preserve"> </w:t>
      </w:r>
      <w:r>
        <w:t>0.33</w:t>
      </w:r>
      <w:r>
        <w:t xml:space="preserve"> </w:t>
      </w:r>
      <w:r>
        <w:t>氧</w:t>
      </w:r>
      <w:r>
        <w:rPr>
          <w:vertAlign w:val="subscript"/>
        </w:rPr>
        <w:t>2</w:t>
      </w:r>
      <w:r>
        <w:t>。</w:t>
      </w:r>
    </w:p>
    <w:p>
      <w:pPr>
        <w:spacing w:before="0" w:after="200" w:lineRule="auto" w:line="276"/>
      </w:pPr>
      <w:r>
        <w:rPr>
          <w:b/>
        </w:rPr>
        <w:t xml:space="preserve">Abstract (EN): </w:t>
      </w:r>
      <w:r>
        <w:t>Phase transitions in sodium layered transition metal (TM) oxides often induce microstrain and TM ion migration, leading to structural degradation and poor cycling stability. However, a rational design approach for optimizing phase transitions is still lacking. Here we introduce phase transition potential (Φ</w:t>
      </w:r>
      <w:r>
        <w:t xml:space="preserve"> </w:t>
      </w:r>
      <w:r>
        <w:t>phase</w:t>
      </w:r>
      <w:r>
        <w:t xml:space="preserve"> </w:t>
      </w:r>
      <w:r>
        <w:t>) as a rational descriptor to predict and control phase evolution in these cathodes. A lower Φ</w:t>
      </w:r>
      <w:r>
        <w:t xml:space="preserve"> </w:t>
      </w:r>
      <w:r>
        <w:t>phase</w:t>
      </w:r>
      <w:r>
        <w:t xml:space="preserve"> </w:t>
      </w:r>
      <w:r>
        <w:t>enables smoother Na</w:t>
      </w:r>
      <w:r>
        <w:t xml:space="preserve"> </w:t>
      </w:r>
      <w:r>
        <w:t>+</w:t>
      </w:r>
      <w:r>
        <w:t xml:space="preserve"> </w:t>
      </w:r>
      <w:r>
        <w:t>migration and slower slab sliding during Na extraction, thereby facilitating a continuous phase transformation rather than abrupt phase changes. Guided by this concept, we design a calcium‐substituted layered oxide, Na</w:t>
      </w:r>
      <w:r>
        <w:t xml:space="preserve"> </w:t>
      </w:r>
      <w:r>
        <w:t>0.96</w:t>
      </w:r>
      <w:r>
        <w:t xml:space="preserve"> </w:t>
      </w:r>
      <w:r>
        <w:t>Ca</w:t>
      </w:r>
      <w:r>
        <w:t xml:space="preserve"> </w:t>
      </w:r>
      <w:r>
        <w:t>0.02</w:t>
      </w:r>
      <w:r>
        <w:t xml:space="preserve"> </w:t>
      </w:r>
      <w:r>
        <w:t>Ni</w:t>
      </w:r>
      <w:r>
        <w:t xml:space="preserve"> </w:t>
      </w:r>
      <w:r>
        <w:t>0.33</w:t>
      </w:r>
      <w:r>
        <w:t xml:space="preserve"> </w:t>
      </w:r>
      <w:r>
        <w:t>Fe</w:t>
      </w:r>
      <w:r>
        <w:t xml:space="preserve"> </w:t>
      </w:r>
      <w:r>
        <w:t>0.33</w:t>
      </w:r>
      <w:r>
        <w:t xml:space="preserve"> </w:t>
      </w:r>
      <w:r>
        <w:t>Mn</w:t>
      </w:r>
      <w:r>
        <w:t xml:space="preserve"> </w:t>
      </w:r>
      <w:r>
        <w:t>0.33</w:t>
      </w:r>
      <w:r>
        <w:t xml:space="preserve"> </w:t>
      </w:r>
      <w:r>
        <w:t>O</w:t>
      </w:r>
      <w:r>
        <w:rPr>
          <w:vertAlign w:val="subscript"/>
        </w:rPr>
        <w:t>2</w:t>
      </w:r>
      <w:r>
        <w:t>(NCNFMO), which delivers a specific capacity of 140 mAh g</w:t>
      </w:r>
      <w:r>
        <w:t xml:space="preserve"> </w:t>
      </w:r>
      <w:r>
        <w:t>−1</w:t>
      </w:r>
      <w:r>
        <w:t xml:space="preserve"> </w:t>
      </w:r>
      <w:r>
        <w:t>at 0.1 C and retains 84.2% of its initial capacity after 500 cycles at 1 C, compared to only 26.4% retention for NaNi</w:t>
      </w:r>
      <w:r>
        <w:t xml:space="preserve"> </w:t>
      </w:r>
      <w:r>
        <w:t>0.33</w:t>
      </w:r>
      <w:r>
        <w:t xml:space="preserve"> </w:t>
      </w:r>
      <w:r>
        <w:t>Fe</w:t>
      </w:r>
      <w:r>
        <w:t xml:space="preserve"> </w:t>
      </w:r>
      <w:r>
        <w:t>0.33</w:t>
      </w:r>
      <w:r>
        <w:t xml:space="preserve"> </w:t>
      </w:r>
      <w:r>
        <w:t>Mn</w:t>
      </w:r>
      <w:r>
        <w:t xml:space="preserve"> </w:t>
      </w:r>
      <w:r>
        <w:t>0.33</w:t>
      </w:r>
      <w:r>
        <w:t xml:space="preserve"> </w:t>
      </w:r>
      <w:r>
        <w:t>O</w:t>
      </w:r>
      <w:r>
        <w:rPr>
          <w:vertAlign w:val="subscript"/>
        </w:rPr>
        <w:t>2</w:t>
      </w:r>
      <w:r>
        <w:t>. Moreover, the NCNFMO||Al@C full cell maintains a high‐capacity retention of 82.5% after 100 cycles, and 6.1 Ah full cell demonstrates an energy density of 192 Wh kg</w:t>
      </w:r>
      <w:r>
        <w:t xml:space="preserve"> </w:t>
      </w:r>
      <w:r>
        <w:t>−1</w:t>
      </w:r>
      <w:r>
        <w:t xml:space="preserve"> </w:t>
      </w:r>
      <w:r>
        <w:t>entire cell</w:t>
      </w:r>
      <w:r>
        <w:t xml:space="preserve"> </w:t>
      </w:r>
      <w:r>
        <w:t>. These findings offer fundamental insights into phase behavior‐induced microstrain and a promising path toward high‐energy, long‐life sodium‐ion batteries.</w:t>
      </w:r>
    </w:p>
    <w:p>
      <w:pPr>
        <w:spacing w:before="120" w:after="120"/>
      </w:pPr>
      <w:r>
        <w:rPr>
          <w:sz w:val="18"/>
        </w:rPr>
        <w:t>——————————————————————————————————————————————————————————————————————</w:t>
      </w:r>
    </w:p>
    <w:p>
      <w:pPr>
        <w:spacing w:before="160" w:after="40" w:line="240" w:lineRule="auto"/>
      </w:pPr>
      <w:r>
        <w:rPr>
          <w:b/>
        </w:rPr>
        <w:t xml:space="preserve">[12] </w:t>
      </w:r>
      <w:hyperlink r:id="rId86">
        <w:r>
          <w:rPr>
            <w:color w:val="1155CC"/>
            <w:u w:val="single"/>
          </w:rPr>
          <w:t>聚三苯胺的分子工程：用于高压、超快、稳定钠离子电池的氟化阴极</w:t>
        </w:r>
      </w:hyperlink>
    </w:p>
    <w:p>
      <w:pPr>
        <w:spacing w:before="0" w:after="80"/>
      </w:pPr>
      <w:r>
        <w:rPr>
          <w:i/>
          <w:sz w:val="20"/>
        </w:rPr>
        <w:t>EN: Molecular Engineering of Polytriphenylamine: A Fluorinated Cathode for High‐Voltage, Ultrafast, and Stable Sodium‐Ion Batteries</w:t>
      </w:r>
    </w:p>
    <w:p>
      <w:pPr>
        <w:spacing w:before="0" w:after="120"/>
      </w:pPr>
      <w:r>
        <w:rPr>
          <w:b/>
        </w:rPr>
        <w:t xml:space="preserve">Source: </w:t>
      </w:r>
      <w:r>
        <w:t>Wiley: Advanced Energy Materials: Table of Contents</w:t>
      </w:r>
      <w:r>
        <w:t xml:space="preserve">    </w:t>
      </w:r>
      <w:r>
        <w:rPr>
          <w:b/>
        </w:rPr>
        <w:t xml:space="preserve">Pub date: </w:t>
      </w:r>
      <w:r>
        <w:t>2026-07-29 05:59:47+00:00</w:t>
      </w:r>
      <w:r>
        <w:t xml:space="preserve">    </w:t>
      </w:r>
      <w:r>
        <w:rPr>
          <w:b/>
        </w:rPr>
        <w:t xml:space="preserve">DOI: </w:t>
      </w:r>
      <w:hyperlink r:id="rId87">
        <w:r>
          <w:rPr>
            <w:color w:val="1155CC"/>
            <w:u w:val="single"/>
          </w:rPr>
          <w:t>10.1002/aenm.71367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电极因其可调节的分子结构、成本效益以及使用地球丰富的元素而成为可持续电池材料的有希望的候选者。然而，有机阴极的工作电压通常仍低于无机阴极的工作电压。在此，我们提出了一种分子设计策略，通过氟化聚三苯胺（PTPA）来提高氮基共轭聚合物的氧化还原电位。利用这种方法，开发了一种新型共轭聚合物聚（五氟苯基）二苯胺（PFTPA）作为钠离子电池（SIB）的高压p型阴极材料。五氟苯基 (PFP​​) 基团的引入可调节电子结构并最大限度地减少氧化还原反应过程中的结构重组，从而实现快速、可逆的阴离子存储。因此，PFTPA 正极的比容量为 77 mAh g</w:t>
      </w:r>
      <w:r>
        <w:t xml:space="preserve"> </w:t>
      </w:r>
      <w:r>
        <w:t>−1</w:t>
      </w:r>
      <w:r>
        <w:t xml:space="preserve"> </w:t>
      </w:r>
      <w:r>
        <w:t>1C 时，相对于 Na/Na，平均放电电压高达 3.75 V</w:t>
      </w:r>
      <w:r>
        <w:t xml:space="preserve"> </w:t>
      </w:r>
      <w:r>
        <w:t>+</w:t>
      </w:r>
      <w:r>
        <w:t xml:space="preserve"> </w:t>
      </w:r>
      <w:r>
        <w:t>以及出色的倍率性能，即使在 200 C 的超高倍率下仍能保持 60.5% 的容量。此外，该聚合物表现出出色的循环稳定性，在 10 C 下保持稳定运行超过 10,000 次循环。由于高电压、快速动力学和长循环寿命的结合，PFTPA 代表了一种用于高性能和可持续 SIB 的有前途的氧化还原活性聚合物。</w:t>
      </w:r>
    </w:p>
    <w:p>
      <w:pPr>
        <w:spacing w:before="0" w:after="200" w:lineRule="auto" w:line="276"/>
      </w:pPr>
      <w:r>
        <w:rPr>
          <w:b/>
        </w:rPr>
        <w:t xml:space="preserve">Abstract (EN): </w:t>
      </w:r>
      <w:r>
        <w:t>Organic electrodes are promising candidates for sustainable battery materials owing to their tunable molecular structures, cost‐effectiveness, and use of earth‐abundant elements. However, the operating voltage of organic cathodes generally remains lower than that of their inorganic counterparts. Herein, we propose a molecular design strategy to increase the redox potential of nitrogen‐based conjugated polymers by fluorinating poly(triphenylamine) (PTPA). Using this approach, a new conjugated polymer, poly(pentafluorophenyl)diphenylamine (PFTPA), is developed as a high‐voltage p‐type cathode material for sodium‐ion batteries (SIBs). The introduction of pentafluorophenyl (PFP) groups modulates the electronic structure and minimizes structural reorganization during redox reactions, enabling fast and reversible anion storage. As a result, the PFTPA cathode delivers a specific capacity of 77 mAh g</w:t>
      </w:r>
      <w:r>
        <w:t xml:space="preserve"> </w:t>
      </w:r>
      <w:r>
        <w:t>−1</w:t>
      </w:r>
      <w:r>
        <w:t xml:space="preserve"> </w:t>
      </w:r>
      <w:r>
        <w:t>at 1C with a high average discharge voltage of 3.75 V vs. Na/Na</w:t>
      </w:r>
      <w:r>
        <w:t xml:space="preserve"> </w:t>
      </w:r>
      <w:r>
        <w:t>+</w:t>
      </w:r>
      <w:r>
        <w:t xml:space="preserve"> </w:t>
      </w:r>
      <w:r>
        <w:t>as well as excellent rate capability, retaining 60.5% of its capacity even at an ultrahigh rate of 200 C. Moreover, the polymer exhibits outstanding cycling stability, maintaining stable operation over 10 000 cycles at 10 C. Owing to the combination of high‐voltage, fast kinetics, and long cycle life, PFTPA represents a promising redox‐active polymer for high‐performance and sustainable SIBs.</w:t>
      </w:r>
    </w:p>
    <w:p>
      <w:pPr>
        <w:spacing w:before="120" w:after="120"/>
      </w:pPr>
      <w:r>
        <w:rPr>
          <w:sz w:val="18"/>
        </w:rPr>
        <w:t>——————————————————————————————————————————————————————————————————————</w:t>
      </w:r>
    </w:p>
    <w:p>
      <w:pPr>
        <w:spacing w:before="160" w:after="40" w:line="240" w:lineRule="auto"/>
      </w:pPr>
      <w:r>
        <w:rPr>
          <w:b/>
        </w:rPr>
        <w:t xml:space="preserve">[13] </w:t>
      </w:r>
      <w:hyperlink r:id="rId88">
        <w:r>
          <w:rPr>
            <w:color w:val="1155CC"/>
            <w:u w:val="single"/>
          </w:rPr>
          <w:t>通过原子编辑第一层壳来调节过渡金属位点的 d 电子态，以加速锂硫电池中的氧化还原动力学</w:t>
        </w:r>
      </w:hyperlink>
    </w:p>
    <w:p>
      <w:pPr>
        <w:spacing w:before="0" w:after="80"/>
      </w:pPr>
      <w:r>
        <w:rPr>
          <w:i/>
          <w:sz w:val="20"/>
        </w:rPr>
        <w:t>EN: Atomic Editing of the First‐Shell to Modulate the d‐Electron State of Transition Metal Sites for Accelerated Redox Kinetics in Lithium−Sulfur Batteries</w:t>
      </w:r>
    </w:p>
    <w:p>
      <w:pPr>
        <w:spacing w:before="0" w:after="120"/>
      </w:pPr>
      <w:r>
        <w:rPr>
          <w:b/>
        </w:rPr>
        <w:t xml:space="preserve">Source: </w:t>
      </w:r>
      <w:r>
        <w:t>Wiley: Advanced Materials: Table of Contents</w:t>
      </w:r>
      <w:r>
        <w:t xml:space="preserve">    </w:t>
      </w:r>
      <w:r>
        <w:rPr>
          <w:b/>
        </w:rPr>
        <w:t xml:space="preserve">Pub date: </w:t>
      </w:r>
      <w:r>
        <w:t>2026-07-29 10:51:13+00:00</w:t>
      </w:r>
      <w:r>
        <w:t xml:space="preserve">    </w:t>
      </w:r>
      <w:r>
        <w:rPr>
          <w:b/>
        </w:rPr>
        <w:t xml:space="preserve">DOI: </w:t>
      </w:r>
      <w:hyperlink r:id="rId89">
        <w:r>
          <w:rPr>
            <w:color w:val="1155CC"/>
            <w:u w:val="single"/>
          </w:rPr>
          <w:t>10.1002/adma.74394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金属大环分子在加速锂硫电池的反应动力学方面表现出巨大的潜力。然而，精确调控金属位点的微环境并增强其内在反应活性仍然具有挑战性。在此，受有机化学中单原子编辑的启发，我们制备了一系列等瓣镍基有机金属大环分子（表示为 Ni−N</w:t>
      </w:r>
      <w:r>
        <w:t xml:space="preserve"> </w:t>
      </w:r>
      <w:r>
        <w:t>x</w:t>
      </w:r>
      <w:r>
        <w:t xml:space="preserve"> </w:t>
      </w:r>
      <w:r>
        <w:t>C</w:t>
      </w:r>
      <w:r>
        <w:t xml:space="preserve"> </w:t>
      </w:r>
      <w:r>
        <w:t>y</w:t>
      </w:r>
      <w:r>
        <w:t xml:space="preserve"> </w:t>
      </w:r>
      <w:r>
        <w:t>）通过在原子水平上调整第一配位壳来优化 Ni 位点的空间构型和 d 轨道状态。原位 X 射线吸收光谱揭示了镍位点的动态演化，而原位拉曼光谱则证明了 Ni−N 的加速硫转化动力学</w:t>
      </w:r>
      <w:r>
        <w:rPr>
          <w:vertAlign w:val="subscript"/>
        </w:rPr>
        <w:t>2</w:t>
      </w:r>
      <w:r>
        <w:t>C</w:t>
      </w:r>
      <w:r>
        <w:rPr>
          <w:vertAlign w:val="subscript"/>
        </w:rPr>
        <w:t>2</w:t>
      </w:r>
      <w:r>
        <w:t>在Li−S电池中。理论计算证实 Ni−N 的几何构型</w:t>
      </w:r>
      <w:r>
        <w:t xml:space="preserve"> </w:t>
      </w:r>
      <w:r>
        <w:t>x</w:t>
      </w:r>
      <w:r>
        <w:t xml:space="preserve"> </w:t>
      </w:r>
      <w:r>
        <w:t>C</w:t>
      </w:r>
      <w:r>
        <w:t xml:space="preserve"> </w:t>
      </w:r>
      <w:r>
        <w:t>y</w:t>
      </w:r>
      <w:r>
        <w:t xml:space="preserve"> </w:t>
      </w:r>
      <w:r>
        <w:t>可以被第一壳层原子调节，当 d</w:t>
      </w:r>
      <w:r>
        <w:t xml:space="preserve"> </w:t>
      </w:r>
      <w:r>
        <w:t>XY</w:t>
      </w:r>
      <w:r>
        <w:t xml:space="preserve"> </w:t>
      </w:r>
      <w:r>
        <w:t>和d</w:t>
      </w:r>
      <w:r>
        <w:t xml:space="preserve"> </w:t>
      </w:r>
      <w:r>
        <w:t>x</w:t>
      </w:r>
      <w:r>
        <w:rPr>
          <w:vertAlign w:val="subscript"/>
        </w:rPr>
        <w:t>2</w:t>
      </w:r>
      <w:r>
        <w:t>-</w:t>
      </w:r>
      <w:r>
        <w:t>y</w:t>
      </w:r>
      <w:r>
        <w:rPr>
          <w:vertAlign w:val="subscript"/>
        </w:rPr>
        <w:t>2</w:t>
      </w:r>
      <w:r>
        <w:t>镍的轨道可以被激活</w:t>
      </w:r>
    </w:p>
    <w:p>
      <w:pPr>
        <w:spacing w:before="0" w:after="200" w:lineRule="auto" w:line="276"/>
      </w:pPr>
      <w:r>
        <w:rPr>
          <w:b/>
        </w:rPr>
        <w:t xml:space="preserve">Abstract (EN): </w:t>
      </w:r>
      <w:r>
        <w:t>Organometallic macrocyclic molecules have shown great potential to accelerate the reaction kinetics in Li−S batteries. However, it is still challenging to precisely tailor the microenvironment of metal sites and enhance its intrinsic reactivity. Herein, inspired by single‐atom editing in organic chemistry, we prepared a series of isolobal nickel‐based organometallic macrocyclic molecules (denoted as Ni−N</w:t>
      </w:r>
      <w:r>
        <w:t xml:space="preserve"> </w:t>
      </w:r>
      <w:r>
        <w:t>x</w:t>
      </w:r>
      <w:r>
        <w:t xml:space="preserve"> </w:t>
      </w:r>
      <w:r>
        <w:t>C</w:t>
      </w:r>
      <w:r>
        <w:t xml:space="preserve"> </w:t>
      </w:r>
      <w:r>
        <w:t>y</w:t>
      </w:r>
      <w:r>
        <w:t xml:space="preserve"> </w:t>
      </w:r>
      <w:r>
        <w:t>) to optimize the steric configuration and d‐orbital states of Ni sites by tuning the first coordination shell at atom‐level. In situ x‐ray absorption spectroscopy revealed the dynamic evolution of nickel sites, while in situ Raman spectra demonstrated the accelerated sulfur conversion kinetics for Ni−N</w:t>
      </w:r>
      <w:r>
        <w:rPr>
          <w:vertAlign w:val="subscript"/>
        </w:rPr>
        <w:t>2</w:t>
      </w:r>
      <w:r>
        <w:t>C</w:t>
      </w:r>
      <w:r>
        <w:rPr>
          <w:vertAlign w:val="subscript"/>
        </w:rPr>
        <w:t>2</w:t>
      </w:r>
      <w:r>
        <w:t>in Li−S batteries. Theoretical calculations confirmed that the geometric configuration of Ni−N</w:t>
      </w:r>
      <w:r>
        <w:t xml:space="preserve"> </w:t>
      </w:r>
      <w:r>
        <w:t>x</w:t>
      </w:r>
      <w:r>
        <w:t xml:space="preserve"> </w:t>
      </w:r>
      <w:r>
        <w:t>C</w:t>
      </w:r>
      <w:r>
        <w:t xml:space="preserve"> </w:t>
      </w:r>
      <w:r>
        <w:t>y</w:t>
      </w:r>
      <w:r>
        <w:t xml:space="preserve"> </w:t>
      </w:r>
      <w:r>
        <w:t>can be modulated by first‐shell atoms, when the d</w:t>
      </w:r>
      <w:r>
        <w:t xml:space="preserve"> </w:t>
      </w:r>
      <w:r>
        <w:t>xy</w:t>
      </w:r>
      <w:r>
        <w:t xml:space="preserve"> </w:t>
      </w:r>
      <w:r>
        <w:t>and d</w:t>
      </w:r>
      <w:r>
        <w:t xml:space="preserve"> </w:t>
      </w:r>
      <w:r>
        <w:t>x</w:t>
      </w:r>
      <w:r>
        <w:rPr>
          <w:vertAlign w:val="subscript"/>
        </w:rPr>
        <w:t>2</w:t>
      </w:r>
      <w:r>
        <w:t>−</w:t>
      </w:r>
      <w:r>
        <w:t>y</w:t>
      </w:r>
      <w:r>
        <w:rPr>
          <w:vertAlign w:val="subscript"/>
        </w:rPr>
        <w:t>2</w:t>
      </w:r>
      <w:r>
        <w:t>orbitals of nickel can be activated for N</w:t>
      </w:r>
      <w:r>
        <w:rPr>
          <w:vertAlign w:val="subscript"/>
        </w:rPr>
        <w:t>2</w:t>
      </w:r>
      <w:r>
        <w:t>C</w:t>
      </w:r>
      <w:r>
        <w:rPr>
          <w:vertAlign w:val="subscript"/>
        </w:rPr>
        <w:t>2</w:t>
      </w:r>
      <w:r>
        <w:t>‐coordinated Ni site. In addition, the up‐shift of d‐band center for Ni−N</w:t>
      </w:r>
      <w:r>
        <w:rPr>
          <w:vertAlign w:val="subscript"/>
        </w:rPr>
        <w:t>2</w:t>
      </w:r>
      <w:r>
        <w:t>C</w:t>
      </w:r>
      <w:r>
        <w:rPr>
          <w:vertAlign w:val="subscript"/>
        </w:rPr>
        <w:t>2</w:t>
      </w:r>
      <w:r>
        <w:t>further facilitates its hybridization with sulfur species. Consequently, cells with Ni−N</w:t>
      </w:r>
      <w:r>
        <w:rPr>
          <w:vertAlign w:val="subscript"/>
        </w:rPr>
        <w:t>2</w:t>
      </w:r>
      <w:r>
        <w:t>C</w:t>
      </w:r>
      <w:r>
        <w:rPr>
          <w:vertAlign w:val="subscript"/>
        </w:rPr>
        <w:t>2</w:t>
      </w:r>
      <w:r>
        <w:t>deliver 1277 mA h g</w:t>
      </w:r>
      <w:r>
        <w:t xml:space="preserve"> </w:t>
      </w:r>
      <w:r>
        <w:t>−1</w:t>
      </w:r>
      <w:r>
        <w:t xml:space="preserve"> </w:t>
      </w:r>
      <w:r>
        <w:t>at 0.5 C, while showing a decay rate of 0.04% at 2 C. Furthermore, an Ah‐level pouch cell with energy density of 393 W h kg</w:t>
      </w:r>
      <w:r>
        <w:t xml:space="preserve"> </w:t>
      </w:r>
      <w:r>
        <w:t>−1</w:t>
      </w:r>
      <w:r>
        <w:t xml:space="preserve"> </w:t>
      </w:r>
      <w:r>
        <w:t>can be achieved based on the total mass of cell. This work provides mechanistic insights into the microenvironment regulation of single‐metal‐site and structure–activity relationships in Li−S batteries.</w:t>
      </w:r>
    </w:p>
    <w:p>
      <w:pPr>
        <w:spacing w:before="120" w:after="120"/>
      </w:pPr>
      <w:r>
        <w:rPr>
          <w:sz w:val="18"/>
        </w:rPr>
        <w:t>——————————————————————————————————————————————————————————————————————</w:t>
      </w:r>
    </w:p>
    <w:p>
      <w:pPr>
        <w:spacing w:before="160" w:after="40" w:line="240" w:lineRule="auto"/>
      </w:pPr>
      <w:r>
        <w:rPr>
          <w:b/>
        </w:rPr>
        <w:t xml:space="preserve">[14] </w:t>
      </w:r>
      <w:hyperlink r:id="rId90">
        <w:r>
          <w:rPr>
            <w:color w:val="1155CC"/>
            <w:u w:val="single"/>
          </w:rPr>
          <w:t>从筛选到位点控制：植酸介导的 M-N 配位 P 调节以平衡 Zn-I2 电池中的碘吸附和稳定性</w:t>
        </w:r>
      </w:hyperlink>
    </w:p>
    <w:p>
      <w:pPr>
        <w:spacing w:before="0" w:after="80"/>
      </w:pPr>
      <w:r>
        <w:rPr>
          <w:i/>
          <w:sz w:val="20"/>
        </w:rPr>
        <w:t>EN: From Screening to Site Control: Phytic-Acid Mediated P-Tuning of M–N Coordination to Balance Iodine Adsorption and Stability in Zn–I2 Batteries</w:t>
      </w:r>
    </w:p>
    <w:p>
      <w:pPr>
        <w:spacing w:before="0" w:after="120"/>
      </w:pPr>
      <w:r>
        <w:rPr>
          <w:b/>
        </w:rPr>
        <w:t xml:space="preserve">Source: </w:t>
      </w:r>
      <w:r>
        <w:t>Nano-Micro Letters</w:t>
      </w:r>
      <w:r>
        <w:t xml:space="preserve">    </w:t>
      </w:r>
      <w:r>
        <w:rPr>
          <w:b/>
        </w:rPr>
        <w:t xml:space="preserve">Pub date: </w:t>
      </w:r>
      <w:r>
        <w:t>2026-07-30 00:00:00+00:00</w:t>
      </w:r>
      <w:r>
        <w:t xml:space="preserve">    </w:t>
      </w:r>
      <w:r>
        <w:rPr>
          <w:b/>
        </w:rPr>
        <w:t xml:space="preserve">DOI: </w:t>
      </w:r>
      <w:hyperlink r:id="rId91">
        <w:r>
          <w:rPr>
            <w:color w:val="1155CC"/>
            <w:u w:val="single"/>
          </w:rPr>
          <w:t>10.1007/s40820-026-02321-6</w:t>
        </w:r>
      </w:hyperlink>
    </w:p>
    <w:p>
      <w:pPr>
        <w:spacing w:before="0" w:after="120"/>
      </w:pPr>
      <w:r>
        <w:rPr>
          <w:b/>
        </w:rPr>
        <w:t xml:space="preserve">Notes: </w:t>
      </w:r>
      <w:r>
        <w:t>abstract_source=rss_description</w:t>
      </w:r>
    </w:p>
    <w:p>
      <w:pPr>
        <w:spacing w:before="0" w:after="80" w:lineRule="auto" w:line="276"/>
      </w:pPr>
      <w:r>
        <w:rPr>
          <w:b/>
        </w:rPr>
        <w:t xml:space="preserve">摘要（ZH）: </w:t>
      </w:r>
      <w:r>
        <w:t>水性锌碘电池（AZIB）显示出用于电网规模储能的前景，但它们受到多碘化物穿梭、缓慢的碘氧化还原动力学以及不受控制的吸附引起的不可逆活性位点中毒的阻碍。我们对 M1 (M1 = P、S、B) 杂原子掺杂剂进行了全面筛选，P 被认为是实现配位调节、适度吸附的最佳候选，可平衡吸附和催化活性，同时减轻位点中毒。使用植酸作为磷源和蚀刻剂，我们创建了一种通用的原位核壳单原子催化剂（M2-P-CSNC，M2 = Fe，Co，Ni）方法。独特的核壳结构实现了聚碘化物的稳定限制、快速离子传输和活性位点保护，而原位磷掺杂则精确调节了局部电子环境和Fe-Nx活性中心的d带中心。原位表征证实Fe-P-CSNC对聚碘化物具有很强的可逆锚定能力，可以显着加速氧化还原动力学。优化后的 Fe-P-CSNC/I2 在 2 A g−1 的电流密度下循环 20,000 次后几乎没有容量衰减。这项工作的简便的电子调制杂原子掺杂策略为转换型储能系统中的高性能催化剂设计提供了参考。亮点：1 系统性 B/S/P 杂原子筛选确定 P 掺杂是实现配位调节适度碘吸附的最佳策略，解决 Zn-I2 电池中关键的吸附催化不平衡问题。2 通用植酸-a</w:t>
      </w:r>
    </w:p>
    <w:p>
      <w:pPr>
        <w:spacing w:before="0" w:after="200" w:lineRule="auto" w:line="276"/>
      </w:pPr>
      <w:r>
        <w:rPr>
          <w:b/>
        </w:rPr>
        <w:t xml:space="preserve">Abstract (EN): </w:t>
      </w:r>
      <w:r>
        <w:t>Aqueous zinc-iodine batteries (AZIBs) show promise for grid-scale energy storage, but they are hampered by polyiodide shuttling, sluggish iodine redox kinetics, and irreversible active-site poisoning caused by uncontrolled adsorption. We provide a comprehensive screening of M1 (M1 = P, S, B) heteroatom dopants, and P is identified as the best candidate for achieving coordination-tuned, moderate adsorption that balances adsorption and catalytic activity while mitigating site poisoning. Using phytic acid as both the P source and an etchant, we create a universal in situ approach to core–shell single-atom catalysts (M2-P-CSNC, M2 = Fe, Co, Ni). The unique core–shell structure achieves stable confinement of polyiodides, rapid ion transport, and protection of active sites, while in situ P doping precisely regulates the local electronic environment and d-band center of the Fe–Nx active centers. In situ characterization confirms that Fe–P-CSNC has a strong reversible anchoring ability for polyiodides, which can significantly accelerate redox kinetics. The optimized Fe–P-CSNC/I2 exhibits almost no capacity decay after 20,000 cycles at a current density of 2 A g−1. This work’s facile heteroatom doping strategy for electronic modulation offers a reference for high-performance catalyst design in conversion-type energy storage systems. Highlights:1 Systematic B/S/P heteroatom screening identifies P doping as the optimal strategy to realize coordination-tuned moderate iodine adsorption, addressing the critical adsorption-catalysis imbalance in Zn-I2 batteries.2 A universal phytic acid-assisted one-step strategy is developed to fabricate core-shell single-atom catalysts, with synchronous P doping, cavity construction and metal site atomic dispersion.</w:t>
      </w:r>
    </w:p>
    <w:p>
      <w:pPr>
        <w:spacing w:before="120" w:after="120"/>
      </w:pPr>
      <w:r>
        <w:rPr>
          <w:sz w:val="18"/>
        </w:rPr>
        <w:t>——————————————————————————————————————————————————————————————————————</w:t>
      </w:r>
    </w:p>
    <w:p>
      <w:pPr>
        <w:spacing w:before="160" w:after="40" w:line="240" w:lineRule="auto"/>
      </w:pPr>
      <w:r>
        <w:rPr>
          <w:b/>
        </w:rPr>
        <w:t xml:space="preserve">[15] </w:t>
      </w:r>
      <w:hyperlink r:id="rId92">
        <w:r>
          <w:rPr>
            <w:color w:val="1155CC"/>
            <w:u w:val="single"/>
          </w:rPr>
          <w:t>用于高性能锂离子电池正极的氧化还原活性配体稳定的磷酸铁锂纳米粒子，具有高容量和长期稳定性</w:t>
        </w:r>
      </w:hyperlink>
    </w:p>
    <w:p>
      <w:pPr>
        <w:spacing w:before="0" w:after="80"/>
      </w:pPr>
      <w:r>
        <w:rPr>
          <w:i/>
          <w:sz w:val="20"/>
        </w:rPr>
        <w:t>EN: Redox-Active Ligand-Stabilized Lithium Iron Phosphate Nanoparticles for High-Performance Lithium-Ion Battery Cathode with High Capacities and Long-Term Stability</w:t>
      </w:r>
    </w:p>
    <w:p>
      <w:pPr>
        <w:spacing w:before="0" w:after="120"/>
      </w:pPr>
      <w:r>
        <w:rPr>
          <w:b/>
        </w:rPr>
        <w:t xml:space="preserve">Source: </w:t>
      </w:r>
      <w:r>
        <w:t>Nano-Micro Letters</w:t>
      </w:r>
      <w:r>
        <w:t xml:space="preserve">    </w:t>
      </w:r>
      <w:r>
        <w:rPr>
          <w:b/>
        </w:rPr>
        <w:t xml:space="preserve">Pub date: </w:t>
      </w:r>
      <w:r>
        <w:t>2026-07-30 00:00:00+00:00</w:t>
      </w:r>
      <w:r>
        <w:t xml:space="preserve">    </w:t>
      </w:r>
      <w:r>
        <w:rPr>
          <w:b/>
        </w:rPr>
        <w:t xml:space="preserve">DOI: </w:t>
      </w:r>
      <w:hyperlink r:id="rId93">
        <w:r>
          <w:rPr>
            <w:color w:val="1155CC"/>
            <w:u w:val="single"/>
          </w:rPr>
          <w:t>10.1007/s40820-026-02313-6</w:t>
        </w:r>
      </w:hyperlink>
    </w:p>
    <w:p>
      <w:pPr>
        <w:spacing w:before="0" w:after="120"/>
      </w:pPr>
      <w:r>
        <w:rPr>
          <w:b/>
        </w:rPr>
        <w:t xml:space="preserve">Notes: </w:t>
      </w:r>
      <w:r>
        <w:t>abstract_source=rss_description</w:t>
      </w:r>
    </w:p>
    <w:p>
      <w:pPr>
        <w:spacing w:before="0" w:after="80" w:lineRule="auto" w:line="276"/>
      </w:pPr>
      <w:r>
        <w:rPr>
          <w:b/>
        </w:rPr>
        <w:t xml:space="preserve">摘要（ZH）: </w:t>
      </w:r>
      <w:r>
        <w:t>开发同时提供高容量、卓越的倍率性能和长期循环稳定性的正极仍然是锂离子电池的主要挑战。在这里，我们报告了一种高性能纺织阴极，通过界面相互作用介导的高能卟啉（PP）配体稳定的LiFePO4纳米颗粒（LFP NP）组装而成。为此，具有橄榄石型插层机制的 19 nm LFP NP 与胺功能化 PP 共价结合，以实现多电子氧化还原活性，然后用多壁碳纳米管 (MWCNT) 多层封装。随后的热退火将多壁碳纳米管层转变为共价交联的导电网络。因此，织物阴极在~0.1 C下提供了前所未有的~260 mAh g−1的比容量，优异的倍率性能，并且在1 C下2,000次循环后保留了超过93%的初始容量，库仑效率接近100%。这项工作强调了界面相互作用介导的配体组装作为下一代高容量和耐用阴极的强大策略。亮点：1高能卟啉配体稳定的LiFePO4（LFP）纳米颗粒作为正极组件，具有高容量和出色的循环稳定性。2界面相互作用介导的组装有效防止了电解质溶液中卟啉的溶解。3基于高能LFP纳米颗粒的正极的比容量和稳定性超过了传统富镍氧化物和LFP正极。</w:t>
      </w:r>
    </w:p>
    <w:p>
      <w:pPr>
        <w:spacing w:before="0" w:after="200" w:lineRule="auto" w:line="276"/>
      </w:pPr>
      <w:r>
        <w:rPr>
          <w:b/>
        </w:rPr>
        <w:t xml:space="preserve">Abstract (EN): </w:t>
      </w:r>
      <w:r>
        <w:t>Developing cathodes that simultaneously deliver high capacity, superior rate capability, and long-term cycling stability remains a major challenge in lithium-ion batteries. Here, we report a high-performance textile cathode constructed via interfacial interaction-mediated assembly of high-energy porphyrin (PP) ligand-stabilized LiFePO4 nanoparticles (LFP NPs). For this, 19 nm LFP NPs with olivine-type intercalation mechanism were covalently integrated with amine-functionalized PP to enable multi-electron redox activity, followed by encapsulation with multi-walled carbon nanotube (MWCNT) multilayers. Subsequent thermal annealing transformed the MWCNT layers into a covalently cross-linked conductive network. As a result, the textile cathode delivers an unprecedented specific capacity of ~260 mAh g−1 at ~0.1 C, excellent rate capability, and retains over 93% of its initial capacity after 2,000 cycles at 1 C with nearly 100% Coulombic efficiency. This work highlights interfacial interaction-mediated ligand assembly as a powerful strategy for next-generation high-capacity and durable cathodes. Highlights:1 High-energy porphyrin ligand-stabilized LiFePO4 (LFP) nanoparticles act as cathode components delivering high capacity and outstanding cycling stability.2 Interfacial interaction–mediated assembly effectively prevent the dissolution of porphyrin in electrolyte solution.3 The specific capacity and stability of cathodes based on high-energy LFP nanoparticles surpass those of traditional Ni-rich oxide and LFP cathodes.</w:t>
      </w:r>
    </w:p>
    <w:p>
      <w:pPr>
        <w:spacing w:before="120" w:after="120"/>
      </w:pPr>
      <w:r>
        <w:rPr>
          <w:sz w:val="18"/>
        </w:rPr>
        <w:t>——————————————————————————————————————————————————————————————————————</w:t>
      </w:r>
    </w:p>
    <w:p>
      <w:pPr>
        <w:spacing w:before="160" w:after="40" w:line="240" w:lineRule="auto"/>
      </w:pPr>
      <w:r>
        <w:rPr>
          <w:b/>
        </w:rPr>
        <w:t xml:space="preserve">[16] </w:t>
      </w:r>
      <w:hyperlink r:id="rId94">
        <w:r>
          <w:rPr>
            <w:color w:val="1155CC"/>
            <w:u w:val="single"/>
          </w:rPr>
          <w:t>立体电子增材工程实现高压高温锂金属电池的溶剂化调节和双界面稳定</w:t>
        </w:r>
      </w:hyperlink>
    </w:p>
    <w:p>
      <w:pPr>
        <w:spacing w:before="0" w:after="80"/>
      </w:pPr>
      <w:r>
        <w:rPr>
          <w:i/>
          <w:sz w:val="20"/>
        </w:rPr>
        <w:t>EN: Stereoelectronic Additive Engineering Enables Solvation Regulation and Dual‐Interphase Stabilization for High‐Voltage and High‐Temperature Lithium Metal Batteries</w:t>
      </w:r>
    </w:p>
    <w:p>
      <w:pPr>
        <w:spacing w:before="0" w:after="120"/>
      </w:pPr>
      <w:r>
        <w:rPr>
          <w:b/>
        </w:rPr>
        <w:t xml:space="preserve">Source: </w:t>
      </w:r>
      <w:r>
        <w:t>Wiley: Advanced Energy Materials: Table of Contents</w:t>
      </w:r>
      <w:r>
        <w:t xml:space="preserve">    </w:t>
      </w:r>
      <w:r>
        <w:rPr>
          <w:b/>
        </w:rPr>
        <w:t xml:space="preserve">Pub date: </w:t>
      </w:r>
      <w:r>
        <w:t>2026-07-30 05:55:07+00:00</w:t>
      </w:r>
      <w:r>
        <w:t xml:space="preserve">    </w:t>
      </w:r>
      <w:r>
        <w:rPr>
          <w:b/>
        </w:rPr>
        <w:t xml:space="preserve">DOI: </w:t>
      </w:r>
      <w:hyperlink r:id="rId95">
        <w:r>
          <w:rPr>
            <w:color w:val="1155CC"/>
            <w:u w:val="single"/>
          </w:rPr>
          <w:t>10.1002/aenm.71359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高压锂金属电池（LMB）的锂不稳定</w:t>
      </w:r>
      <w:r>
        <w:t xml:space="preserve"> </w:t>
      </w:r>
      <w:r>
        <w:t>+</w:t>
      </w:r>
      <w:r>
        <w:t xml:space="preserve"> </w:t>
      </w:r>
      <w:r>
        <w:t>溶剂化和脆弱的电极/电解质界面，特别是在高温下。在这里，二氟三甲基硅烷基乙酸乙酯（DTAE）被引入作为传统碳酸酯电解质的立体电子工程添加剂来调节Li</w:t>
      </w:r>
      <w:r>
        <w:t xml:space="preserve"> </w:t>
      </w:r>
      <w:r>
        <w:t>+</w:t>
      </w:r>
      <w:r>
        <w:t xml:space="preserve"> </w:t>
      </w:r>
      <w:r>
        <w:t>溶剂化并稳定阴极和阳极界面。 ─Si(CH</w:t>
      </w:r>
      <w:r>
        <w:rPr>
          <w:vertAlign w:val="subscript"/>
        </w:rPr>
        <w:t>3</w:t>
      </w:r>
      <w:r>
        <w:t>）</w:t>
      </w:r>
      <w:r>
        <w:rPr>
          <w:vertAlign w:val="subscript"/>
        </w:rPr>
        <w:t>3</w:t>
      </w:r>
      <w:r>
        <w:t>和─CF</w:t>
      </w:r>
      <w:r>
        <w:rPr>
          <w:vertAlign w:val="subscript"/>
        </w:rPr>
        <w:t>2</w:t>
      </w:r>
      <w:r>
        <w:t>─ 同一碳中心上的基团削弱了Li</w:t>
      </w:r>
      <w:r>
        <w:t xml:space="preserve"> </w:t>
      </w:r>
      <w:r>
        <w:t>+</w:t>
      </w:r>
      <w:r>
        <w:t xml:space="preserve"> </w:t>
      </w:r>
      <w:r>
        <w:t>–羰基配位，促进阴离子参与初级溶剂化鞘，并促进Li</w:t>
      </w:r>
      <w:r>
        <w:t xml:space="preserve"> </w:t>
      </w:r>
      <w:r>
        <w:t>+</w:t>
      </w:r>
      <w:r>
        <w:t xml:space="preserve"> </w:t>
      </w:r>
      <w:r>
        <w:t>去溶剂化。同时，DTAE 清除 HF 并有助于在 LiNi 上形成坚固的 LiF/Si─O 富界面相。</w:t>
      </w:r>
      <w:r>
        <w:t xml:space="preserve"> </w:t>
      </w:r>
      <w:r>
        <w:t>0.8</w:t>
      </w:r>
      <w:r>
        <w:t xml:space="preserve"> </w:t>
      </w:r>
      <w:r>
        <w:t>钴</w:t>
      </w:r>
      <w:r>
        <w:t xml:space="preserve"> </w:t>
      </w:r>
      <w:r>
        <w:t>0.1</w:t>
      </w:r>
      <w:r>
        <w:t xml:space="preserve"> </w:t>
      </w:r>
      <w:r>
        <w:t>锰</w:t>
      </w:r>
      <w:r>
        <w:t xml:space="preserve"> </w:t>
      </w:r>
      <w:r>
        <w:t>0.1</w:t>
      </w:r>
      <w:r>
        <w:t xml:space="preserve"> </w:t>
      </w:r>
      <w:r>
        <w:t>氧</w:t>
      </w:r>
      <w:r>
        <w:rPr>
          <w:vertAlign w:val="subscript"/>
        </w:rPr>
        <w:t>2</w:t>
      </w:r>
      <w:r>
        <w:t>（NCM811）阴极和锂金属阳极。结果，过渡金属溶解、阴极表面降解和异质锂沉积得到有效抑制，从而改善了恶劣条件下的界面动力学和电化学稳定性。 Li||NCM811 电池在 4.6 V 和 82.32% 下循环 330 次后容量保持率达到 82.91%</w:t>
      </w:r>
    </w:p>
    <w:p>
      <w:pPr>
        <w:spacing w:before="0" w:after="200" w:lineRule="auto" w:line="276"/>
      </w:pPr>
      <w:r>
        <w:rPr>
          <w:b/>
        </w:rPr>
        <w:t xml:space="preserve">Abstract (EN): </w:t>
      </w:r>
      <w:r>
        <w:t>High‐voltage lithium metal batteries (LMBs) suffer from unstable Li</w:t>
      </w:r>
      <w:r>
        <w:t xml:space="preserve"> </w:t>
      </w:r>
      <w:r>
        <w:t>+</w:t>
      </w:r>
      <w:r>
        <w:t xml:space="preserve"> </w:t>
      </w:r>
      <w:r>
        <w:t>solvation and fragile electrode/electrolyte interphases, especially at elevated temperatures. Here, difluorotrimethylsilanylacetic acid ethyl ester (DTAE) is introduced as a stereoelectronically engineered additive for conventional carbonate electrolytes to regulate Li</w:t>
      </w:r>
      <w:r>
        <w:t xml:space="preserve"> </w:t>
      </w:r>
      <w:r>
        <w:t>+</w:t>
      </w:r>
      <w:r>
        <w:t xml:space="preserve"> </w:t>
      </w:r>
      <w:r>
        <w:t>solvation and stabilize both cathode and anode interphases. The push–pull effect of the ─Si(CH</w:t>
      </w:r>
      <w:r>
        <w:rPr>
          <w:vertAlign w:val="subscript"/>
        </w:rPr>
        <w:t>3</w:t>
      </w:r>
      <w:r>
        <w:t>)</w:t>
      </w:r>
      <w:r>
        <w:rPr>
          <w:vertAlign w:val="subscript"/>
        </w:rPr>
        <w:t>3</w:t>
      </w:r>
      <w:r>
        <w:t>and ─CF</w:t>
      </w:r>
      <w:r>
        <w:rPr>
          <w:vertAlign w:val="subscript"/>
        </w:rPr>
        <w:t>2</w:t>
      </w:r>
      <w:r>
        <w:t>─ groups on the same carbon center weakens Li</w:t>
      </w:r>
      <w:r>
        <w:t xml:space="preserve"> </w:t>
      </w:r>
      <w:r>
        <w:t>+</w:t>
      </w:r>
      <w:r>
        <w:t xml:space="preserve"> </w:t>
      </w:r>
      <w:r>
        <w:t>–carbonyl coordination, promotes anion involvement in the primary solvation sheath, and facilitates Li</w:t>
      </w:r>
      <w:r>
        <w:t xml:space="preserve"> </w:t>
      </w:r>
      <w:r>
        <w:t>+</w:t>
      </w:r>
      <w:r>
        <w:t xml:space="preserve"> </w:t>
      </w:r>
      <w:r>
        <w:t>desolvation. Meanwhile, DTAE scavenges HF and contributes to the formation of robust LiF/Si─O‐rich interphases on both the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(NCM811) cathode and Li metal anode. As a result, transition‐metal dissolution, cathode surface degradation, and heterogeneous lithium deposition are effectively suppressed, leading to improved interfacial kinetics and electrochemical stability under harsh conditions. Li||NCM811 cells achieve 82.91% capacity retention after 330 cycles at 4.6 V and 82.32% after 250 cycles at 60°C and 4.5 V. In addition, a 5 Ah pouch cell with an energy density of 415 Wh kg</w:t>
      </w:r>
      <w:r>
        <w:t xml:space="preserve"> </w:t>
      </w:r>
      <w:r>
        <w:t>−1</w:t>
      </w:r>
      <w:r>
        <w:t xml:space="preserve"> </w:t>
      </w:r>
      <w:r>
        <w:t>retains 83.40% of its initial capacity after 100 cycles at 4.6 V. This work highlights stereoelectronic additive engineering as an effective strategy to couple solvation regulation with dual‐interphase stabilization for practical high‐energy LMBs.</w:t>
      </w:r>
    </w:p>
    <w:p>
      <w:pPr>
        <w:spacing w:before="120" w:after="120"/>
      </w:pPr>
      <w:r>
        <w:rPr>
          <w:sz w:val="18"/>
        </w:rPr>
        <w:t>——————————————————————————————————————————————————————————————————————</w:t>
      </w:r>
    </w:p>
    <w:p>
      <w:pPr>
        <w:spacing w:before="160" w:after="40" w:line="240" w:lineRule="auto"/>
      </w:pPr>
      <w:r>
        <w:rPr>
          <w:b/>
        </w:rPr>
        <w:t xml:space="preserve">[17] </w:t>
      </w:r>
      <w:hyperlink r:id="rId96">
        <w:r>
          <w:rPr>
            <w:color w:val="1155CC"/>
            <w:u w:val="single"/>
          </w:rPr>
          <w:t>通过内部锂离子转移实现 SOC 失配驱动的颗粒间同步：富镍复合阴极中未被识别的电极紧急降解途径</w:t>
        </w:r>
      </w:hyperlink>
    </w:p>
    <w:p>
      <w:pPr>
        <w:spacing w:before="0" w:after="80"/>
      </w:pPr>
      <w:r>
        <w:rPr>
          <w:i/>
          <w:sz w:val="20"/>
        </w:rPr>
        <w:t>EN: SOC Mismatch–Driven Inter‐Particle Synchronization via Internal Li‐Ion Transfer: An Unrecognized Electrode‐Emergent Degradation Pathway in Ni‐Rich Composite Cathodes</w:t>
      </w:r>
    </w:p>
    <w:p>
      <w:pPr>
        <w:spacing w:before="0" w:after="120"/>
      </w:pPr>
      <w:r>
        <w:rPr>
          <w:b/>
        </w:rPr>
        <w:t xml:space="preserve">Source: </w:t>
      </w:r>
      <w:r>
        <w:t>Wiley: Advanced Energy Materials: Table of Contents</w:t>
      </w:r>
      <w:r>
        <w:t xml:space="preserve">    </w:t>
      </w:r>
      <w:r>
        <w:rPr>
          <w:b/>
        </w:rPr>
        <w:t xml:space="preserve">Pub date: </w:t>
      </w:r>
      <w:r>
        <w:t>2026-07-30 06:05:45+00:00</w:t>
      </w:r>
      <w:r>
        <w:t xml:space="preserve">    </w:t>
      </w:r>
      <w:r>
        <w:rPr>
          <w:b/>
        </w:rPr>
        <w:t xml:space="preserve">DOI: </w:t>
      </w:r>
      <w:hyperlink r:id="rId97">
        <w:r>
          <w:rPr>
            <w:color w:val="1155CC"/>
            <w:u w:val="single"/>
          </w:rPr>
          <w:t>10.1002/aenm.71377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非均匀反应动力学在锂离子电池（LIB）的复合电极中普遍存在，但它们通常被认为是随着时间的推移而松弛和平均的瞬态动力学效应，而不是长期退化的驱动因素。在这里，使用精心设计的双峰富镍 NCM811 模型系统，该系统包含两个具有相同化学性质但反应动力学不同的颗粒群（多晶和单晶 NCM811），我们在电极整体水平上系统地调整颗粒间动力学失配。我们表明，由此产生的不均匀动力学会产生颗粒间荷电状态（SOC）不匹配，从而产生电化学势梯度，驱动自发的内部锂离子转移——这是复合阴极中电极紧急降解的受控机械示例。尽管这种重新分布使粒子 SOC 在整个系统中同步，但它是通过与更严重的表面退化相关的瞬态内部电流进行的，包括富含有机物的阴极电解质界面 (CEI) 形成和岩盐型表面重建。这些发现表明，集体电极级动力学可以提供超出材料固有过程的额外降解贡献，这表明动力学不匹配的复合阴极的性能衰减可以更好地理解为相互作用的粒子群的自然结果，而不是材料固有故障模式的简单求和。我们的工作强调了明确考虑反应的重要性</w:t>
      </w:r>
    </w:p>
    <w:p>
      <w:pPr>
        <w:spacing w:before="0" w:after="200" w:lineRule="auto" w:line="276"/>
      </w:pPr>
      <w:r>
        <w:rPr>
          <w:b/>
        </w:rPr>
        <w:t xml:space="preserve">Abstract (EN): </w:t>
      </w:r>
      <w:r>
        <w:t>Non‐uniform reaction dynamics are ubiquitous in composite electrodes of lithium‐ion batteries (LIBs), yet they are commonly regarded as transient kinetic effects that relax and average out over time, rather than as drivers of long‐term degradation. Here, using a deliberately designed bimodal Ni‐rich NCM811 model system comprising two particle populations with identical chemistry but distinct reaction kinetics—polycrystalline and single‐crystal NCM811—we systematically tune inter‐particle kinetic mismatch at the electrode‐ensemble level. We show that the resulting non‐uniform dynamics generate inter‐particle state‐of‐charge (SOC) mismatch, creating electrochemical potential gradients that drive spontaneous internal Li‐ion transfer—a controlled mechanistic example of electrode‐emergent degradation in a composite cathode. Although this redistribution synchronizes particle SOC across the ensemble, it proceeds through transient internal currents associated with more severe surface degradation, including organic‐rich cathode–electrolyte interphase (CEI) formation and rock‐salt‐type surface reconstruction. These findings show that collective electrode‐level dynamics can provide an additional degradation contribution beyond material‐intrinsic processes, suggesting that performance decay in kinetically mismatched composite cathodes may be better understood as an emergent consequence of interacting particle populations rather than a simple summation of material‐intrinsic failure modes. Our work highlights the importance of explicitly accounting for reaction heterogeneity and inter‐particle kinetic mismatch in composite electrode design and optimization.</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64">
        <w:r>
          <w:rPr>
            <w:color w:val="1155CC"/>
            <w:u w:val="single"/>
          </w:rPr>
          <w:t>双溶剂超分子组装实现安培小时卤化物全固态软包电池</w:t>
        </w:r>
      </w:hyperlink>
    </w:p>
    <w:p>
      <w:pPr>
        <w:spacing w:before="0" w:after="80"/>
      </w:pPr>
      <w:r>
        <w:rPr>
          <w:i/>
          <w:sz w:val="20"/>
        </w:rPr>
        <w:t>EN: Dual‐Solvent Supramolecular Assembly Enables Ampere‐Hour Halide All‐Solid‐State Pouch Cell</w:t>
      </w:r>
    </w:p>
    <w:p>
      <w:pPr>
        <w:spacing w:before="0" w:after="120"/>
      </w:pPr>
      <w:r>
        <w:rPr>
          <w:b/>
        </w:rPr>
        <w:t xml:space="preserve">Source: </w:t>
      </w:r>
      <w:r>
        <w:t>Wiley: Advanced Materials: Table of Contents</w:t>
      </w:r>
      <w:r>
        <w:t xml:space="preserve">    </w:t>
      </w:r>
      <w:r>
        <w:rPr>
          <w:b/>
        </w:rPr>
        <w:t xml:space="preserve">Pub date: </w:t>
      </w:r>
      <w:r>
        <w:t>2026-07-24 06:44:50+00:00</w:t>
      </w:r>
      <w:r>
        <w:t xml:space="preserve">    </w:t>
      </w:r>
      <w:r>
        <w:rPr>
          <w:b/>
        </w:rPr>
        <w:t xml:space="preserve">DOI: </w:t>
      </w:r>
      <w:hyperlink r:id="rId65">
        <w:r>
          <w:rPr>
            <w:color w:val="1155CC"/>
            <w:u w:val="single"/>
          </w:rPr>
          <w:t>10.1002/adma.74206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卤化物固体电解质（SSE）有望成为下一代全固态电池（ASSB），但通过浆料涂层大规模制造卤化物SSE薄膜和安时级全固态软包电池（ASSPC）尚未得到证实。在这里，我们引入了一种双溶剂超分子组装策略，可以精确调节多嵌段共聚物粘合剂（SEEPS）的链组织，从而实现低粘合剂、高粘度浆料，从而形成均匀的卤化物SSE薄膜。甲基环己烷和癸烷被认为是化学相容的溶剂，可以减少 InCl</w:t>
      </w:r>
      <w:r>
        <w:rPr>
          <w:vertAlign w:val="subscript"/>
        </w:rPr>
        <w:t>3</w:t>
      </w:r>
      <w:r>
        <w:t>Li的地表降水</w:t>
      </w:r>
      <w:r>
        <w:rPr>
          <w:vertAlign w:val="subscript"/>
        </w:rPr>
        <w:t>3</w:t>
      </w:r>
      <w:r>
        <w:t>氯化铟</w:t>
      </w:r>
      <w:r>
        <w:rPr>
          <w:vertAlign w:val="subscript"/>
        </w:rPr>
        <w:t>6</w:t>
      </w:r>
      <w:r>
        <w:t>，保持离子电导率。由此产生的李</w:t>
      </w:r>
      <w:r>
        <w:rPr>
          <w:vertAlign w:val="subscript"/>
        </w:rPr>
        <w:t>3</w:t>
      </w:r>
      <w:r>
        <w:t>氯化铟</w:t>
      </w:r>
      <w:r>
        <w:rPr>
          <w:vertAlign w:val="subscript"/>
        </w:rPr>
        <w:t>6</w:t>
      </w:r>
      <w:r>
        <w:t>/李</w:t>
      </w:r>
      <w:r>
        <w:t xml:space="preserve"> </w:t>
      </w:r>
      <w:r>
        <w:t>6−</w:t>
      </w:r>
      <w:r>
        <w:t xml:space="preserve"> </w:t>
      </w:r>
      <w:r>
        <w:t>x</w:t>
      </w:r>
      <w:r>
        <w:t xml:space="preserve"> </w:t>
      </w:r>
      <w:r>
        <w:t>聚苯乙烯</w:t>
      </w:r>
      <w:r>
        <w:t xml:space="preserve"> </w:t>
      </w:r>
      <w:r>
        <w:t>5−</w:t>
      </w:r>
      <w:r>
        <w:t xml:space="preserve"> </w:t>
      </w:r>
      <w:r>
        <w:t>x</w:t>
      </w:r>
      <w:r>
        <w:t xml:space="preserve"> </w:t>
      </w:r>
      <w:r>
        <w:t>氯</w:t>
      </w:r>
      <w:r>
        <w:t xml:space="preserve"> </w:t>
      </w:r>
      <w:r>
        <w:t>1+</w:t>
      </w:r>
      <w:r>
        <w:t xml:space="preserve"> </w:t>
      </w:r>
      <w:r>
        <w:t>x</w:t>
      </w:r>
      <w:r>
        <w:t xml:space="preserve"> </w:t>
      </w:r>
      <w:r>
        <w:t>双层 SSE 薄膜具有高离子电导率 (1.26 mS/cm)、机械鲁棒性和电化学稳定性。使用 NCM88 阴极和微硅阳极的 ASSB 在 0.5 C 下循环 600 次后仍保留 71.3% 的容量，而首款十层安培小时级卤化物 ASSPC 在 0.2 C 下提供 1.45 Ah 容量，容量保留率为 95.1%</w:t>
      </w:r>
    </w:p>
    <w:p>
      <w:pPr>
        <w:spacing w:before="0" w:after="200" w:lineRule="auto" w:line="276"/>
      </w:pPr>
      <w:r>
        <w:rPr>
          <w:b/>
        </w:rPr>
        <w:t xml:space="preserve">Abstract (EN): </w:t>
      </w:r>
      <w:r>
        <w:t>Halide solid electrolytes (SSEs) hold promise for next‐generation all‐solid‐state batteries (ASSBs), yet scalable fabrication of halide SSE films and ampere‐hour‐scale all‐solid‐state pouch cells (ASSPCs) via slurry coating has not been demonstrated. Here, we introduce a dual‐solvent supramolecular assembly strategy that precisely regulates the chain organization of a multiblock copolymer binder (SEEPS), enabling low‐binder, high‐viscosity slurries for uniform halide SSE film formation. Methylcyclohexane and decane are identified as chemically compatible solvents that diminish InCl</w:t>
      </w:r>
      <w:r>
        <w:rPr>
          <w:vertAlign w:val="subscript"/>
        </w:rPr>
        <w:t>3</w:t>
      </w:r>
      <w:r>
        <w:t>surface precipitation in Li</w:t>
      </w:r>
      <w:r>
        <w:rPr>
          <w:vertAlign w:val="subscript"/>
        </w:rPr>
        <w:t>3</w:t>
      </w:r>
      <w:r>
        <w:t>InCl</w:t>
      </w:r>
      <w:r>
        <w:rPr>
          <w:vertAlign w:val="subscript"/>
        </w:rPr>
        <w:t>6</w:t>
      </w:r>
      <w:r>
        <w:t>, preserving ionic conductivity. The resulting Li</w:t>
      </w:r>
      <w:r>
        <w:rPr>
          <w:vertAlign w:val="subscript"/>
        </w:rPr>
        <w:t>3</w:t>
      </w:r>
      <w:r>
        <w:t>InCl</w:t>
      </w:r>
      <w:r>
        <w:rPr>
          <w:vertAlign w:val="subscript"/>
        </w:rPr>
        <w:t>6</w:t>
      </w:r>
      <w:r>
        <w:t>/Li</w:t>
      </w:r>
      <w:r>
        <w:t xml:space="preserve"> </w:t>
      </w:r>
      <w:r>
        <w:t>6−</w:t>
      </w:r>
      <w:r>
        <w:t xml:space="preserve"> </w:t>
      </w:r>
      <w:r>
        <w:t>x</w:t>
      </w:r>
      <w:r>
        <w:t xml:space="preserve"> </w:t>
      </w:r>
      <w:r>
        <w:t>PS</w:t>
      </w:r>
      <w:r>
        <w:t xml:space="preserve"> </w:t>
      </w:r>
      <w:r>
        <w:t>5−</w:t>
      </w:r>
      <w:r>
        <w:t xml:space="preserve"> </w:t>
      </w:r>
      <w:r>
        <w:t>x</w:t>
      </w:r>
      <w:r>
        <w:t xml:space="preserve"> </w:t>
      </w:r>
      <w:r>
        <w:t>Cl</w:t>
      </w:r>
      <w:r>
        <w:t xml:space="preserve"> </w:t>
      </w:r>
      <w:r>
        <w:t>1+</w:t>
      </w:r>
      <w:r>
        <w:t xml:space="preserve"> </w:t>
      </w:r>
      <w:r>
        <w:t>x</w:t>
      </w:r>
      <w:r>
        <w:t xml:space="preserve"> </w:t>
      </w:r>
      <w:r>
        <w:t>bilayer SSE film exhibits high ionic conductivity (1.26 mS/cm), mechanical robustness, and electrochemical stability. ASSBs using NCM88 cathodes and micro‐silicon anodes retain 71.3% capacity after 600 cycles at 0.5 C, while the first ten‐layer ampere‐hour‐scale halide ASSPC delivers 1.45 Ah at 0.2 C with 95.1% capacity retention over 100 cycles. This approach establishes a practical and scalable pathway for fabricating halide ASSPCs, bridging laboratory innovations and commercial deployment.</w:t>
      </w:r>
    </w:p>
    <w:p>
      <w:pPr>
        <w:spacing w:before="120" w:after="120"/>
      </w:pPr>
      <w:r>
        <w:rPr>
          <w:sz w:val="18"/>
        </w:rPr>
        <w:t>——————————————————————————————————————————————————————————————————————</w:t>
      </w:r>
    </w:p>
    <w:p>
      <w:pPr>
        <w:spacing w:before="160" w:after="40" w:line="240" w:lineRule="auto"/>
      </w:pPr>
      <w:r>
        <w:rPr>
          <w:b/>
        </w:rPr>
        <w:t xml:space="preserve">[2] </w:t>
      </w:r>
      <w:hyperlink r:id="rId98">
        <w:r>
          <w:rPr>
            <w:color w:val="1155CC"/>
            <w:u w:val="single"/>
          </w:rPr>
          <w:t>螺旋马铃薯状纳米结构COF可实现Ah级软包电池几乎单向的锌沉积</w:t>
        </w:r>
      </w:hyperlink>
    </w:p>
    <w:p>
      <w:pPr>
        <w:spacing w:before="0" w:after="80"/>
      </w:pPr>
      <w:r>
        <w:rPr>
          <w:i/>
          <w:sz w:val="20"/>
        </w:rPr>
        <w:t>EN: Spiral-potato–like nanostructure COF enabling nearly unidirectional zinc deposition for Ah-level pouch cells</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99">
        <w:r>
          <w:rPr>
            <w:color w:val="1155CC"/>
            <w:u w:val="single"/>
          </w:rPr>
          <w:t>10.1126/sciadv.aeg5141</w:t>
        </w:r>
      </w:hyperlink>
    </w:p>
    <w:p>
      <w:pPr>
        <w:spacing w:before="0" w:after="120"/>
      </w:pPr>
      <w:r>
        <w:rPr>
          <w:b/>
        </w:rPr>
        <w:t xml:space="preserve">Notes: </w:t>
      </w:r>
      <w:r>
        <w:t>abstract_source=crossref</w:t>
      </w:r>
    </w:p>
    <w:p>
      <w:pPr>
        <w:spacing w:before="0" w:after="80" w:lineRule="auto" w:line="276"/>
      </w:pPr>
      <w:r>
        <w:rPr>
          <w:b/>
        </w:rPr>
        <w:t xml:space="preserve">摘要（ZH）: </w:t>
      </w:r>
      <w:r>
        <w:t>实现安时 (Ah) 级水性锌 (Zn) 离子软包电池（Ah 级 AZIB）的一个主要挑战是对高锌利用率以及均匀锌成核/生长的要求。在这里，我们报告了一种螺旋马铃薯状共价有机框架（SP-COF）纳米结构，用于构建 Ah 级 AZIB 的各向同性固体电解质界面。与传统的COF纳米结构相比，独特的螺旋马铃薯状SP-COF结合亲和位点和孔隙率，使各向同性界面调节能够遵循理论三维成核曲线实现近乎单向的锌沉积。因此，基于 SP-COF/Zn 电极的对称电池在每平方厘米 10 毫安的电流下可显示超过 2800 小时的超稳定电镀/剥离。成功组装Ah级三叠层软包电池（SP-COF/Zn||I</w:t>
      </w:r>
      <w:r>
        <w:rPr>
          <w:vertAlign w:val="subscript"/>
        </w:rPr>
        <w:t>2</w:t>
      </w:r>
      <w:r>
        <w:t>，1.2 Ah）表现出超过 200 个循环的稳定循环，且锌利用率高达 40%。该软包电池实现了前所未有的每公斤 156 瓦时的能量密度。这些发现凸显了基于 COF 的电池架构的战略微调是高能量密度 Ah 级 AZIB 的一条有前途的途径。</w:t>
      </w:r>
    </w:p>
    <w:p>
      <w:pPr>
        <w:spacing w:before="0" w:after="200" w:lineRule="auto" w:line="276"/>
      </w:pPr>
      <w:r>
        <w:rPr>
          <w:b/>
        </w:rPr>
        <w:t xml:space="preserve">Abstract (EN): </w:t>
      </w:r>
      <w:r>
        <w:t>A major challenge in realizing ampere hour (Ah)–level aqueous zinc (Zn) ion pouch batteries (Ah-level AZIBs) is the requirements for high Zn utilization rate coupled with even Zn nucleation/growth. Here, we report a spiral-potato–like covalent organic framework (SP-COF) nanostructure to construct isotropic solid electrolyte interphase for Ah-level AZIBs. Compared with conventional COF nanostructures, the unique spiral-potato–like SP-COF combined with affinity sites and porosity enables isotropic interfacial regulation to achieve nearly unidirectional Zn deposition following the theoretical three-dimensional nucleation curve. As a result, symmetric cells based on SP-COF/Zn electrode display ultrastable plating/stripping over 2800 hours at 10 milliamperes per square centimeter. The successfully assembled Ah-level triple stacked layer pouch cell (SP-COF/Zn||I</w:t>
      </w:r>
      <w:r>
        <w:rPr>
          <w:vertAlign w:val="subscript"/>
        </w:rPr>
        <w:t>2</w:t>
      </w:r>
      <w:r>
        <w:t>, 1.2 Ah) demonstrates stable cycling over 200 cycles with an ultrahigh Zn utilization rate of 40%. The pouch cell achieves an unprecedented energy density of 156 watt-hours per kilogram. These findings highlight the strategic fine-tuning of COF-based battery architectures to be a promising route for high energy density Ah-level AZIBs.</w:t>
      </w:r>
    </w:p>
    <w:p>
      <w:pPr>
        <w:spacing w:before="120" w:after="120"/>
      </w:pPr>
      <w:r>
        <w:rPr>
          <w:sz w:val="18"/>
        </w:rPr>
        <w:t>——————————————————————————————————————————————————————————————————————</w:t>
      </w:r>
    </w:p>
    <w:p>
      <w:pPr>
        <w:spacing w:before="160" w:after="40" w:line="240" w:lineRule="auto"/>
      </w:pPr>
      <w:r>
        <w:rPr>
          <w:b/>
        </w:rPr>
        <w:t xml:space="preserve">[3] </w:t>
      </w:r>
      <w:hyperlink r:id="rId100">
        <w:r>
          <w:rPr>
            <w:color w:val="1155CC"/>
            <w:u w:val="single"/>
          </w:rPr>
          <w:t>轴向协调的单原子界面减轻了孤立的钾离子对高度可逆的无阳极钾金属电池的影响</w:t>
        </w:r>
      </w:hyperlink>
    </w:p>
    <w:p>
      <w:pPr>
        <w:spacing w:before="0" w:after="80"/>
      </w:pPr>
      <w:r>
        <w:rPr>
          <w:i/>
          <w:sz w:val="20"/>
        </w:rPr>
        <w:t>EN: Axially coordinated single-atom interface mitigates isolated K toward highly reversible anode-free K metal batteries</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101">
        <w:r>
          <w:rPr>
            <w:color w:val="1155CC"/>
            <w:u w:val="single"/>
          </w:rPr>
          <w:t>10.1126/sciadv.aef1038</w:t>
        </w:r>
      </w:hyperlink>
    </w:p>
    <w:p>
      <w:pPr>
        <w:spacing w:before="0" w:after="120"/>
      </w:pPr>
      <w:r>
        <w:rPr>
          <w:b/>
        </w:rPr>
        <w:t xml:space="preserve">Notes: </w:t>
      </w:r>
      <w:r>
        <w:t>abstract_source=crossref</w:t>
      </w:r>
    </w:p>
    <w:p>
      <w:pPr>
        <w:spacing w:before="0" w:after="80" w:lineRule="auto" w:line="276"/>
      </w:pPr>
      <w:r>
        <w:rPr>
          <w:b/>
        </w:rPr>
        <w:t xml:space="preserve">摘要（ZH）: </w:t>
      </w:r>
      <w:r>
        <w:t>钾（K）金属负极存在不受控制的固体电解质界面演化和孤立的K积累，极大地阻碍了实用无负极电池的构建。迄今为止，尽管对钾剥离行为和孤立钾形成的系统研究非常重要，但仍然缺乏。在这里，我们开发了一种锚定在空心碳碗上的轴向协调单原子铁 (Fe)，以协同促进 K 解吸和应力自适应离子传输。作为集流体修饰，FeN</w:t>
      </w:r>
      <w:r>
        <w:rPr>
          <w:vertAlign w:val="subscript"/>
        </w:rPr>
        <w:t>4</w:t>
      </w:r>
      <w:r>
        <w:t>氧</w:t>
      </w:r>
      <w:r>
        <w:rPr>
          <w:vertAlign w:val="subscript"/>
        </w:rPr>
        <w:t>2</w:t>
      </w:r>
      <w:r>
        <w:t>部分优化 K 吸附/解吸强度，调节 FSI</w:t>
      </w:r>
      <w:r>
        <w:t xml:space="preserve"> </w:t>
      </w:r>
      <w:r>
        <w:t>-</w:t>
      </w:r>
      <w:r>
        <w:t>同时，机械顺应性碳碗支架可减轻循环过程中的体积应变，保持界面完整性并加速剥离前沿的解吸。来自冷冻透射电子显微镜、X 射线光电子能谱深度剖面和理论计算的多模态证据共同揭示了增强沉积均匀性和剥离可逆性的双向调节。无阳极 K 金属全电池在 200 毫安/克的电流下经过 200 个循环可提供近 100 毫安时/克的电流，可轻松与最先进的同类产品相媲美。</w:t>
      </w:r>
    </w:p>
    <w:p>
      <w:pPr>
        <w:spacing w:before="0" w:after="200" w:lineRule="auto" w:line="276"/>
      </w:pPr>
      <w:r>
        <w:rPr>
          <w:b/>
        </w:rPr>
        <w:t xml:space="preserve">Abstract (EN): </w:t>
      </w:r>
      <w:r>
        <w:t>Potassium (K) metal anodes suffer from uncontrolled solid electrolyte interphase evolution and isolated K accumulation, greatly hindering the construction of practical anode-free batteries. To date, systematic investigations on K stripping behavior and isolated K formation, despite being fundamentally important, are still lacking. Here, we develop an axially coordinated single-atom iron (Fe) anchored on hollow carbon bowls to synergize promoted K desorption and stress-adaptive ion transport. Serving as current collector modification, the FeN</w:t>
      </w:r>
      <w:r>
        <w:rPr>
          <w:vertAlign w:val="subscript"/>
        </w:rPr>
        <w:t>4</w:t>
      </w:r>
      <w:r>
        <w:t>O</w:t>
      </w:r>
      <w:r>
        <w:rPr>
          <w:vertAlign w:val="subscript"/>
        </w:rPr>
        <w:t>2</w:t>
      </w:r>
      <w:r>
        <w:t>moiety optimizes K adsorption/desorption strength, regulates FSI</w:t>
      </w:r>
      <w:r>
        <w:t xml:space="preserve"> </w:t>
      </w:r>
      <w:r>
        <w:t>−</w:t>
      </w:r>
      <w:r>
        <w:t>decomposition, and suppresses electronically isolated K. Meanwhile, the mechanically compliant carbon-bowl scaffold mitigates volumetric strain during cycling, preserving interfacial integrity and accelerating desorption at the stripping frontier. Multimodal evidence from cryo–transmission electron microscopy, x-ray photoelectron spectroscopy depth profile, and theoretical calculations collectively reveals a bidirectional regulation to enhance both deposition uniformity and stripping reversibility. The anode-free K metal full cell delivers nearly 100 milliampere-hours per gram over 200 cycles at 200 milliamperes per gram, readily rivaling the state-of-the-art counterparts.</w:t>
      </w:r>
    </w:p>
    <w:p>
      <w:pPr>
        <w:spacing w:before="120" w:after="120"/>
      </w:pPr>
      <w:r>
        <w:rPr>
          <w:sz w:val="18"/>
        </w:rPr>
        <w:t>——————————————————————————————————————————————————————————————————————</w:t>
      </w:r>
    </w:p>
    <w:p>
      <w:pPr>
        <w:spacing w:before="160" w:after="40" w:line="240" w:lineRule="auto"/>
      </w:pPr>
      <w:r>
        <w:rPr>
          <w:b/>
        </w:rPr>
        <w:t xml:space="preserve">[4] </w:t>
      </w:r>
      <w:hyperlink r:id="rId66">
        <w:r>
          <w:rPr>
            <w:color w:val="1155CC"/>
            <w:u w:val="single"/>
          </w:rPr>
          <w:t>用于耐用海水电池的高熵 MXene 中的可逆多阳离子存储</w:t>
        </w:r>
      </w:hyperlink>
    </w:p>
    <w:p>
      <w:pPr>
        <w:spacing w:before="0" w:after="80"/>
      </w:pPr>
      <w:r>
        <w:rPr>
          <w:i/>
          <w:sz w:val="20"/>
        </w:rPr>
        <w:t>EN: Reversible Multiple Cation Storage in High‐Entropy MXenes for Durable Seawater Batteries</w:t>
      </w:r>
    </w:p>
    <w:p>
      <w:pPr>
        <w:spacing w:before="0" w:after="120"/>
      </w:pPr>
      <w:r>
        <w:rPr>
          <w:b/>
        </w:rPr>
        <w:t xml:space="preserve">Source: </w:t>
      </w:r>
      <w:r>
        <w:t>Wiley: Angewandte Chemie International Edition: Table of Contents</w:t>
      </w:r>
      <w:r>
        <w:t xml:space="preserve">    </w:t>
      </w:r>
      <w:r>
        <w:rPr>
          <w:b/>
        </w:rPr>
        <w:t xml:space="preserve">Pub date: </w:t>
      </w:r>
      <w:r>
        <w:t>2026-07-24 11:01:42+00:00</w:t>
      </w:r>
      <w:r>
        <w:t xml:space="preserve">    </w:t>
      </w:r>
      <w:r>
        <w:rPr>
          <w:b/>
        </w:rPr>
        <w:t xml:space="preserve">DOI: </w:t>
      </w:r>
      <w:hyperlink r:id="rId67">
        <w:r>
          <w:rPr>
            <w:color w:val="1155CC"/>
            <w:u w:val="single"/>
          </w:rPr>
          <w:t>10.1002/anie.8021992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海水电解质的天然丰富性和本质安全性，可充电海水电池（SWB）为可持续能源存储提供了引人注目的优势。然而，海水中多种阳离子的存在对传统存储材料的可逆性和稳定性提出了挑战。在此，引入高熵策略来解锁 MXenes 对海水中多种阳离子的电化学活性。机理研究表明，高熵 MXene 独特的“鸡尾酒效应”可加速离子传输动力学并稳定层状结构，从而实现单价（Na</w:t>
      </w:r>
      <w:r>
        <w:t xml:space="preserve"> </w:t>
      </w:r>
      <w:r>
        <w:t>+</w:t>
      </w:r>
      <w:r>
        <w:t xml:space="preserve"> </w:t>
      </w:r>
      <w:r>
        <w:t>, K</w:t>
      </w:r>
      <w:r>
        <w:t xml:space="preserve"> </w:t>
      </w:r>
      <w:r>
        <w:t>+</w:t>
      </w:r>
      <w:r>
        <w:t xml:space="preserve"> </w:t>
      </w:r>
      <w:r>
        <w:t>）和二价（Mg</w:t>
      </w:r>
      <w:r>
        <w:t xml:space="preserve"> </w:t>
      </w:r>
      <w:r>
        <w:t>2+</w:t>
      </w:r>
      <w:r>
        <w:t xml:space="preserve"> </w:t>
      </w:r>
      <w:r>
        <w:t>, 钙</w:t>
      </w:r>
      <w:r>
        <w:t xml:space="preserve"> </w:t>
      </w:r>
      <w:r>
        <w:t>2+</w:t>
      </w:r>
      <w:r>
        <w:t xml:space="preserve"> </w:t>
      </w:r>
      <w:r>
        <w:t>）具有零应变特性的离子。作为概念验证，一种新型 SWB 是基于具有多阳离子存储能力的 MXene 阳极和具有 Cl 的聚三苯胺阴极构建的。</w:t>
      </w:r>
      <w:r>
        <w:t xml:space="preserve"> </w:t>
      </w:r>
      <w:r>
        <w:t>-</w:t>
      </w:r>
      <w:r>
        <w:t>储存化学。该SWB实现了155 mAh g的高比容量</w:t>
      </w:r>
      <w:r>
        <w:t xml:space="preserve"> </w:t>
      </w:r>
      <w:r>
        <w:t>−1</w:t>
      </w:r>
      <w:r>
        <w:t xml:space="preserve"> </w:t>
      </w:r>
      <w:r>
        <w:t>, 15 A g 时具有出色的倍率性能</w:t>
      </w:r>
      <w:r>
        <w:t xml:space="preserve"> </w:t>
      </w:r>
      <w:r>
        <w:t>−1</w:t>
      </w:r>
      <w:r>
        <w:t xml:space="preserve"> </w:t>
      </w:r>
      <w:r>
        <w:t>，以及在 25°C 下超过 11000 次循环的令人印象深刻的循环耐久性。此外，该SWB甚至可以在-30°C下发挥作用，拓宽了海水能源设备的应用领域。总的来说，这项研究为高熵中的鸡尾酒效应提供了基本的见解。</w:t>
      </w:r>
    </w:p>
    <w:p>
      <w:pPr>
        <w:spacing w:before="0" w:after="200" w:lineRule="auto" w:line="276"/>
      </w:pPr>
      <w:r>
        <w:rPr>
          <w:b/>
        </w:rPr>
        <w:t xml:space="preserve">Abstract (EN): </w:t>
      </w:r>
      <w:r>
        <w:t>Rechargeable seawater batteries (SWBs) offer compelling advantages for sustainable energy storage, owing to the natural abundance and intrinsic safety of seawater electrolytes. However, the presence of multiple cations in seawater poses challenges for the reversibility and stability of conventional storage materials. Herein, a high‐entropy strategy is introduced to unlock the electrochemical activity of MXenes toward multiple cations in seawater. Mechanistic studies reveal that the unique “cocktail effect” of high‐entropy MXene accelerates ion transport kinetics and stabilizes the layered structure, enabling reversible storage of monovalent (Na</w:t>
      </w:r>
      <w:r>
        <w:t xml:space="preserve"> </w:t>
      </w:r>
      <w:r>
        <w:t>+</w:t>
      </w:r>
      <w:r>
        <w:t xml:space="preserve"> </w:t>
      </w:r>
      <w:r>
        <w:t>, K</w:t>
      </w:r>
      <w:r>
        <w:t xml:space="preserve"> </w:t>
      </w:r>
      <w:r>
        <w:t>+</w:t>
      </w:r>
      <w:r>
        <w:t xml:space="preserve"> </w:t>
      </w:r>
      <w:r>
        <w:t>) and divalent (Mg</w:t>
      </w:r>
      <w:r>
        <w:t xml:space="preserve"> </w:t>
      </w:r>
      <w:r>
        <w:t>2+</w:t>
      </w:r>
      <w:r>
        <w:t xml:space="preserve"> </w:t>
      </w:r>
      <w:r>
        <w:t>, Ca</w:t>
      </w:r>
      <w:r>
        <w:t xml:space="preserve"> </w:t>
      </w:r>
      <w:r>
        <w:t>2+</w:t>
      </w:r>
      <w:r>
        <w:t xml:space="preserve"> </w:t>
      </w:r>
      <w:r>
        <w:t>) ions with zero‐strain characteristic. As a proof‐of‐concept, a novel SWB is constructed based on an MXene anode with multiple‐cation storage capability and a polytriphenylamine cathode with Cl</w:t>
      </w:r>
      <w:r>
        <w:t xml:space="preserve"> </w:t>
      </w:r>
      <w:r>
        <w:t>−</w:t>
      </w:r>
      <w:r>
        <w:t>storage chemistry. This SWB achieves a high specific capacity of 155 mAh g</w:t>
      </w:r>
      <w:r>
        <w:t xml:space="preserve"> </w:t>
      </w:r>
      <w:r>
        <w:t>−1</w:t>
      </w:r>
      <w:r>
        <w:t xml:space="preserve"> </w:t>
      </w:r>
      <w:r>
        <w:t>, excellent rate capability at 15 A g</w:t>
      </w:r>
      <w:r>
        <w:t xml:space="preserve"> </w:t>
      </w:r>
      <w:r>
        <w:t>−1</w:t>
      </w:r>
      <w:r>
        <w:t xml:space="preserve"> </w:t>
      </w:r>
      <w:r>
        <w:t>, and impressive cycling durability over 11000 cycles at 25°C. Furthermore, this SWB functions even at −30°C, broadening the application field of seawater‐based energy devices. Overall, this study provides fundamental insights into the cocktail effect in high‐entropy materials and offers a new strategy for designing advanced electrodes for high‐performance SWBs.</w:t>
      </w:r>
    </w:p>
    <w:p>
      <w:pPr>
        <w:spacing w:before="120" w:after="120"/>
      </w:pPr>
      <w:r>
        <w:rPr>
          <w:sz w:val="18"/>
        </w:rPr>
        <w:t>——————————————————————————————————————————————————————————————————————</w:t>
      </w:r>
    </w:p>
    <w:p>
      <w:pPr>
        <w:spacing w:before="160" w:after="40" w:line="240" w:lineRule="auto"/>
      </w:pPr>
      <w:r>
        <w:rPr>
          <w:b/>
        </w:rPr>
        <w:t xml:space="preserve">[5] </w:t>
      </w:r>
      <w:hyperlink r:id="rId70">
        <w:r>
          <w:rPr>
            <w:color w:val="1155CC"/>
            <w:u w:val="single"/>
          </w:rPr>
          <w:t>用于高压低温锂离子电池的微观异质 LiBO2 介导的电解质</w:t>
        </w:r>
      </w:hyperlink>
    </w:p>
    <w:p>
      <w:pPr>
        <w:spacing w:before="0" w:after="80"/>
      </w:pPr>
      <w:r>
        <w:rPr>
          <w:i/>
          <w:sz w:val="20"/>
        </w:rPr>
        <w:t>EN: A Microscopic Heterogeneous LiBO2‐Mediated Electrolyte for High‐Voltage and Low‐Temperature Lithium‐Ion Batteries</w:t>
      </w:r>
    </w:p>
    <w:p>
      <w:pPr>
        <w:spacing w:before="0" w:after="120"/>
      </w:pPr>
      <w:r>
        <w:rPr>
          <w:b/>
        </w:rPr>
        <w:t xml:space="preserve">Source: </w:t>
      </w:r>
      <w:r>
        <w:t>Wiley: Advanced Materials: Table of Contents</w:t>
      </w:r>
      <w:r>
        <w:t xml:space="preserve">    </w:t>
      </w:r>
      <w:r>
        <w:rPr>
          <w:b/>
        </w:rPr>
        <w:t xml:space="preserve">Pub date: </w:t>
      </w:r>
      <w:r>
        <w:t>2026-07-24 12:10:36+00:00</w:t>
      </w:r>
      <w:r>
        <w:t xml:space="preserve">    </w:t>
      </w:r>
      <w:r>
        <w:rPr>
          <w:b/>
        </w:rPr>
        <w:t xml:space="preserve">DOI: </w:t>
      </w:r>
      <w:hyperlink r:id="rId71">
        <w:r>
          <w:rPr>
            <w:color w:val="1155CC"/>
            <w:u w:val="single"/>
          </w:rPr>
          <w:t>10.1002/adma.74257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传统电解质仍然从根本上受到高电压稳定性、低温操作和快速离子传输之间的权衡的限制，限制了先进锂离子电池（LIB）的实际部署。在这里，我们报道了一种微异质偏硼酸锂（LiBO</w:t>
      </w:r>
      <w:r>
        <w:rPr>
          <w:vertAlign w:val="subscript"/>
        </w:rPr>
        <w:t>2</w:t>
      </w:r>
      <w:r>
        <w:t>）介导的电解质（LBME）利用胶体界面化学来调节Li</w:t>
      </w:r>
      <w:r>
        <w:t xml:space="preserve"> </w:t>
      </w:r>
      <w:r>
        <w:t>+</w:t>
      </w:r>
      <w:r>
        <w:t xml:space="preserve"> </w:t>
      </w:r>
      <w:r>
        <w:t>溶剂化结构。稳定的锂硼酸锂</w:t>
      </w:r>
      <w:r>
        <w:rPr>
          <w:vertAlign w:val="subscript"/>
        </w:rPr>
        <w:t>2</w:t>
      </w:r>
      <w:r>
        <w:t>胶体通过配位不饱和表面位点与阴离子竞争性配位，从而削弱Li</w:t>
      </w:r>
      <w:r>
        <w:t xml:space="preserve"> </w:t>
      </w:r>
      <w:r>
        <w:t>+</w:t>
      </w:r>
      <w:r>
        <w:t xml:space="preserve"> </w:t>
      </w:r>
      <w:r>
        <w:t>–溶剂/阴离子相互作用并加速配体交换动力学。因此，LBME 表现出增强的离子电导率和减少的 Li</w:t>
      </w:r>
      <w:r>
        <w:t xml:space="preserve"> </w:t>
      </w:r>
      <w:r>
        <w:t>+</w:t>
      </w:r>
      <w:r>
        <w:t xml:space="preserve"> </w:t>
      </w:r>
      <w:r>
        <w:t>去溶剂化势垒，能够在-30°C下实现均匀的锂沉积，并在超高电压运行期间促进紧凑的富含无机物的阴极电解质界面（CEI）。因此，5.0 V Li ||李妮</w:t>
      </w:r>
      <w:r>
        <w:t xml:space="preserve"> </w:t>
      </w:r>
      <w:r>
        <w:t>0.5</w:t>
      </w:r>
      <w:r>
        <w:t xml:space="preserve"> </w:t>
      </w:r>
      <w:r>
        <w:t>锰</w:t>
      </w:r>
      <w:r>
        <w:t xml:space="preserve"> </w:t>
      </w:r>
      <w:r>
        <w:t>1.5</w:t>
      </w:r>
      <w:r>
        <w:t xml:space="preserve"> </w:t>
      </w:r>
      <w:r>
        <w:t>氧</w:t>
      </w:r>
      <w:r>
        <w:rPr>
          <w:vertAlign w:val="subscript"/>
        </w:rPr>
        <w:t>4</w:t>
      </w:r>
      <w:r>
        <w:t>采用 LBME 的 (LNMO) 电池实现了出色的循环性能，在 5 C 下循环 5000 次后仍保留 99.1% 的容量，并在 -30°C 下保持 72% 的室温容量。该技术的可行性在实际软包电池中得到了进一步证明，其中 1 Ah 石墨 ||李妮</w:t>
      </w:r>
      <w:r>
        <w:t xml:space="preserve"> </w:t>
      </w:r>
      <w:r>
        <w:t>0.8</w:t>
      </w:r>
    </w:p>
    <w:p>
      <w:pPr>
        <w:spacing w:before="0" w:after="200" w:lineRule="auto" w:line="276"/>
      </w:pPr>
      <w:r>
        <w:rPr>
          <w:b/>
        </w:rPr>
        <w:t xml:space="preserve">Abstract (EN): </w:t>
      </w:r>
      <w:r>
        <w:t>Conventional electrolytes remain fundamentally constrained by the trade‐offs among high‐voltage stability, low‐temperature operation, and fast ion transport, limiting the practical deployment of advanced lithium‐ion batteries (LIBs). Here, we report a micro‐heterogeneous lithium metaborate (LiBO</w:t>
      </w:r>
      <w:r>
        <w:rPr>
          <w:vertAlign w:val="subscript"/>
        </w:rPr>
        <w:t>2</w:t>
      </w:r>
      <w:r>
        <w:t>)‐mediated electrolyte (LBME) that leverages colloid interfacial chemistry to regulate the Li</w:t>
      </w:r>
      <w:r>
        <w:t xml:space="preserve"> </w:t>
      </w:r>
      <w:r>
        <w:t>+</w:t>
      </w:r>
      <w:r>
        <w:t xml:space="preserve"> </w:t>
      </w:r>
      <w:r>
        <w:t>solvation structure. Stable LiBO</w:t>
      </w:r>
      <w:r>
        <w:rPr>
          <w:vertAlign w:val="subscript"/>
        </w:rPr>
        <w:t>2</w:t>
      </w:r>
      <w:r>
        <w:t>colloids competitively coordinate with anions through coordinatively unsaturated surface sites, thereby weakening Li</w:t>
      </w:r>
      <w:r>
        <w:t xml:space="preserve"> </w:t>
      </w:r>
      <w:r>
        <w:t>+</w:t>
      </w:r>
      <w:r>
        <w:t xml:space="preserve"> </w:t>
      </w:r>
      <w:r>
        <w:t>–solvent/anion interactions and accelerating ligand‐exchange kinetics. Consequently, the LBME exhibits enhanced ionic conductivity and reduced Li</w:t>
      </w:r>
      <w:r>
        <w:t xml:space="preserve"> </w:t>
      </w:r>
      <w:r>
        <w:t>+</w:t>
      </w:r>
      <w:r>
        <w:t xml:space="preserve"> </w:t>
      </w:r>
      <w:r>
        <w:t>desolvation barrier, enabling uniform lithium deposition at −30°C and facilitating a compact inorganic‐rich cathode‐electrolyte interphase (CEI) during ultrahigh‐voltage operation. Consequently, a 5.0 V Li || LiNi</w:t>
      </w:r>
      <w:r>
        <w:t xml:space="preserve"> </w:t>
      </w:r>
      <w:r>
        <w:t>0.5</w:t>
      </w:r>
      <w:r>
        <w:t xml:space="preserve"> </w:t>
      </w:r>
      <w:r>
        <w:t>Mn</w:t>
      </w:r>
      <w:r>
        <w:t xml:space="preserve"> </w:t>
      </w:r>
      <w:r>
        <w:t>1.5</w:t>
      </w:r>
      <w:r>
        <w:t xml:space="preserve"> </w:t>
      </w:r>
      <w:r>
        <w:t>O</w:t>
      </w:r>
      <w:r>
        <w:rPr>
          <w:vertAlign w:val="subscript"/>
        </w:rPr>
        <w:t>4</w:t>
      </w:r>
      <w:r>
        <w:t>(LNMO) cell with LBME achieves exceptional cyclability, retaining 99.1% of its capacity after 5000 cycles at 5 C, and maintaining 72% of its room‐temperature capacity at −30°C. The technological viability is further demonstrated in practical pouch cells, where 1 Ah graphite ||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(NCM811) and 5 Ah silicon‐graphite (Si‐C) || LiNi</w:t>
      </w:r>
      <w:r>
        <w:t xml:space="preserve"> </w:t>
      </w:r>
      <w:r>
        <w:t>0.91</w:t>
      </w:r>
      <w:r>
        <w:t xml:space="preserve"> </w:t>
      </w:r>
      <w:r>
        <w:t>Co</w:t>
      </w:r>
      <w:r>
        <w:t xml:space="preserve"> </w:t>
      </w:r>
      <w:r>
        <w:t>0.06</w:t>
      </w:r>
      <w:r>
        <w:t xml:space="preserve"> </w:t>
      </w:r>
      <w:r>
        <w:t>Mn</w:t>
      </w:r>
      <w:r>
        <w:t xml:space="preserve"> </w:t>
      </w:r>
      <w:r>
        <w:t>0.03</w:t>
      </w:r>
      <w:r>
        <w:t xml:space="preserve"> </w:t>
      </w:r>
      <w:r>
        <w:t>O</w:t>
      </w:r>
      <w:r>
        <w:rPr>
          <w:vertAlign w:val="subscript"/>
        </w:rPr>
        <w:t>2</w:t>
      </w:r>
      <w:r>
        <w:t>(NCM90) pouch cells demonstrate superior stability, achieving 87.8% capacity retention (500 cycles) and a striking energy density of 394 Wh kg</w:t>
      </w:r>
      <w:r>
        <w:t xml:space="preserve"> </w:t>
      </w:r>
      <w:r>
        <w:t>−1</w:t>
      </w:r>
      <w:r>
        <w:t xml:space="preserve"> </w:t>
      </w:r>
      <w:r>
        <w:t>(89% retention after 120 cycles), respectively. This work demonstrates a heterogeneous electrolyte strategy promising for stable LIBs under harsh conditions.</w:t>
      </w:r>
    </w:p>
    <w:p>
      <w:pPr>
        <w:spacing w:before="120" w:after="120"/>
      </w:pPr>
      <w:r>
        <w:rPr>
          <w:sz w:val="18"/>
        </w:rPr>
        <w:t>——————————————————————————————————————————————————————————————————————</w:t>
      </w:r>
    </w:p>
    <w:p>
      <w:pPr>
        <w:spacing w:before="160" w:after="40" w:line="240" w:lineRule="auto"/>
      </w:pPr>
      <w:r>
        <w:rPr>
          <w:b/>
        </w:rPr>
        <w:t xml:space="preserve">[6] </w:t>
      </w:r>
      <w:hyperlink r:id="rId102">
        <w:r>
          <w:rPr>
            <w:color w:val="1155CC"/>
            <w:u w:val="single"/>
          </w:rPr>
          <w:t>通过动态集成界面工程实现高度稳定的准固态初始无阳极锂金属​​电池</w:t>
        </w:r>
      </w:hyperlink>
    </w:p>
    <w:p>
      <w:pPr>
        <w:spacing w:before="0" w:after="80"/>
      </w:pPr>
      <w:r>
        <w:rPr>
          <w:i/>
          <w:sz w:val="20"/>
        </w:rPr>
        <w:t>EN: Highly stable quasi-solid-state initially anode-free lithium metal batteries enabled by dynamic integrated interface engineering</w:t>
      </w:r>
    </w:p>
    <w:p>
      <w:pPr>
        <w:spacing w:before="0" w:after="120"/>
      </w:pPr>
      <w:r>
        <w:rPr>
          <w:b/>
        </w:rPr>
        <w:t xml:space="preserve">Source: </w:t>
      </w:r>
      <w:r>
        <w:t>Physical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无初始阳极锂金属​​电池具有高能量密度和简化制造的潜力，定位为可持续能源存储的变革平台。然而，它们的实施受到锂沉积/剥离的低可逆性的阻碍。在此，我们提出了一种动态集成界面工程策略，将银基多功能引发剂纳入电解质中。该添加剂由Ag+与能够产生路易斯酸的阴离子配对组成，通过原位聚合实现电极-电解质界面耦合，同时通过Ag+驱动的原位沉积增强集流体的亲锂性。添加剂的受控释放调节溶剂化结构，导致固体电解质界面具有反转的富含有机物的内部/富含无机物的外部结构，这代表了与传统模型的有意背离。阴离子锚定效应增强了界面的自愈能力，确保了快速锂离子传输通道和持久保护屏障的构建，实现了最初无阳极准固态电池的高度稳定运行。具体来说，Cu | |LiFePO4 电池在 0.1 C 下循环 200 次后容量保持率为 90%，2 Ah 级软包电池可提供基于电池总重量的 467 Wh kg−1 比能量。这项工作提供了一种有效的统一方法来解决最初无阳极锂电池中的多种界面挑战。</w:t>
      </w:r>
    </w:p>
    <w:p>
      <w:pPr>
        <w:spacing w:before="0" w:after="200" w:lineRule="auto" w:line="276"/>
      </w:pPr>
      <w:r>
        <w:rPr>
          <w:b/>
        </w:rPr>
        <w:t xml:space="preserve">Abstract (EN): </w:t>
      </w:r>
      <w:r>
        <w:t>Initial-anode-free lithium metal batteries offer the potential for high energy density and simplified manufacturing, positioning as a transformative platform for sustainable energy storage. However, their implementation is hindered by the low reversibility of lithium plating/stripping. Herein, we propose a dynamic integrated interface engineering strategy that incorporates an Ag-based multifunctional initiator into the electrolyte. This additive consists of Ag+ paired with anions capable of generating Lewis acids, enabling electrode-electrolyte interfacial coupling through in situ polymerization, while simultaneously enhancing the lithiophilicity of current collectors via Ag+-driven in situ deposition. The controlled release of the additive regulates the solvation structure, leading to the solid electrolyte interphase with an inverted organic-rich inner/inorganic-rich outer architecture, which represents a deliberate departure from conventional models. The anion anchoring effect reinforces the self-healing capability of the interphase, ensuring the construction of fast Li-ion transport pathways and a durable protective barrier, realizing highly stable operation of initially anode-free quasi-solid-state batteries. Specifically, the Cu | |LiFePO4 cell exhibits 90% capacity retention after 200 cycles at 0.1 C, and a 2 Ah-level pouch cell delivers a specific energy of 467 Wh kg−1 based on total cell weight. This work provides an effective unified approach to address multiple interfacial challenges in initially anode-free lithium batteries.</w:t>
      </w:r>
    </w:p>
    <w:p>
      <w:pPr>
        <w:spacing w:before="120" w:after="120"/>
      </w:pPr>
      <w:r>
        <w:rPr>
          <w:sz w:val="18"/>
        </w:rPr>
        <w:t>——————————————————————————————————————————————————————————————————————</w:t>
      </w:r>
    </w:p>
    <w:p>
      <w:pPr>
        <w:spacing w:before="160" w:after="40" w:line="240" w:lineRule="auto"/>
      </w:pPr>
      <w:r>
        <w:rPr>
          <w:b/>
        </w:rPr>
        <w:t xml:space="preserve">[7] </w:t>
      </w:r>
      <w:hyperlink r:id="rId103">
        <w:r>
          <w:rPr>
            <w:color w:val="1155CC"/>
            <w:u w:val="single"/>
          </w:rPr>
          <w:t>对“电池级石墨的低温合成：机理见解、电化学性能和技术经济前景”的修正</w:t>
        </w:r>
      </w:hyperlink>
    </w:p>
    <w:p>
      <w:pPr>
        <w:spacing w:before="0" w:after="80"/>
      </w:pPr>
      <w:r>
        <w:rPr>
          <w:i/>
          <w:sz w:val="20"/>
        </w:rPr>
        <w:t>EN: Correction to “Low‐Temperature Synthesis of Battery Grade Graphite: Mechanistic Insights, Electrochemical Performance, and Techno‐Economic Prospects”</w:t>
      </w:r>
    </w:p>
    <w:p>
      <w:pPr>
        <w:spacing w:before="0" w:after="120"/>
      </w:pPr>
      <w:r>
        <w:rPr>
          <w:b/>
        </w:rPr>
        <w:t xml:space="preserve">Source: </w:t>
      </w:r>
      <w:r>
        <w:t>Wiley: Advanced Energy Materials: Table of Contents</w:t>
      </w:r>
      <w:r>
        <w:t xml:space="preserve">    </w:t>
      </w:r>
      <w:r>
        <w:rPr>
          <w:b/>
        </w:rPr>
        <w:t xml:space="preserve">Pub date: </w:t>
      </w:r>
      <w:r>
        <w:t>2026-07-25 14:20:37+00:00</w:t>
      </w:r>
      <w:r>
        <w:t xml:space="preserve">    </w:t>
      </w:r>
      <w:r>
        <w:rPr>
          <w:b/>
        </w:rPr>
        <w:t xml:space="preserve">DOI: </w:t>
      </w:r>
      <w:hyperlink r:id="rId104">
        <w:r>
          <w:rPr>
            <w:color w:val="1155CC"/>
            <w:u w:val="single"/>
          </w:rPr>
          <w:t>10.1002/aenm.71339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74">
        <w:r>
          <w:rPr>
            <w:color w:val="1155CC"/>
            <w:u w:val="single"/>
          </w:rPr>
          <w:t>双阳离子溶剂化重编程可实现催化多硫化物转化和稳定的钠金属，从而实现长寿命钠硫电池</w:t>
        </w:r>
      </w:hyperlink>
    </w:p>
    <w:p>
      <w:pPr>
        <w:spacing w:before="0" w:after="80"/>
      </w:pPr>
      <w:r>
        <w:rPr>
          <w:i/>
          <w:sz w:val="20"/>
        </w:rPr>
        <w:t>EN: Solvation Reprogramming With Dual Cations Enables Catalytic Polysulfide Conversion and Stable Sodium Metal for Long‐Life Na‐S Batteries</w:t>
      </w:r>
    </w:p>
    <w:p>
      <w:pPr>
        <w:spacing w:before="0" w:after="120"/>
      </w:pPr>
      <w:r>
        <w:rPr>
          <w:b/>
        </w:rPr>
        <w:t xml:space="preserve">Source: </w:t>
      </w:r>
      <w:r>
        <w:t>Wiley: Advanced Materials: Table of Contents</w:t>
      </w:r>
      <w:r>
        <w:t xml:space="preserve">    </w:t>
      </w:r>
      <w:r>
        <w:rPr>
          <w:b/>
        </w:rPr>
        <w:t xml:space="preserve">Pub date: </w:t>
      </w:r>
      <w:r>
        <w:t>2026-07-25 15:02:28+00:00</w:t>
      </w:r>
      <w:r>
        <w:t xml:space="preserve">    </w:t>
      </w:r>
      <w:r>
        <w:rPr>
          <w:b/>
        </w:rPr>
        <w:t xml:space="preserve">DOI: </w:t>
      </w:r>
      <w:hyperlink r:id="rId75">
        <w:r>
          <w:rPr>
            <w:color w:val="1155CC"/>
            <w:u w:val="single"/>
          </w:rPr>
          <w:t>10.1002/adma.74296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室温钠硫电池的实际开发面临着重大挑战，主要源于多硫化物穿梭效应和钠阳极的不稳定性。在这项研究中，我们提出了一种双阳离子电解质工程策略，通过引入 K 来同时解决这两个瓶颈</w:t>
      </w:r>
      <w:r>
        <w:t xml:space="preserve"> </w:t>
      </w:r>
      <w:r>
        <w:t>+</w:t>
      </w:r>
      <w:r>
        <w:t xml:space="preserve"> </w:t>
      </w:r>
      <w:r>
        <w:t>转化为传统的NaPF</w:t>
      </w:r>
      <w:r>
        <w:rPr>
          <w:vertAlign w:val="subscript"/>
        </w:rPr>
        <w:t>6</w:t>
      </w:r>
      <w:r>
        <w:t>/1-乙氧基-2-(2-甲氧基乙氧基)乙烷电解质。 K 的离子半径较大，路易斯酸度较低</w:t>
      </w:r>
      <w:r>
        <w:t xml:space="preserve"> </w:t>
      </w:r>
      <w:r>
        <w:t>+</w:t>
      </w:r>
      <w:r>
        <w:t xml:space="preserve"> </w:t>
      </w:r>
      <w:r>
        <w:t>竞争性修饰Na</w:t>
      </w:r>
      <w:r>
        <w:t xml:space="preserve"> </w:t>
      </w:r>
      <w:r>
        <w:t>+</w:t>
      </w:r>
      <w:r>
        <w:t xml:space="preserve"> </w:t>
      </w:r>
      <w:r>
        <w:t>溶剂化结构，削弱Na-溶剂相互作用并将溶剂化壳重组为接触离子对（CIP），从而促进富含无机固体电解质界面的形成。理论计算表明，占主导地位的NaKS</w:t>
      </w:r>
      <w:r>
        <w:t xml:space="preserve"> </w:t>
      </w:r>
      <w:r>
        <w:t>x</w:t>
      </w:r>
      <w:r>
        <w:t xml:space="preserve"> </w:t>
      </w:r>
      <w:r>
        <w:t>通过Na位点吸附的中间体通过双阳离子诱导电荷离域削弱S─S和Na─S键，建立催化循环，降低动力学势垒并减轻多硫化物穿梭。同时，引入 K 引起的静电屏蔽进一步抑制了枝晶生长和寄生副反应。</w:t>
      </w:r>
      <w:r>
        <w:t xml:space="preserve"> </w:t>
      </w:r>
      <w:r>
        <w:t>+</w:t>
      </w:r>
      <w:r>
        <w:t xml:space="preserve"> </w:t>
      </w:r>
      <w:r>
        <w:t>。因此，采用凹形中空介孔碳纳米球作为硫阴极基质和亲钠阳极涂层的对称全电池结构，实现了 10,000 次循环的创纪录寿命和</w:t>
      </w:r>
    </w:p>
    <w:p>
      <w:pPr>
        <w:spacing w:before="0" w:after="200" w:lineRule="auto" w:line="276"/>
      </w:pPr>
      <w:r>
        <w:rPr>
          <w:b/>
        </w:rPr>
        <w:t xml:space="preserve">Abstract (EN): </w:t>
      </w:r>
      <w:r>
        <w:t>The practical development of room‐temperature sodium‐sulfur batteries faces significant challenges, primarily stemming from the polysulfide shuttle effect and the instability of the sodium anode. In this study, we propose a dual‐cation electrolyte engineering strategy that simultaneously addresses both bottlenecks by introducing K</w:t>
      </w:r>
      <w:r>
        <w:t xml:space="preserve"> </w:t>
      </w:r>
      <w:r>
        <w:t>+</w:t>
      </w:r>
      <w:r>
        <w:t xml:space="preserve"> </w:t>
      </w:r>
      <w:r>
        <w:t>into the conventional NaPF</w:t>
      </w:r>
      <w:r>
        <w:rPr>
          <w:vertAlign w:val="subscript"/>
        </w:rPr>
        <w:t>6</w:t>
      </w:r>
      <w:r>
        <w:t>/1‐ethoxy‐2‐(2‐methoxyethoxy)ethane electrolyte. The larger ionic radius and lower Lewis acidity of K</w:t>
      </w:r>
      <w:r>
        <w:t xml:space="preserve"> </w:t>
      </w:r>
      <w:r>
        <w:t>+</w:t>
      </w:r>
      <w:r>
        <w:t xml:space="preserve"> </w:t>
      </w:r>
      <w:r>
        <w:t>competitively modified the Na</w:t>
      </w:r>
      <w:r>
        <w:t xml:space="preserve"> </w:t>
      </w:r>
      <w:r>
        <w:t>+</w:t>
      </w:r>
      <w:r>
        <w:t xml:space="preserve"> </w:t>
      </w:r>
      <w:r>
        <w:t>solvation structure, weakening Na−Solvent interactions and reorganizing the solvation shell into contact ion pairs (CIPs), thus promoting the formation of inorganic‐rich solid electrolyte interphase. Theoretical calculations reveal that dominant NaKS</w:t>
      </w:r>
      <w:r>
        <w:t xml:space="preserve"> </w:t>
      </w:r>
      <w:r>
        <w:t>x</w:t>
      </w:r>
      <w:r>
        <w:t xml:space="preserve"> </w:t>
      </w:r>
      <w:r>
        <w:t>intermediates adsorbed via Na sites weaken S─S and Na─S bonds with dual‐cation induced charge delocalization, establishing catalytic cycle that lowers the kinetic barrier and relieves polysulfide shuttling. Meanwhile, the dendrite growth and parasitic side reactions are further suppressed within electrostatic shielding evoked by introduced K</w:t>
      </w:r>
      <w:r>
        <w:t xml:space="preserve"> </w:t>
      </w:r>
      <w:r>
        <w:t>+</w:t>
      </w:r>
      <w:r>
        <w:t xml:space="preserve"> </w:t>
      </w:r>
      <w:r>
        <w:t>. Consequently, a symmetric full cell architecture, with concave hollow mesoporous carbon nanospheres as both sulfur cathode matrix and sodiophilic anode coating, achieves a record lifespan of 10,000 cycles and a high‐capacity retention of 95.3% at 10 A g</w:t>
      </w:r>
      <w:r>
        <w:t xml:space="preserve"> </w:t>
      </w:r>
      <w:r>
        <w:t>−1</w:t>
      </w:r>
      <w:r>
        <w:t xml:space="preserve"> </w:t>
      </w:r>
      <w:r>
        <w:t>and high energy density of 223 Wh kg</w:t>
      </w:r>
      <w:r>
        <w:t xml:space="preserve"> </w:t>
      </w:r>
      <w:r>
        <w:t>−1</w:t>
      </w:r>
      <w:r>
        <w:t xml:space="preserve"> </w:t>
      </w:r>
      <w:r>
        <w:t>for pouch cell. This work offers a comprehensive design strategy, advancing practical metal‐sulfur batteries through electrolyte solvation and electrode interface engineering.</w:t>
      </w:r>
    </w:p>
    <w:p>
      <w:pPr>
        <w:spacing w:before="120" w:after="120"/>
      </w:pPr>
      <w:r>
        <w:rPr>
          <w:sz w:val="18"/>
        </w:rPr>
        <w:t>——————————————————————————————————————————————————————————————————————</w:t>
      </w:r>
    </w:p>
    <w:p>
      <w:pPr>
        <w:spacing w:before="160" w:after="40" w:line="240" w:lineRule="auto"/>
      </w:pPr>
      <w:r>
        <w:rPr>
          <w:b/>
        </w:rPr>
        <w:t xml:space="preserve">[9] </w:t>
      </w:r>
      <w:hyperlink r:id="rId76">
        <w:r>
          <w:rPr>
            <w:color w:val="1155CC"/>
            <w:u w:val="single"/>
          </w:rPr>
          <w:t>拓扑交联剂设计调节锌碘电池中的界面和活性物质传输</w:t>
        </w:r>
      </w:hyperlink>
    </w:p>
    <w:p>
      <w:pPr>
        <w:spacing w:before="0" w:after="80"/>
      </w:pPr>
      <w:r>
        <w:rPr>
          <w:i/>
          <w:sz w:val="20"/>
        </w:rPr>
        <w:t>EN: Topological Crosslinker Design Regulates Interfacial and Active Species Transport in Zinc‐Iodine Batteries</w:t>
      </w:r>
    </w:p>
    <w:p>
      <w:pPr>
        <w:spacing w:before="0" w:after="120"/>
      </w:pPr>
      <w:r>
        <w:rPr>
          <w:b/>
        </w:rPr>
        <w:t xml:space="preserve">Source: </w:t>
      </w:r>
      <w:r>
        <w:t>Wiley: Advanced Materials: Table of Contents</w:t>
      </w:r>
      <w:r>
        <w:t xml:space="preserve">    </w:t>
      </w:r>
      <w:r>
        <w:rPr>
          <w:b/>
        </w:rPr>
        <w:t xml:space="preserve">Pub date: </w:t>
      </w:r>
      <w:r>
        <w:t>2026-07-25 15:06:28+00:00</w:t>
      </w:r>
      <w:r>
        <w:t xml:space="preserve">    </w:t>
      </w:r>
      <w:r>
        <w:rPr>
          <w:b/>
        </w:rPr>
        <w:t xml:space="preserve">DOI: </w:t>
      </w:r>
      <w:hyperlink r:id="rId77">
        <w:r>
          <w:rPr>
            <w:color w:val="1155CC"/>
            <w:u w:val="single"/>
          </w:rPr>
          <w:t>10.1002/adma.74282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离子电池（ZIB）受到界面不稳定性以及聚合物凝胶电解质（PGE）中机械强度和离子电导率之间内在权衡的限制，限制了其循环耐久性和实际应用。在这里，我们报告了一种拓扑调节的交联剂策略，该策略将交联剂从被动结构成分重新定义为离子传输和界面化学的主动调节剂。将四臂聚（2-乙基-2-恶唑啉）（4-PEtOx）交联剂集成到两性离子网络中以构建水凝胶电解质（4-PVEX）。独特的分子拓扑结构建立了致密而动态的氢键框架，使连续的锌</w:t>
      </w:r>
      <w:r>
        <w:t xml:space="preserve"> </w:t>
      </w:r>
      <w:r>
        <w:t>2+</w:t>
      </w:r>
      <w:r>
        <w:t xml:space="preserve"> </w:t>
      </w:r>
      <w:r>
        <w:t>运输途径，同时保持高机械强度。因此，4-PVEX 稳定了 Zn/电解质界面，促进均匀的无枝晶 Zn 沉积，抑制寄生反应，并有效固定聚碘物质，同时加速碘氧化还原动力学。 Zn||Zn 对称电池表现出超过 2700 小时的稳定循环，而 Zn||Cu 电池在 1000 次循环中的平均库仑效率为 99.7%。此外，Zn||I</w:t>
      </w:r>
      <w:r>
        <w:rPr>
          <w:vertAlign w:val="subscript"/>
        </w:rPr>
        <w:t>2</w:t>
      </w:r>
      <w:r>
        <w:t>全电池在 10 C 下循环 10,000 次后仍保留 90% 的初始容量。这项工作证明了分子拓扑结构是先进凝胶电解质的强大设计维度，并为水性金属电池中的界面和传输调节提供了新的见解。</w:t>
      </w:r>
    </w:p>
    <w:p>
      <w:pPr>
        <w:spacing w:before="0" w:after="200" w:lineRule="auto" w:line="276"/>
      </w:pPr>
      <w:r>
        <w:rPr>
          <w:b/>
        </w:rPr>
        <w:t xml:space="preserve">Abstract (EN): </w:t>
      </w:r>
      <w:r>
        <w:t>Aqueous zinc‐ion batteries (ZIBs) are limited by interfacial instability and an intrinsic trade‐off between mechanical strength and ionic conductivity in polymer gel electrolytes (PGEs), restricting their cycling durability and practical application. Here, we report a topology‐regulated crosslinker strategy that redefines crosslinkers from passive structural components to active regulators of ion transport and interfacial chemistry. A tetra‐armed poly(2‐ethyl‐2‐oxazoline) (4‐PEtOx) crosslinker is integrated into a zwitterionic network to construct a hydrogel electrolyte (4‐PVEX). The unique molecular topology establishes a dense yet dynamic hydrogen‐bonding framework, enabling continuous Zn</w:t>
      </w:r>
      <w:r>
        <w:t xml:space="preserve"> </w:t>
      </w:r>
      <w:r>
        <w:t>2+</w:t>
      </w:r>
      <w:r>
        <w:t xml:space="preserve"> </w:t>
      </w:r>
      <w:r>
        <w:t>transport pathways while maintaining high mechanical strength. As a result, 4‐PVEX stabilizes the Zn/electrolyte interface, promotes uniform dendrite‐free Zn deposition, suppresses parasitic reactions, and effectively immobilizes polyiodide species while accelerating iodine redox kinetics. Zn||Zn symmetric cell exhibits stable cycling for over 2700 h, and Zn||Cu cell delivers an average Coulombic efficiency of 99.7% over 1000 cycles. Moreover, Zn||I</w:t>
      </w:r>
      <w:r>
        <w:rPr>
          <w:vertAlign w:val="subscript"/>
        </w:rPr>
        <w:t>2</w:t>
      </w:r>
      <w:r>
        <w:t>full cell retains 90% of its initial capacity after 10 000 cycles at 10 C. This work demonstrates molecular topology as a powerful design dimension for advanced gel electrolytes and provides new insights into interfacial and transport regulation in aqueous metal batteries.</w:t>
      </w:r>
    </w:p>
    <w:p>
      <w:pPr>
        <w:spacing w:before="120" w:after="120"/>
      </w:pPr>
      <w:r>
        <w:rPr>
          <w:sz w:val="18"/>
        </w:rPr>
        <w:t>——————————————————————————————————————————————————————————————————————</w:t>
      </w:r>
    </w:p>
    <w:p>
      <w:pPr>
        <w:spacing w:before="160" w:after="40" w:line="240" w:lineRule="auto"/>
      </w:pPr>
      <w:r>
        <w:rPr>
          <w:b/>
        </w:rPr>
        <w:t xml:space="preserve">[10] </w:t>
      </w:r>
      <w:hyperlink r:id="rId105">
        <w:r>
          <w:rPr>
            <w:color w:val="1155CC"/>
            <w:u w:val="single"/>
          </w:rPr>
          <w:t>阴离子极性诱导的界面重构指导高度可逆锡阳极的晶体结构</w:t>
        </w:r>
      </w:hyperlink>
    </w:p>
    <w:p>
      <w:pPr>
        <w:spacing w:before="0" w:after="80"/>
      </w:pPr>
      <w:r>
        <w:rPr>
          <w:i/>
          <w:sz w:val="20"/>
        </w:rPr>
        <w:t>EN: Anion‐Polarity‐Induced Interfacial Reconstruction Directs Crystallographic Texture for Highly Reversible Sn Anodes</w:t>
      </w:r>
    </w:p>
    <w:p>
      <w:pPr>
        <w:spacing w:before="0" w:after="120"/>
      </w:pPr>
      <w:r>
        <w:rPr>
          <w:b/>
        </w:rPr>
        <w:t xml:space="preserve">Source: </w:t>
      </w:r>
      <w:r>
        <w:t>Wiley: Advanced Materials: Table of Contents</w:t>
      </w:r>
      <w:r>
        <w:t xml:space="preserve">    </w:t>
      </w:r>
      <w:r>
        <w:rPr>
          <w:b/>
        </w:rPr>
        <w:t xml:space="preserve">Pub date: </w:t>
      </w:r>
      <w:r>
        <w:t>2026-07-25 21:21:39+00:00</w:t>
      </w:r>
      <w:r>
        <w:t xml:space="preserve">    </w:t>
      </w:r>
      <w:r>
        <w:rPr>
          <w:b/>
        </w:rPr>
        <w:t xml:space="preserve">DOI: </w:t>
      </w:r>
      <w:hyperlink r:id="rId106">
        <w:r>
          <w:rPr>
            <w:color w:val="1155CC"/>
            <w:u w:val="single"/>
          </w:rPr>
          <w:t>10.1002/adma.74286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可控的锡电沉积对于实现高度可逆的锡金属电池至关重要，但仍然是一个重大挑战。在这里，在电镀和剥离过程中通过阴离子极性驱动的界面调节策略实现了具有均匀致密形貌的Sn(211)平面的优先暴露。 CF 的强晶体选择性吸附</w:t>
      </w:r>
      <w:r>
        <w:rPr>
          <w:vertAlign w:val="subscript"/>
        </w:rPr>
        <w:t>3</w:t>
      </w:r>
      <w:r>
        <w:t>SO</w:t>
      </w:r>
      <w:r>
        <w:rPr>
          <w:vertAlign w:val="subscript"/>
        </w:rPr>
        <w:t>3</w:t>
      </w:r>
      <w:r>
        <w:t>-</w:t>
      </w:r>
      <w:r>
        <w:t>Sn 有效地调节沉积行为。由于其较大的本征偶极子，CF</w:t>
      </w:r>
      <w:r>
        <w:rPr>
          <w:vertAlign w:val="subscript"/>
        </w:rPr>
        <w:t>3</w:t>
      </w:r>
      <w:r>
        <w:t>SO</w:t>
      </w:r>
      <w:r>
        <w:rPr>
          <w:vertAlign w:val="subscript"/>
        </w:rPr>
        <w:t>3</w:t>
      </w:r>
      <w:r>
        <w:t>-</w:t>
      </w:r>
      <w:r>
        <w:t>在 Sn(211) 上建立了一个明显的表面法向界面偶极场，它抑制了沿该平面的生长，同时加速了竞争方向上的沉积，从而推动了向主导 Sn(211) 暴露的逐渐演化。因此，重构的 Sn 阳极具有出色的性能，包括在 10 mA cm 电流下超过 10,200 个循环的库仑效率为 99.88%</w:t>
      </w:r>
      <w:r>
        <w:t xml:space="preserve"> </w:t>
      </w:r>
      <w:r>
        <w:t>−2</w:t>
      </w:r>
      <w:r>
        <w:t xml:space="preserve"> </w:t>
      </w:r>
      <w:r>
        <w:t>在 Sn//Cu 电池中，Sn//Sn 对称电池中的超长循环稳定性为 3456 小时（~4.8 个月），在全电池中 20,000 次循环后容量保持率为 71%。这项工作中提出的基于偶极子的界面描述符将阴离子极性与金属电沉积中的晶体织构演化相关联，为高性能金属电池的可控电化学重构提供了合理的途径。</w:t>
      </w:r>
    </w:p>
    <w:p>
      <w:pPr>
        <w:spacing w:before="0" w:after="200" w:lineRule="auto" w:line="276"/>
      </w:pPr>
      <w:r>
        <w:rPr>
          <w:b/>
        </w:rPr>
        <w:t xml:space="preserve">Abstract (EN): </w:t>
      </w:r>
      <w:r>
        <w:t>Controllable Sn electrodeposition is crucial for achieving highly reversible Sn metal batteries, but remains a significant challenge. Here, preferential exposure of Sn(211) planes with a uniform and compact morphology is achieved via an anion‐polarity‐driven interfacial regulation strategy during plating and stripping. Strong and crystallographically selective adsorption of CF</w:t>
      </w:r>
      <w:r>
        <w:rPr>
          <w:vertAlign w:val="subscript"/>
        </w:rPr>
        <w:t>3</w:t>
      </w:r>
      <w:r>
        <w:t>SO</w:t>
      </w:r>
      <w:r>
        <w:rPr>
          <w:vertAlign w:val="subscript"/>
        </w:rPr>
        <w:t>3</w:t>
      </w:r>
      <w:r>
        <w:t>−</w:t>
      </w:r>
      <w:r>
        <w:t>on Sn effectively modulates deposition behavior. Owing to its large intrinsic dipole, CF</w:t>
      </w:r>
      <w:r>
        <w:rPr>
          <w:vertAlign w:val="subscript"/>
        </w:rPr>
        <w:t>3</w:t>
      </w:r>
      <w:r>
        <w:t>SO</w:t>
      </w:r>
      <w:r>
        <w:rPr>
          <w:vertAlign w:val="subscript"/>
        </w:rPr>
        <w:t>3</w:t>
      </w:r>
      <w:r>
        <w:t>−</w:t>
      </w:r>
      <w:r>
        <w:t>establishes a pronounced surface‐normal interfacial dipole field on Sn(211), which suppresses growth along this plane while accelerating deposition on competing orientations, thereby driving the gradual evolution toward dominant Sn(211) exposure. Consequently, the reconstructed Sn anode delivers outstanding performance, including 99.88% Coulombic efficiency over 10,200 cycles at 10 mA cm</w:t>
      </w:r>
      <w:r>
        <w:t xml:space="preserve"> </w:t>
      </w:r>
      <w:r>
        <w:t>−2</w:t>
      </w:r>
      <w:r>
        <w:t xml:space="preserve"> </w:t>
      </w:r>
      <w:r>
        <w:t>in Sn//Cu cells, ultralong cycling stability of 3456 h (∼4.8 months) in Sn//Sn symmetric cells, and 71% capacity retention after 20,000 cycles in full cells. The dipole‐based interfacial descriptor proposed in this work correlates anion polarity with crystallographic texture evolution in metal electrodeposition, providing a rational route toward controllable electrochemical reconstruction for high‐performance metal batteries.</w:t>
      </w:r>
    </w:p>
    <w:p>
      <w:pPr>
        <w:spacing w:before="120" w:after="120"/>
      </w:pPr>
      <w:r>
        <w:rPr>
          <w:sz w:val="18"/>
        </w:rPr>
        <w:t>——————————————————————————————————————————————————————————————————————</w:t>
      </w:r>
    </w:p>
    <w:p>
      <w:pPr>
        <w:spacing w:before="160" w:after="40" w:line="240" w:lineRule="auto"/>
      </w:pPr>
      <w:r>
        <w:rPr>
          <w:b/>
        </w:rPr>
        <w:t xml:space="preserve">[11] </w:t>
      </w:r>
      <w:hyperlink r:id="rId107">
        <w:r>
          <w:rPr>
            <w:color w:val="1155CC"/>
            <w:u w:val="single"/>
          </w:rPr>
          <w:t>用于无阳极固态电池中空间分布锂沉积的机械图案化 Cu/LLZTO 界面</w:t>
        </w:r>
      </w:hyperlink>
    </w:p>
    <w:p>
      <w:pPr>
        <w:spacing w:before="0" w:after="80"/>
      </w:pPr>
      <w:r>
        <w:rPr>
          <w:i/>
          <w:sz w:val="20"/>
        </w:rPr>
        <w:t>EN: Mechanically Patterned Cu/LLZTO Interfaces for Spatially Distributed Lithium Deposition in Anode-Free Solid-State Batteries</w:t>
      </w:r>
    </w:p>
    <w:p>
      <w:pPr>
        <w:spacing w:before="0" w:after="120"/>
      </w:pPr>
      <w:r>
        <w:rPr>
          <w:b/>
        </w:rPr>
        <w:t xml:space="preserve">Source: </w:t>
      </w:r>
      <w:r>
        <w:t>ACS Energy Letters: Latest Articles (ACS Publications)</w:t>
      </w:r>
      <w:r>
        <w:t xml:space="preserve">    </w:t>
      </w:r>
      <w:r>
        <w:rPr>
          <w:b/>
        </w:rPr>
        <w:t xml:space="preserve">Pub date: </w:t>
      </w:r>
      <w:r>
        <w:t>2026-07-26 00:00:00+00:00</w:t>
      </w:r>
      <w:r>
        <w:t xml:space="preserve">    </w:t>
      </w:r>
      <w:r>
        <w:rPr>
          <w:b/>
        </w:rPr>
        <w:t xml:space="preserve">DOI: </w:t>
      </w:r>
      <w:hyperlink r:id="rId108">
        <w:r>
          <w:rPr>
            <w:color w:val="1155CC"/>
            <w:u w:val="single"/>
          </w:rPr>
          <w:t>10.1021/acsenergylett.6c01543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109">
        <w:r>
          <w:rPr>
            <w:color w:val="1155CC"/>
            <w:u w:val="single"/>
          </w:rPr>
          <w:t>使用可扩展的原位超薄聚合电解质实现耐用的零度以下锂/钠金属电池</w:t>
        </w:r>
      </w:hyperlink>
    </w:p>
    <w:p>
      <w:pPr>
        <w:spacing w:before="0" w:after="80"/>
      </w:pPr>
      <w:r>
        <w:rPr>
          <w:i/>
          <w:sz w:val="20"/>
        </w:rPr>
        <w:t>EN: Enabling Durable, Subzero Li/Na‐Metal Batteries with Scalable, In Situ Ultrathin Polymerized Electrolytes</w:t>
      </w:r>
    </w:p>
    <w:p>
      <w:pPr>
        <w:spacing w:before="0" w:after="120"/>
      </w:pPr>
      <w:r>
        <w:rPr>
          <w:b/>
        </w:rPr>
        <w:t xml:space="preserve">Source: </w:t>
      </w:r>
      <w:r>
        <w:t>Wiley: Advanced Energy Materials: Table of Contents</w:t>
      </w:r>
      <w:r>
        <w:t xml:space="preserve">    </w:t>
      </w:r>
      <w:r>
        <w:rPr>
          <w:b/>
        </w:rPr>
        <w:t xml:space="preserve">Pub date: </w:t>
      </w:r>
      <w:r>
        <w:t>2026-07-27 11:34:02+00:00</w:t>
      </w:r>
      <w:r>
        <w:t xml:space="preserve">    </w:t>
      </w:r>
      <w:r>
        <w:rPr>
          <w:b/>
        </w:rPr>
        <w:t xml:space="preserve">DOI: </w:t>
      </w:r>
      <w:hyperlink r:id="rId110">
        <w:r>
          <w:rPr>
            <w:color w:val="1155CC"/>
            <w:u w:val="single"/>
          </w:rPr>
          <w:t>10.1002/aenm.71342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固体聚合物电解质在高能量密度碱金属电池方面很有前景，但由于厚度过大、界面接触不足和枝晶生长不受控制而受到阻碍。在此，我们引入了一种可扩展的原位聚合策略来制造超薄（~10 µm）但坚固的类固体聚合物电解质（SPE-Na 和 SPE-Li），同时实现快速离子传输和紧密的界面集成。离子传输主要是通过富含溶剂的路径快速迁移，而聚合物基质则确保机械完整性。为了稳定金属电极，引入全氟丁磺酸钾形成 SPE，其中 K</w:t>
      </w:r>
      <w:r>
        <w:t xml:space="preserve"> </w:t>
      </w:r>
      <w:r>
        <w:t>+</w:t>
      </w:r>
      <w:r>
        <w:t xml:space="preserve"> </w:t>
      </w:r>
      <w:r>
        <w:t>提供动态静电屏蔽以抑制枝晶形成，而含氟物质则促进富含 LiF/NaF 的无机增强界面相。优化后的 SPE-0.05K-Na 和 SPE-0.02K-Li 显示出约 0.5 的高电导率和约 4.78 × 10 的离子电导率</w:t>
      </w:r>
      <w:r>
        <w:t xml:space="preserve"> </w:t>
      </w:r>
      <w:r>
        <w:t>−4</w:t>
      </w:r>
      <w:r>
        <w:t xml:space="preserve"> </w:t>
      </w:r>
      <w:r>
        <w:t>和~4.87×10</w:t>
      </w:r>
      <w:r>
        <w:t xml:space="preserve"> </w:t>
      </w:r>
      <w:r>
        <w:t>−4</w:t>
      </w:r>
      <w:r>
        <w:t xml:space="preserve"> </w:t>
      </w:r>
      <w:r>
        <w:t>厘米</w:t>
      </w:r>
      <w:r>
        <w:t xml:space="preserve"> </w:t>
      </w:r>
      <w:r>
        <w:t>−1</w:t>
      </w:r>
      <w:r>
        <w:t xml:space="preserve"> </w:t>
      </w:r>
      <w:r>
        <w:t>。因此，Li||Li 和 Na||Na 对称电池实现了 4000 小时的稳定循环（0.5 mA cm</w:t>
      </w:r>
      <w:r>
        <w:t xml:space="preserve"> </w:t>
      </w:r>
      <w:r>
        <w:t>−2</w:t>
      </w:r>
      <w:r>
        <w:t xml:space="preserve"> </w:t>
      </w:r>
      <w:r>
        <w:t>）和 1800 小时（0.2 mA cm</w:t>
      </w:r>
      <w:r>
        <w:t xml:space="preserve"> </w:t>
      </w:r>
      <w:r>
        <w:t>−2</w:t>
      </w:r>
      <w:r>
        <w:t xml:space="preserve"> </w:t>
      </w:r>
      <w:r>
        <w:t>）分别。全电池在严格条件下可靠运行，例如提高质量负载（例如，20.0 mg</w:t>
      </w:r>
      <w:r>
        <w:t xml:space="preserve"> </w:t>
      </w:r>
      <w:r>
        <w:t>磷酸铁锂</w:t>
      </w:r>
      <w:r>
        <w:t xml:space="preserve"> </w:t>
      </w:r>
      <w:r>
        <w:t>厘米</w:t>
      </w:r>
      <w:r>
        <w:t xml:space="preserve"> </w:t>
      </w:r>
      <w:r>
        <w:t>−2</w:t>
      </w:r>
      <w:r>
        <w:t xml:space="preserve"> </w:t>
      </w:r>
      <w:r>
        <w:t>，20。</w:t>
      </w:r>
    </w:p>
    <w:p>
      <w:pPr>
        <w:spacing w:before="0" w:after="200" w:lineRule="auto" w:line="276"/>
      </w:pPr>
      <w:r>
        <w:rPr>
          <w:b/>
        </w:rPr>
        <w:t xml:space="preserve">Abstract (EN): </w:t>
      </w:r>
      <w:r>
        <w:t>Solid polymer electrolytes are promising for high‐energy‐density alkali metal batteries but are hindered by excessive thickness, insufficient interfacial contact, and uncontrolled dendrite growth. Herein, we introduce a scalable in situ polymerization strategy to fabricate ultrathin (∼10 µm) yet robust solid‐like polymer electrolytes (SPE‐Na and SPE‐Li) that simultaneously enable rapid ion transport and intimate interfacial integration. Ion transport is dominated by fast migration through solvent‐rich pathways while the polymer matrix ensures mechanical integrity. To stabilize metal electrodes, potassium perfluorobutane sulfonate is introduced to form SPEs, where K</w:t>
      </w:r>
      <w:r>
        <w:t xml:space="preserve"> </w:t>
      </w:r>
      <w:r>
        <w:t>+</w:t>
      </w:r>
      <w:r>
        <w:t xml:space="preserve"> </w:t>
      </w:r>
      <w:r>
        <w:t>provides dynamic electrostatic shielding to suppress dendrite formation, while fluorine‐containing species promote LiF/NaF‐rich, inorganic‐reinforced interphases. The optimized SPE‐0.05K‐Na and SPE‐0.02K‐Li showed high  of ∼0.5 and ionic conductivities of ∼4.78 × 10</w:t>
      </w:r>
      <w:r>
        <w:t xml:space="preserve"> </w:t>
      </w:r>
      <w:r>
        <w:t>−4</w:t>
      </w:r>
      <w:r>
        <w:t xml:space="preserve"> </w:t>
      </w:r>
      <w:r>
        <w:t>and ∼4.87 × 10</w:t>
      </w:r>
      <w:r>
        <w:t xml:space="preserve"> </w:t>
      </w:r>
      <w:r>
        <w:t>−4</w:t>
      </w:r>
      <w:r>
        <w:t xml:space="preserve"> </w:t>
      </w:r>
      <w:r>
        <w:t>S cm</w:t>
      </w:r>
      <w:r>
        <w:t xml:space="preserve"> </w:t>
      </w:r>
      <w:r>
        <w:t>−1</w:t>
      </w:r>
      <w:r>
        <w:t xml:space="preserve"> </w:t>
      </w:r>
      <w:r>
        <w:t>. Consequently, Li||Li and Na||Na symmetric cells achieved stable cycling for 4000 h (0.5 mA cm</w:t>
      </w:r>
      <w:r>
        <w:t xml:space="preserve"> </w:t>
      </w:r>
      <w:r>
        <w:t>−2</w:t>
      </w:r>
      <w:r>
        <w:t xml:space="preserve"> </w:t>
      </w:r>
      <w:r>
        <w:t>) and 1800 h (0.2 mA cm</w:t>
      </w:r>
      <w:r>
        <w:t xml:space="preserve"> </w:t>
      </w:r>
      <w:r>
        <w:t>−2</w:t>
      </w:r>
      <w:r>
        <w:t xml:space="preserve"> </w:t>
      </w:r>
      <w:r>
        <w:t>), respectively. Full cells operated reliably under rigorous conditions, such as elevated mass loadings (e.g., 20.0 mg</w:t>
      </w:r>
      <w:r>
        <w:t xml:space="preserve"> </w:t>
      </w:r>
      <w:r>
        <w:t>LFP</w:t>
      </w:r>
      <w:r>
        <w:t xml:space="preserve"> </w:t>
      </w:r>
      <w:r>
        <w:t>cm</w:t>
      </w:r>
      <w:r>
        <w:t xml:space="preserve"> </w:t>
      </w:r>
      <w:r>
        <w:t>−2</w:t>
      </w:r>
      <w:r>
        <w:t xml:space="preserve"> </w:t>
      </w:r>
      <w:r>
        <w:t>, 20.2 mg</w:t>
      </w:r>
      <w:r>
        <w:t xml:space="preserve"> </w:t>
      </w:r>
      <w:r>
        <w:t>LCO</w:t>
      </w:r>
      <w:r>
        <w:t xml:space="preserve"> </w:t>
      </w:r>
      <w:r>
        <w:t>cm</w:t>
      </w:r>
      <w:r>
        <w:t xml:space="preserve"> </w:t>
      </w:r>
      <w:r>
        <w:t>−2</w:t>
      </w:r>
      <w:r>
        <w:t xml:space="preserve"> </w:t>
      </w:r>
      <w:r>
        <w:t>, 14.3 mg</w:t>
      </w:r>
      <w:r>
        <w:t xml:space="preserve"> </w:t>
      </w:r>
      <w:r>
        <w:t>NCM</w:t>
      </w:r>
      <w:r>
        <w:t xml:space="preserve"> </w:t>
      </w:r>
      <w:r>
        <w:t>cm</w:t>
      </w:r>
      <w:r>
        <w:t xml:space="preserve"> </w:t>
      </w:r>
      <w:r>
        <w:t>−2</w:t>
      </w:r>
      <w:r>
        <w:t xml:space="preserve"> </w:t>
      </w:r>
      <w:r>
        <w:t>, and 7.2 mg</w:t>
      </w:r>
      <w:r>
        <w:t xml:space="preserve"> </w:t>
      </w:r>
      <w:r>
        <w:t>NVP</w:t>
      </w:r>
      <w:r>
        <w:t xml:space="preserve"> </w:t>
      </w:r>
      <w:r>
        <w:t>cm</w:t>
      </w:r>
      <w:r>
        <w:t xml:space="preserve"> </w:t>
      </w:r>
      <w:r>
        <w:t>−2</w:t>
      </w:r>
      <w:r>
        <w:t xml:space="preserve"> </w:t>
      </w:r>
      <w:r>
        <w:t>), subzero temperatures (−20°C), and Ah‐level pouch cells. This work integrates interface engineering with ultrathin electrolyte design to advance practical, low‐temperature, and high‐energy‐density batteries.</w:t>
      </w:r>
    </w:p>
    <w:p>
      <w:pPr>
        <w:spacing w:before="120" w:after="120"/>
      </w:pPr>
      <w:r>
        <w:rPr>
          <w:sz w:val="18"/>
        </w:rPr>
        <w:t>——————————————————————————————————————————————————————————————————————</w:t>
      </w:r>
    </w:p>
    <w:p>
      <w:pPr>
        <w:spacing w:before="160" w:after="40" w:line="240" w:lineRule="auto"/>
      </w:pPr>
      <w:r>
        <w:rPr>
          <w:b/>
        </w:rPr>
        <w:t xml:space="preserve">[13] </w:t>
      </w:r>
      <w:hyperlink r:id="rId111">
        <w:r>
          <w:rPr>
            <w:color w:val="1155CC"/>
            <w:u w:val="single"/>
          </w:rPr>
          <w:t>钠离子电池用富sp2闭孔硬碳的液相空间约束工程</w:t>
        </w:r>
      </w:hyperlink>
    </w:p>
    <w:p>
      <w:pPr>
        <w:spacing w:before="0" w:after="80"/>
      </w:pPr>
      <w:r>
        <w:rPr>
          <w:i/>
          <w:sz w:val="20"/>
        </w:rPr>
        <w:t>EN: Liquid‐Phase Spatial Confinement Engineering of sp2‐Rich Closed‐Pore Hard Carbon for Sodium‐Ion Batteries</w:t>
      </w:r>
    </w:p>
    <w:p>
      <w:pPr>
        <w:spacing w:before="0" w:after="120"/>
      </w:pPr>
      <w:r>
        <w:rPr>
          <w:b/>
        </w:rPr>
        <w:t xml:space="preserve">Source: </w:t>
      </w:r>
      <w:r>
        <w:t>Wiley: Advanced Energy Materials: Table of Contents</w:t>
      </w:r>
      <w:r>
        <w:t xml:space="preserve">    </w:t>
      </w:r>
      <w:r>
        <w:rPr>
          <w:b/>
        </w:rPr>
        <w:t xml:space="preserve">Pub date: </w:t>
      </w:r>
      <w:r>
        <w:t>2026-07-28 05:57:09+00:00</w:t>
      </w:r>
      <w:r>
        <w:t xml:space="preserve">    </w:t>
      </w:r>
      <w:r>
        <w:rPr>
          <w:b/>
        </w:rPr>
        <w:t xml:space="preserve">DOI: </w:t>
      </w:r>
      <w:hyperlink r:id="rId112">
        <w:r>
          <w:rPr>
            <w:color w:val="1155CC"/>
            <w:u w:val="single"/>
          </w:rPr>
          <w:t>10.1002/aenm.71369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孔碳基硬碳由于其高平台容量而作为钠离子电池负极引起了广泛关注；然而，它们的实际应用受到内在权衡的限制：构建丰富的闭孔可以增强容量，但会阻碍电荷传输并损害结构稳定性。在这里，我们引入了一种溶剂介导的液相空间限制策略，从根本上解决了这一困境。通过将不混溶的非极性溶剂加入到水热系统中，碳前驱体的沉积和成核在有限的高压液相界面内得到精确调节，从而产生sp</w:t>
      </w:r>
      <w:r>
        <w:rPr>
          <w:vertAlign w:val="subscript"/>
        </w:rPr>
        <w:t>2</w:t>
      </w:r>
      <w:r>
        <w:t>‐丰富的闭孔硬碳，同时增强容量、动力学和耐用性。结合原位表征和理论计算表明，这种 sp</w:t>
      </w:r>
      <w:r>
        <w:rPr>
          <w:vertAlign w:val="subscript"/>
        </w:rPr>
        <w:t>2</w:t>
      </w:r>
      <w:r>
        <w:t>‐富碳层显着促进电子和Na</w:t>
      </w:r>
      <w:r>
        <w:t xml:space="preserve"> </w:t>
      </w:r>
      <w:r>
        <w:t>+</w:t>
      </w:r>
      <w:r>
        <w:t xml:space="preserve"> </w:t>
      </w:r>
      <w:r>
        <w:t>传输，诱导阴离子优先分解，生成薄且富含 NaF 的固体电解质界面，同时增强结构完整性。因此，工程硬碳可提供高容量（413.5 mA h g</w:t>
      </w:r>
      <w:r>
        <w:t xml:space="preserve"> </w:t>
      </w:r>
      <w:r>
        <w:t>−1</w:t>
      </w:r>
      <w:r>
        <w:t xml:space="preserve"> </w:t>
      </w:r>
      <w:r>
        <w:t>20 mA g时</w:t>
      </w:r>
      <w:r>
        <w:t xml:space="preserve"> </w:t>
      </w:r>
      <w:r>
        <w:t>−1</w:t>
      </w:r>
      <w:r>
        <w:t xml:space="preserve"> </w:t>
      </w:r>
      <w:r>
        <w:t>）以及出色的倍率性能和循环稳定性（224.1 mA h g</w:t>
      </w:r>
      <w:r>
        <w:t xml:space="preserve"> </w:t>
      </w:r>
      <w:r>
        <w:t>−1</w:t>
      </w:r>
      <w:r>
        <w:t xml:space="preserve"> </w:t>
      </w:r>
      <w:r>
        <w:t>2A g 时</w:t>
      </w:r>
      <w:r>
        <w:t xml:space="preserve"> </w:t>
      </w:r>
      <w:r>
        <w:t>−1</w:t>
      </w:r>
      <w:r>
        <w:t xml:space="preserve"> </w:t>
      </w:r>
      <w:r>
        <w:t>4000之后</w:t>
      </w:r>
    </w:p>
    <w:p>
      <w:pPr>
        <w:spacing w:before="0" w:after="200" w:lineRule="auto" w:line="276"/>
      </w:pPr>
      <w:r>
        <w:rPr>
          <w:b/>
        </w:rPr>
        <w:t xml:space="preserve">Abstract (EN): </w:t>
      </w:r>
      <w:r>
        <w:t>Porous‐carbon‐based hard carbons have attracted widespread attention as anodes for sodium‐ion batteries owing to the high plateau capacity; however, their practical application is constrained by an intrinsic trade‐off: constructing abundant closed pores enhances capacity but impedes charge transport and compromises structural stability. Herein, we introduce a solvent‐mediated liquid‐phase spatial confinement strategy that fundamentally addresses this dilemma. By incorporating an immiscible nonpolar solvent into a hydrothermal system, carbon precursor deposition and nucleation are precisely regulated within a confined, high‐tension liquid‐phase interface, yielding sp</w:t>
      </w:r>
      <w:r>
        <w:rPr>
          <w:vertAlign w:val="subscript"/>
        </w:rPr>
        <w:t>2</w:t>
      </w:r>
      <w:r>
        <w:t>‐rich closed‐pore hard carbon with simultaneously enhanced capacity, kinetics, and durability. Combined in situ characterizations and theoretical calculations reveal that such sp</w:t>
      </w:r>
      <w:r>
        <w:rPr>
          <w:vertAlign w:val="subscript"/>
        </w:rPr>
        <w:t>2</w:t>
      </w:r>
      <w:r>
        <w:t>‐rich carbon layer significantly promotes electronic and Na</w:t>
      </w:r>
      <w:r>
        <w:t xml:space="preserve"> </w:t>
      </w:r>
      <w:r>
        <w:t>+</w:t>
      </w:r>
      <w:r>
        <w:t xml:space="preserve"> </w:t>
      </w:r>
      <w:r>
        <w:t>transport, induces preferential anion decomposition to generate a thin and NaF‐rich solid electrolyte interphase, while reinforcing structural integrity. Consequently, the engineered hard carbon delivers high capacity (413.5 mA h g</w:t>
      </w:r>
      <w:r>
        <w:t xml:space="preserve"> </w:t>
      </w:r>
      <w:r>
        <w:t>−1</w:t>
      </w:r>
      <w:r>
        <w:t xml:space="preserve"> </w:t>
      </w:r>
      <w:r>
        <w:t>at 20 mA g</w:t>
      </w:r>
      <w:r>
        <w:t xml:space="preserve"> </w:t>
      </w:r>
      <w:r>
        <w:t>−1</w:t>
      </w:r>
      <w:r>
        <w:t xml:space="preserve"> </w:t>
      </w:r>
      <w:r>
        <w:t>) together with excellent rate capability and cycling stability (224.1 mA h g</w:t>
      </w:r>
      <w:r>
        <w:t xml:space="preserve"> </w:t>
      </w:r>
      <w:r>
        <w:t>−1</w:t>
      </w:r>
      <w:r>
        <w:t xml:space="preserve"> </w:t>
      </w:r>
      <w:r>
        <w:t>at 2 A g</w:t>
      </w:r>
      <w:r>
        <w:t xml:space="preserve"> </w:t>
      </w:r>
      <w:r>
        <w:t>−1</w:t>
      </w:r>
      <w:r>
        <w:t xml:space="preserve"> </w:t>
      </w:r>
      <w:r>
        <w:t>after 4000 cycles). When assembled into Ah‐level 32700 cylindrical cells, it achieves high energy density of 124.0 Wh kg</w:t>
      </w:r>
      <w:r>
        <w:t xml:space="preserve"> </w:t>
      </w:r>
      <w:r>
        <w:t>−1</w:t>
      </w:r>
      <w:r>
        <w:t xml:space="preserve"> </w:t>
      </w:r>
      <w:r>
        <w:t>and stable operation over 1200 cycles at 1C, demonstrating a new paradigm for the rational design of high‐performance porous‐carbon‐based hard carbon anodes.</w:t>
      </w:r>
    </w:p>
    <w:p>
      <w:pPr>
        <w:spacing w:before="120" w:after="120"/>
      </w:pPr>
      <w:r>
        <w:rPr>
          <w:sz w:val="18"/>
        </w:rPr>
        <w:t>——————————————————————————————————————————————————————————————————————</w:t>
      </w:r>
    </w:p>
    <w:p>
      <w:pPr>
        <w:spacing w:before="160" w:after="40" w:line="240" w:lineRule="auto"/>
      </w:pPr>
      <w:r>
        <w:rPr>
          <w:b/>
        </w:rPr>
        <w:t xml:space="preserve">[14] </w:t>
      </w:r>
      <w:hyperlink r:id="rId113">
        <w:r>
          <w:rPr>
            <w:color w:val="1155CC"/>
            <w:u w:val="single"/>
          </w:rPr>
          <w:t>锂金属电池中的纤维素复合材料</w:t>
        </w:r>
      </w:hyperlink>
    </w:p>
    <w:p>
      <w:pPr>
        <w:spacing w:before="0" w:after="80"/>
      </w:pPr>
      <w:r>
        <w:rPr>
          <w:i/>
          <w:sz w:val="20"/>
        </w:rPr>
        <w:t>EN: Cellulosic Composites in Lithium Metal Batteries</w:t>
      </w:r>
    </w:p>
    <w:p>
      <w:pPr>
        <w:spacing w:before="0" w:after="120"/>
      </w:pPr>
      <w:r>
        <w:rPr>
          <w:b/>
        </w:rPr>
        <w:t xml:space="preserve">Source: </w:t>
      </w:r>
      <w:r>
        <w:t>Wiley: Advanced Materials: Table of Contents</w:t>
      </w:r>
      <w:r>
        <w:t xml:space="preserve">    </w:t>
      </w:r>
      <w:r>
        <w:rPr>
          <w:b/>
        </w:rPr>
        <w:t xml:space="preserve">Pub date: </w:t>
      </w:r>
      <w:r>
        <w:t>2026-07-28 10:19:23+00:00</w:t>
      </w:r>
      <w:r>
        <w:t xml:space="preserve">    </w:t>
      </w:r>
      <w:r>
        <w:rPr>
          <w:b/>
        </w:rPr>
        <w:t xml:space="preserve">DOI: </w:t>
      </w:r>
      <w:hyperlink r:id="rId114">
        <w:r>
          <w:rPr>
            <w:color w:val="1155CC"/>
            <w:u w:val="single"/>
          </w:rPr>
          <w:t>10.1002/adma.74314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金属电池（LMB）对于下一代高能量密度储能有着巨大的前景，但其实际部署却因锂枝晶生长、不稳定的固体电解质界面（SEI）、锂负极的无限体积膨胀和较差的热安全性而受到严重阻碍。作为一种丰富、可再生、可生物降解、低成本的生物质聚合物，纤维素及其衍生物具有突出的机械鲁棒性、可调的灵活性、丰富的表面羟基和可设计的分级微/纳米结构，这使得它们在解决LMB的关键瓶颈方面具有独特的优势。本综述重点关注纤维素基复合材料在提高 LMB 电化学和安全性能方面的多功能作用和潜在机制。纤维素凭借极性官能团和刚柔结合结构，可以有效均匀化Li</w:t>
      </w:r>
      <w:r>
        <w:t xml:space="preserve"> </w:t>
      </w:r>
      <w:r>
        <w:t>+</w:t>
      </w:r>
      <w:r>
        <w:t xml:space="preserve"> </w:t>
      </w:r>
      <w:r>
        <w:t>通量，引导均匀的锂沉积，抑制枝晶成核和扩展，并减轻循环过程中的体积波动。同时，纤维素基体显着提高了聚合物电解质和隔膜的机械强度、热稳定性、阻燃性和离子电导率。重点介绍了七种功能性纤维素复合材料在电解质、隔膜、3D 阳极主体、人工界面层和界面调节剂中的应用。最后，纤维素材料未来向高性能L方向发展</w:t>
      </w:r>
    </w:p>
    <w:p>
      <w:pPr>
        <w:spacing w:before="0" w:after="200" w:lineRule="auto" w:line="276"/>
      </w:pPr>
      <w:r>
        <w:rPr>
          <w:b/>
        </w:rPr>
        <w:t xml:space="preserve">Abstract (EN): </w:t>
      </w:r>
      <w:r>
        <w:t>Lithium metal batteries (LMBs) hold great promise for next‐generation high‐energy‐density energy storage, yet their practical deployment is severely hindered by lithium dendrite growth, unstable solid electrolyte interphase (SEI), infinite volume expansion of lithium anodes, and poor thermal safety. As an abundant, renewable, biodegradable, and low‐cost biomass polymer, cellulose and its derivatives feature outstanding mechanical robustness, tunable flexibility, rich surface hydroxyl groups, and designable hierarchical micro/nanostructures, which endow them with unique advantages in addressing critical bottlenecks of LMBs. This review focuses on the multifunctional roles and underlying mechanisms of cellulose‐based composites in boosting the electrochemical and safety performance of LMBs. By virtue of polar functional groups and rigid‐flexible integrated structures, cellulose can effectively homogenize Li</w:t>
      </w:r>
      <w:r>
        <w:t xml:space="preserve"> </w:t>
      </w:r>
      <w:r>
        <w:t>+</w:t>
      </w:r>
      <w:r>
        <w:t xml:space="preserve"> </w:t>
      </w:r>
      <w:r>
        <w:t>flux, guide uniform lithium deposition, suppress dendrite nucleation and propagation, and alleviate volume fluctuation during cycling. Meanwhile, cellulose‐based matrices significantly enhance the mechanical strength, thermal stability, flame retardancy, and ionic conductivity of polymer electrolytes and separators. Seven types of functional cellulose composites are highlighted regarding their applications in electrolytes, separators, 3D anode hosts, artificial interphase layers, and interface regulators. Finally, the future development of cellulose materials toward high‐performance LMBs is prospected from the aspects of precise molecular modification, biomimetic ordered ion transport, and scalable green fabrication. This review provides systematic insights into the performance enhancement mechanisms and application strategies of cellulose for high‐safety and long‐lifespan lithium metal batteries.</w:t>
      </w:r>
    </w:p>
    <w:p>
      <w:pPr>
        <w:spacing w:before="120" w:after="120"/>
      </w:pPr>
      <w:r>
        <w:rPr>
          <w:sz w:val="18"/>
        </w:rPr>
        <w:t>——————————————————————————————————————————————————————————————————————</w:t>
      </w:r>
    </w:p>
    <w:p>
      <w:pPr>
        <w:spacing w:before="160" w:after="40" w:line="240" w:lineRule="auto"/>
      </w:pPr>
      <w:r>
        <w:rPr>
          <w:b/>
        </w:rPr>
        <w:t xml:space="preserve">[15] </w:t>
      </w:r>
      <w:hyperlink r:id="rId115">
        <w:r>
          <w:rPr>
            <w:color w:val="1155CC"/>
            <w:u w:val="single"/>
          </w:rPr>
          <w:t>用于超过 1100 Wh L−1 的稳定柔性锂金属电池的电场自调节 3D 复合集电器</w:t>
        </w:r>
      </w:hyperlink>
    </w:p>
    <w:p>
      <w:pPr>
        <w:spacing w:before="0" w:after="80"/>
      </w:pPr>
      <w:r>
        <w:rPr>
          <w:i/>
          <w:sz w:val="20"/>
        </w:rPr>
        <w:t>EN: Electric‐field Self‐Regulating 3D Composite Current Collectors for Stable Flexible Lithium Metal Batteries Over 1100 Wh L−1</w:t>
      </w:r>
    </w:p>
    <w:p>
      <w:pPr>
        <w:spacing w:before="0" w:after="120"/>
      </w:pPr>
      <w:r>
        <w:rPr>
          <w:b/>
        </w:rPr>
        <w:t xml:space="preserve">Source: </w:t>
      </w:r>
      <w:r>
        <w:t>Wiley: Advanced Materials: Table of Contents</w:t>
      </w:r>
      <w:r>
        <w:t xml:space="preserve">    </w:t>
      </w:r>
      <w:r>
        <w:rPr>
          <w:b/>
        </w:rPr>
        <w:t xml:space="preserve">Pub date: </w:t>
      </w:r>
      <w:r>
        <w:t>2026-07-28 11:18:08+00:00</w:t>
      </w:r>
      <w:r>
        <w:t xml:space="preserve">    </w:t>
      </w:r>
      <w:r>
        <w:rPr>
          <w:b/>
        </w:rPr>
        <w:t xml:space="preserve">DOI: </w:t>
      </w:r>
      <w:hyperlink r:id="rId116">
        <w:r>
          <w:rPr>
            <w:color w:val="1155CC"/>
            <w:u w:val="single"/>
          </w:rPr>
          <w:t>10.1002/adma.74338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年来，高容量、灵活且稳定的锂金属电池因其在未来机器人、可穿戴电子产品和电动汽车中的高需求而受到前所未有的关注。然而，它们的发展在很大程度上受到了厚锂金属负极和铜（Cu）集流体（CC）的使用的阻碍，这不可避免地会引发枝晶形成、大量体积膨胀和变形下的机械故障。为了应对这些挑战，我们在此报告了一种多孔电场自调节复合 CC，它有助于形成异常致密、无枝晶且机械柔性的锂金属阳极。复合 CC 采用三维 (3D) 金属/铁电聚合物/金属夹层结构，可产生局部反向电场，以抵消枝晶形成的尖端效应。这种自我调节机制将锂金属的密集沉积限制在中间铁电聚合物框架内，从而消除了枝晶形态，同时赋予了显着的机械灵活性。与商用 NCM 搭配使用时</w:t>
      </w:r>
      <w:r>
        <w:rPr>
          <w:vertAlign w:val="subscript"/>
        </w:rPr>
        <w:t>811</w:t>
      </w:r>
      <w:r>
        <w:t>阴极，所得的全电池表现出超高的体积能量密度（1183 Wh L</w:t>
      </w:r>
      <w:r>
        <w:t xml:space="preserve"> </w:t>
      </w:r>
      <w:r>
        <w:t>−1</w:t>
      </w:r>
      <w:r>
        <w:t xml:space="preserve"> </w:t>
      </w:r>
      <w:r>
        <w:t>）和出色的容量保持率（每个周期 99.94%）。该电池还能承受 24000 次弯曲循环，容量没有明显衰减。这项工作展示了一种多功能的 CC 设计策略，为超高能和</w:t>
      </w:r>
    </w:p>
    <w:p>
      <w:pPr>
        <w:spacing w:before="0" w:after="200" w:lineRule="auto" w:line="276"/>
      </w:pPr>
      <w:r>
        <w:rPr>
          <w:b/>
        </w:rPr>
        <w:t xml:space="preserve">Abstract (EN): </w:t>
      </w:r>
      <w:r>
        <w:t>High volumetric energy, flexible, and stable lithium (Li) metal batteries have received unprecedented attention in recent years because of their high demand in future robotics, wearable electronics, and electric vehicles. However, their development has been largely hindered by the use of thick Li metal anode and copper (Cu) current collector (CC), which inevitably trigger dendrite formation, massive volume expansion, and mechanical failure under deformation. To address these challenges, we report here a porous, electric‐field self‐regulating composite CC that facilitates the formation of an exceptionally dense, dendrite‐free, yet mechanically flexible Li metal anode. Structured with a three‐dimensional (3D) metal/ferroelectric polymer/metal sandwich architecture, the composite CC generates localized reverse electric fields to counteract the tip effect of dendrite formation. This self‐regulation mechanism confines dense deposition of Li metal within the middle ferroelectric polymer framework, thereby eliminating dendritic morphology while imparting remarkable mechanical flexibility. When paired with a commercial NCM</w:t>
      </w:r>
      <w:r>
        <w:rPr>
          <w:vertAlign w:val="subscript"/>
        </w:rPr>
        <w:t>811</w:t>
      </w:r>
      <w:r>
        <w:t>cathode, the resulting full cells demonstrate an ultrahigh volumetric energy density (1183 Wh L</w:t>
      </w:r>
      <w:r>
        <w:t xml:space="preserve"> </w:t>
      </w:r>
      <w:r>
        <w:t>−1</w:t>
      </w:r>
      <w:r>
        <w:t xml:space="preserve"> </w:t>
      </w:r>
      <w:r>
        <w:t>) and outstanding capacity retention (99.94 % per cycle). The battery also sustains 24 000 bending cycles without obvious capacity decay. This work demonstrates a versatile CC design strategy, paving the way toward ultrahigh‐energy and flexible energy storage devices.</w:t>
      </w:r>
    </w:p>
    <w:p>
      <w:pPr>
        <w:spacing w:before="120" w:after="120"/>
      </w:pPr>
      <w:r>
        <w:rPr>
          <w:sz w:val="18"/>
        </w:rPr>
        <w:t>——————————————————————————————————————————————————————————————————————</w:t>
      </w:r>
    </w:p>
    <w:p>
      <w:pPr>
        <w:spacing w:before="160" w:after="40" w:line="240" w:lineRule="auto"/>
      </w:pPr>
      <w:r>
        <w:rPr>
          <w:b/>
        </w:rPr>
        <w:t xml:space="preserve">[16] </w:t>
      </w:r>
      <w:hyperlink r:id="rId80">
        <w:r>
          <w:rPr>
            <w:color w:val="1155CC"/>
            <w:u w:val="single"/>
          </w:rPr>
          <w:t>COF 和 CoO 的主客体协同作用可实现原位氧空位并调节高性能无阳极/少锂金属电池的 Li+ 行为</w:t>
        </w:r>
      </w:hyperlink>
    </w:p>
    <w:p>
      <w:pPr>
        <w:spacing w:before="0" w:after="80"/>
      </w:pPr>
      <w:r>
        <w:rPr>
          <w:i/>
          <w:sz w:val="20"/>
        </w:rPr>
        <w:t>EN: Host–Guest Synergy of COF and CoO Enables In Situ Oxygen Vacancies and Regulated Li+ Behavior for High‐Performance Anode‑Free/Less Li Metal Batteries</w:t>
      </w:r>
    </w:p>
    <w:p>
      <w:pPr>
        <w:spacing w:before="0" w:after="120"/>
      </w:pPr>
      <w:r>
        <w:rPr>
          <w:b/>
        </w:rPr>
        <w:t xml:space="preserve">Source: </w:t>
      </w:r>
      <w:r>
        <w:t>Wiley: Advanced Materials: Table of Contents</w:t>
      </w:r>
      <w:r>
        <w:t xml:space="preserve">    </w:t>
      </w:r>
      <w:r>
        <w:rPr>
          <w:b/>
        </w:rPr>
        <w:t xml:space="preserve">Pub date: </w:t>
      </w:r>
      <w:r>
        <w:t>2026-07-28 11:31:48+00:00</w:t>
      </w:r>
      <w:r>
        <w:t xml:space="preserve">    </w:t>
      </w:r>
      <w:r>
        <w:rPr>
          <w:b/>
        </w:rPr>
        <w:t xml:space="preserve">DOI: </w:t>
      </w:r>
      <w:hyperlink r:id="rId81">
        <w:r>
          <w:rPr>
            <w:color w:val="1155CC"/>
            <w:u w:val="single"/>
          </w:rPr>
          <w:t>10.1002/adma.74373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无阳极锂金属电池（AFLMB）因其高能量密度而成为电动汽车和低空飞机的绝佳候选者。然而，由于锂的可逆性较差，AFMBs的工业化仍然受到限制。</w:t>
      </w:r>
      <w:r>
        <w:t xml:space="preserve"> </w:t>
      </w:r>
      <w:r>
        <w:t>+</w:t>
      </w:r>
      <w:r>
        <w:t xml:space="preserve"> </w:t>
      </w:r>
      <w:r>
        <w:t>Cu 集流体 (CC) 上的沉积和剥离。在这项研究中，构建了一种集成共价有机骨架（COF）膜和CoO纳米颗粒的复合CC（TCMS@Cu）来应对这些挑战。 TCMS@Cu 通过外延生长在铜箔上形成致密的 COF 晶体膜，并掺入亲锂 CoO 纳米颗粒。 COF和CoO之间的主客体协同效应有效引导Li</w:t>
      </w:r>
      <w:r>
        <w:t xml:space="preserve"> </w:t>
      </w:r>
      <w:r>
        <w:t>+</w:t>
      </w:r>
      <w:r>
        <w:t xml:space="preserve"> </w:t>
      </w:r>
      <w:r>
        <w:t>迁移到COF空腔中，有效抑制枝晶形成和非活性锂的积累。在初始沉积过程中，CoO 与 Li 发生反应</w:t>
      </w:r>
      <w:r>
        <w:t xml:space="preserve"> </w:t>
      </w:r>
      <w:r>
        <w:t>+</w:t>
      </w:r>
      <w:r>
        <w:t xml:space="preserve"> </w:t>
      </w:r>
      <w:r>
        <w:t>产生氧空位，进一步增强TCMS膜的性能。用LiFePO组装的无阳极锂金属电池（ALLMB）</w:t>
      </w:r>
      <w:r>
        <w:rPr>
          <w:vertAlign w:val="subscript"/>
        </w:rPr>
        <w:t>4</w:t>
      </w:r>
      <w:r>
        <w:t>正极实现了 850 次循环的优异循环寿命和 5C 下 94.4% 的高倍率容量保持率。组装好的 AFLMB 软包电池可提供 288 Wh kg 的能量密度</w:t>
      </w:r>
      <w:r>
        <w:t xml:space="preserve"> </w:t>
      </w:r>
      <w:r>
        <w:t>−1</w:t>
      </w:r>
      <w:r>
        <w:t xml:space="preserve"> </w:t>
      </w:r>
      <w:r>
        <w:t>(LFP|CC) 和 452 Wh 千克</w:t>
      </w:r>
      <w:r>
        <w:t xml:space="preserve"> </w:t>
      </w:r>
      <w:r>
        <w:t>−1</w:t>
      </w:r>
      <w:r>
        <w:t xml:space="preserve"> </w:t>
      </w:r>
      <w:r>
        <w:t>(NCM811|CC)（没有单元罐和标签的情况下计算）。这项工作为设计高品质产品提供了有效的策略。</w:t>
      </w:r>
    </w:p>
    <w:p>
      <w:pPr>
        <w:spacing w:before="0" w:after="200" w:lineRule="auto" w:line="276"/>
      </w:pPr>
      <w:r>
        <w:rPr>
          <w:b/>
        </w:rPr>
        <w:t xml:space="preserve">Abstract (EN): </w:t>
      </w:r>
      <w:r>
        <w:t>Anode‐free Li metal batteries (AFLMBs) are excellent candidates for electric vehicles and low‐altitude aircrafts because of their high energy density. However, the industrialization of AFLMBs remains limited by the poor reversibility of Li</w:t>
      </w:r>
      <w:r>
        <w:t xml:space="preserve"> </w:t>
      </w:r>
      <w:r>
        <w:t>+</w:t>
      </w:r>
      <w:r>
        <w:t xml:space="preserve"> </w:t>
      </w:r>
      <w:r>
        <w:t>deposition and stripping on Cu current collectors (CCs). In this study, a composite CC (TCMS@Cu) integrating a covalent organic framework (COF) membrane and CoO nanoparticles is constructed to address these challenges. The TCMS@Cu forms a dense COF crystalline membrane on Cu foil via epitaxial growth and incorporates lithiophilic CoO nanoparticles. The host–guest synergistic effect between the COF and CoO effectively guides Li</w:t>
      </w:r>
      <w:r>
        <w:t xml:space="preserve"> </w:t>
      </w:r>
      <w:r>
        <w:t>+</w:t>
      </w:r>
      <w:r>
        <w:t xml:space="preserve"> </w:t>
      </w:r>
      <w:r>
        <w:t>migration into COF cavities, effectively suppressing dendrite formation and the accumulation of inactive Li. During the initial deposition process, CoO reacts with Li</w:t>
      </w:r>
      <w:r>
        <w:t xml:space="preserve"> </w:t>
      </w:r>
      <w:r>
        <w:t>+</w:t>
      </w:r>
      <w:r>
        <w:t xml:space="preserve"> </w:t>
      </w:r>
      <w:r>
        <w:t>to generate oxygen vacancies, further enhancing the performance of the TCMS membrane. The anode‐less Li metal batteries (ALLMBs) assembled with LiFePO</w:t>
      </w:r>
      <w:r>
        <w:rPr>
          <w:vertAlign w:val="subscript"/>
        </w:rPr>
        <w:t>4</w:t>
      </w:r>
      <w:r>
        <w:t>cathode achieve an exceptional cycle life of 850 cycles and a high‐rate capacity retention of 94.4% at 5C. The assembled AFLMB pouch cells deliver energy densities of 288 Wh kg</w:t>
      </w:r>
      <w:r>
        <w:t xml:space="preserve"> </w:t>
      </w:r>
      <w:r>
        <w:t>−1</w:t>
      </w:r>
      <w:r>
        <w:t xml:space="preserve"> </w:t>
      </w:r>
      <w:r>
        <w:t>(LFP|CC) and 452 Wh kg</w:t>
      </w:r>
      <w:r>
        <w:t xml:space="preserve"> </w:t>
      </w:r>
      <w:r>
        <w:t>−1</w:t>
      </w:r>
      <w:r>
        <w:t xml:space="preserve"> </w:t>
      </w:r>
      <w:r>
        <w:t>(NCM811|CC) (calculated without cell can and tabs). This work provides an effective strategy for designing high performance AFLMBs and promotes the development of next‐generation energy storage devices.</w:t>
      </w:r>
    </w:p>
    <w:p>
      <w:pPr>
        <w:spacing w:before="120" w:after="120"/>
      </w:pPr>
      <w:r>
        <w:rPr>
          <w:sz w:val="18"/>
        </w:rPr>
        <w:t>——————————————————————————————————————————————————————————————————————</w:t>
      </w:r>
    </w:p>
    <w:p>
      <w:pPr>
        <w:spacing w:before="160" w:after="40" w:line="240" w:lineRule="auto"/>
      </w:pPr>
      <w:r>
        <w:rPr>
          <w:b/>
        </w:rPr>
        <w:t xml:space="preserve">[17] </w:t>
      </w:r>
      <w:hyperlink r:id="rId82">
        <w:r>
          <w:rPr>
            <w:color w:val="1155CC"/>
            <w:u w:val="single"/>
          </w:rPr>
          <w:t>具有双界面调节的精简溶剂化结构，用于高性能和安全的锂硫电池</w:t>
        </w:r>
      </w:hyperlink>
    </w:p>
    <w:p>
      <w:pPr>
        <w:spacing w:before="0" w:after="80"/>
      </w:pPr>
      <w:r>
        <w:rPr>
          <w:i/>
          <w:sz w:val="20"/>
        </w:rPr>
        <w:t>EN: Slimmed Solvation Structure With Dual‐Interface Regulation for High‐Performance and Safe Lithium‐Sulfur Batteries</w:t>
      </w:r>
    </w:p>
    <w:p>
      <w:pPr>
        <w:spacing w:before="0" w:after="120"/>
      </w:pPr>
      <w:r>
        <w:rPr>
          <w:b/>
        </w:rPr>
        <w:t xml:space="preserve">Source: </w:t>
      </w:r>
      <w:r>
        <w:t>Wiley: Advanced Materials: Table of Contents</w:t>
      </w:r>
      <w:r>
        <w:t xml:space="preserve">    </w:t>
      </w:r>
      <w:r>
        <w:rPr>
          <w:b/>
        </w:rPr>
        <w:t xml:space="preserve">Pub date: </w:t>
      </w:r>
      <w:r>
        <w:t>2026-07-28 12:22:09+00:00</w:t>
      </w:r>
      <w:r>
        <w:t xml:space="preserve">    </w:t>
      </w:r>
      <w:r>
        <w:rPr>
          <w:b/>
        </w:rPr>
        <w:t xml:space="preserve">DOI: </w:t>
      </w:r>
      <w:hyperlink r:id="rId83">
        <w:r>
          <w:rPr>
            <w:color w:val="1155CC"/>
            <w:u w:val="single"/>
          </w:rPr>
          <w:t>10.1002/adma.74357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广泛电化学储能的关键一步是设计将高能量密度与强大安全性结合在一起的锂硫电池（LSB）。实现实用的LSB需要电解质具有高界面稳定性、优异的离子环境调节能力和高电催化活性。尽管当前的电解质技术已经改善了LSB的循环性能，但制备同时提供高能量密度、高循环稳定性和高安全性的电解质仍然是一个重大挑战。在这里，我们报告了一种旨在实现高性能和高安全性 LSB 的电解质设计策略。这主要是通过将对称离子塑料晶体合并到电解质中以构建细化的溶剂化结构（Li</w:t>
      </w:r>
      <w:r>
        <w:t xml:space="preserve"> </w:t>
      </w:r>
      <w:r>
        <w:t>+</w:t>
      </w:r>
      <w:r>
        <w:t xml:space="preserve"> </w:t>
      </w:r>
      <w:r>
        <w:t>）通过抑制阴离子聚集（S</w:t>
      </w:r>
      <w:r>
        <w:t xml:space="preserve"> </w:t>
      </w:r>
      <w:r>
        <w:t>n</w:t>
      </w:r>
      <w:r>
        <w:t xml:space="preserve"> </w:t>
      </w:r>
      <w:r>
        <w:t>2−</w:t>
      </w:r>
      <w:r>
        <w:t>和 TFSI</w:t>
      </w:r>
      <w:r>
        <w:t xml:space="preserve"> </w:t>
      </w:r>
      <w:r>
        <w:t>-</w:t>
      </w:r>
      <w:r>
        <w:t>）放电期间。该电解质具有高离子电导率、低去溶剂化能垒、高电催化活性和界面稳定性。该设计同时作用于阴极和阳极界面，实现LSB的稳定快速循环，具有高能量密度（软包电池：704 Wh kg</w:t>
      </w:r>
      <w:r>
        <w:t xml:space="preserve"> </w:t>
      </w:r>
      <w:r>
        <w:t>−1</w:t>
      </w:r>
      <w:r>
        <w:t xml:space="preserve"> </w:t>
      </w:r>
      <w:r>
        <w:t>）和高稳定性（600次循环后，每个循环的平均容量衰减率为0.018%）。我们的溶剂化结构模型设计提供了一种可行的方法</w:t>
      </w:r>
    </w:p>
    <w:p>
      <w:pPr>
        <w:spacing w:before="0" w:after="200" w:lineRule="auto" w:line="276"/>
      </w:pPr>
      <w:r>
        <w:rPr>
          <w:b/>
        </w:rPr>
        <w:t xml:space="preserve">Abstract (EN): </w:t>
      </w:r>
      <w:r>
        <w:t>A crucial step toward widespread electrochemical energy storage is the design of lithium–sulfur batteries (LSBs) that integrate high energy density with robust safety. Realizing practical LSBs demands an electrolyte that possesses high interfacial stability, excellent ion‐environment regulation capability, and high electrocatalytic activity. Although current electrolyte technologies have improved the cycling performance of LSBs, preparing electrolytes that simultaneously deliver high energy density, high cycling stability, and high safety remains a significant challenge. Here, we report an electrolyte design strategy aimed at achieving high‐performance and high‐safety LSBs. This is primarily accomplished by incorporating symmetric ionic plastic crystals into the electrolyte to construct a slimmed solvation structure (Li</w:t>
      </w:r>
      <w:r>
        <w:t xml:space="preserve"> </w:t>
      </w:r>
      <w:r>
        <w:t>+</w:t>
      </w:r>
      <w:r>
        <w:t xml:space="preserve"> </w:t>
      </w:r>
      <w:r>
        <w:t>) regulated by suppression of anion aggregation (S</w:t>
      </w:r>
      <w:r>
        <w:t xml:space="preserve"> </w:t>
      </w:r>
      <w:r>
        <w:t>n</w:t>
      </w:r>
      <w:r>
        <w:t xml:space="preserve"> </w:t>
      </w:r>
      <w:r>
        <w:t>2−</w:t>
      </w:r>
      <w:r>
        <w:t>and TFSI</w:t>
      </w:r>
      <w:r>
        <w:t xml:space="preserve"> </w:t>
      </w:r>
      <w:r>
        <w:t>−</w:t>
      </w:r>
      <w:r>
        <w:t>) during discharge. The electrolyte exhibits high ionic conductivity, low desolvation energy barrier, high electrocatalytic activity, and interfacial stability. This design acts simultaneously on the cathode and anode interfaces, enabling stable and rapid cycling of LSBs, with high energy density (pouch cell: 704 Wh kg</w:t>
      </w:r>
      <w:r>
        <w:t xml:space="preserve"> </w:t>
      </w:r>
      <w:r>
        <w:t>−1</w:t>
      </w:r>
      <w:r>
        <w:t xml:space="preserve"> </w:t>
      </w:r>
      <w:r>
        <w:t>) and high stability (average capacity decay rate per cycle of 0.018% over 600 cycles). Our solvation structure model design provides a feasible approach for realizing high‐performance and high‐safety LSBs.</w:t>
      </w:r>
    </w:p>
    <w:p>
      <w:pPr>
        <w:spacing w:before="120" w:after="120"/>
      </w:pPr>
      <w:r>
        <w:rPr>
          <w:sz w:val="18"/>
        </w:rPr>
        <w:t>——————————————————————————————————————————————————————————————————————</w:t>
      </w:r>
    </w:p>
    <w:p>
      <w:pPr>
        <w:spacing w:before="160" w:after="40" w:line="240" w:lineRule="auto"/>
      </w:pPr>
      <w:r>
        <w:rPr>
          <w:b/>
        </w:rPr>
        <w:t xml:space="preserve">[18] </w:t>
      </w:r>
      <w:hyperlink r:id="rId117">
        <w:r>
          <w:rPr>
            <w:color w:val="1155CC"/>
            <w:u w:val="single"/>
          </w:rPr>
          <w:t>通过阴离子-溶剂协调调节电解质微观结构，实现实用锌软包电池的快速界面动力学</w:t>
        </w:r>
      </w:hyperlink>
    </w:p>
    <w:p>
      <w:pPr>
        <w:spacing w:before="0" w:after="80"/>
      </w:pPr>
      <w:r>
        <w:rPr>
          <w:i/>
          <w:sz w:val="20"/>
        </w:rPr>
        <w:t>EN: Regulating Electrolyte Microstructure via Anion‐Solvent Coordination Enables Fast Interfacial Kinetics Toward Practical Zinc Pouch Cells</w:t>
      </w:r>
    </w:p>
    <w:p>
      <w:pPr>
        <w:spacing w:before="0" w:after="120"/>
      </w:pPr>
      <w:r>
        <w:rPr>
          <w:b/>
        </w:rPr>
        <w:t xml:space="preserve">Source: </w:t>
      </w:r>
      <w:r>
        <w:t>Wiley: Angewandte Chemie International Edition: Table of Contents</w:t>
      </w:r>
      <w:r>
        <w:t xml:space="preserve">    </w:t>
      </w:r>
      <w:r>
        <w:rPr>
          <w:b/>
        </w:rPr>
        <w:t xml:space="preserve">Pub date: </w:t>
      </w:r>
      <w:r>
        <w:t>2026-07-28 18:37:06+00:00</w:t>
      </w:r>
      <w:r>
        <w:t xml:space="preserve">    </w:t>
      </w:r>
      <w:r>
        <w:rPr>
          <w:b/>
        </w:rPr>
        <w:t xml:space="preserve">DOI: </w:t>
      </w:r>
      <w:hyperlink r:id="rId118">
        <w:r>
          <w:rPr>
            <w:color w:val="1155CC"/>
            <w:u w:val="single"/>
          </w:rPr>
          <w:t>10.1002/anie.2482042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溶剂化结构调节在通过抑制枝晶和析氢来稳定锌阳极方面发挥着至关重要的作用，但缓慢的离子传输会导致阳极的倍率性能较差。在这项研究中，我们提出了一种“阴离子调节”策略，通过将两亲性苯甲醇（BA）引入到Zn（OTf）</w:t>
      </w:r>
      <w:r>
        <w:rPr>
          <w:vertAlign w:val="subscript"/>
        </w:rPr>
        <w:t>2</w:t>
      </w:r>
      <w:r>
        <w:t>电解质，调节电解质的微观结构和双溶剂化结构。 BA 与 Zn 具有弱溶剂化能力</w:t>
      </w:r>
      <w:r>
        <w:t xml:space="preserve"> </w:t>
      </w:r>
      <w:r>
        <w:t>2+</w:t>
      </w:r>
      <w:r>
        <w:t xml:space="preserve"> </w:t>
      </w:r>
      <w:r>
        <w:t>并诱导 Zn</w:t>
      </w:r>
      <w:r>
        <w:t xml:space="preserve"> </w:t>
      </w:r>
      <w:r>
        <w:t>2+</w:t>
      </w:r>
      <w:r>
        <w:t xml:space="preserve"> </w:t>
      </w:r>
      <w:r>
        <w:t>‐OTf-BA 通过阴离子-溶剂相互作用形成双溶剂化结构，缩小了溶剂化簇，改善了微观均匀性，提高了 Zn</w:t>
      </w:r>
      <w:r>
        <w:t xml:space="preserve"> </w:t>
      </w:r>
      <w:r>
        <w:t>2+</w:t>
      </w:r>
      <w:r>
        <w:t xml:space="preserve"> </w:t>
      </w:r>
      <w:r>
        <w:t>扩散动力学。还实现了对第一溶剂化壳的协同调节，其中BA不仅减少了配位水，而且削弱了Zn</w:t>
      </w:r>
      <w:r>
        <w:t xml:space="preserve"> </w:t>
      </w:r>
      <w:r>
        <w:t>2+</w:t>
      </w:r>
      <w:r>
        <w:t xml:space="preserve"> </w:t>
      </w:r>
      <w:r>
        <w:t>‐OTf</w:t>
      </w:r>
      <w:r>
        <w:t xml:space="preserve"> </w:t>
      </w:r>
      <w:r>
        <w:t>-</w:t>
      </w:r>
      <w:r>
        <w:t>相互作用，加速去溶剂化动力学。此外，通过阴离子分解构建了富含无机物的固体电解质界面，有利于界面稳定性。因此，调制电解质使锌阳极具有令人印象深刻的倍率性能（1500 小时，10 mA cm</w:t>
      </w:r>
      <w:r>
        <w:t xml:space="preserve"> </w:t>
      </w:r>
      <w:r>
        <w:t>−2</w:t>
      </w:r>
      <w:r>
        <w:t xml:space="preserve"> </w:t>
      </w:r>
      <w:r>
        <w:t>/10毫安厘米</w:t>
      </w:r>
      <w:r>
        <w:t xml:space="preserve"> </w:t>
      </w:r>
      <w:r>
        <w:t>−2</w:t>
      </w:r>
      <w:r>
        <w:t xml:space="preserve"> </w:t>
      </w:r>
      <w:r>
        <w:t>; 294 小时，20 mA cm</w:t>
      </w:r>
      <w:r>
        <w:t xml:space="preserve"> </w:t>
      </w:r>
      <w:r>
        <w:t>−2</w:t>
      </w:r>
      <w:r>
        <w:t xml:space="preserve"> </w:t>
      </w:r>
      <w:r>
        <w:t>/20毫安时厘米</w:t>
      </w:r>
      <w:r>
        <w:t xml:space="preserve"> </w:t>
      </w:r>
      <w:r>
        <w:t>−2</w:t>
      </w:r>
    </w:p>
    <w:p>
      <w:pPr>
        <w:spacing w:before="0" w:after="200" w:lineRule="auto" w:line="276"/>
      </w:pPr>
      <w:r>
        <w:rPr>
          <w:b/>
        </w:rPr>
        <w:t xml:space="preserve">Abstract (EN): </w:t>
      </w:r>
      <w:r>
        <w:t>Solvation structure regulation plays crucial roles in stabilizing the Zn anode by suppressing dendrite and hydrogen evolution, but sluggish ion transport results in poor rate performance of the anode. In this study, we proposed an “anion regulation” strategy by introducing amphiphilic benzyl alcohol (BA) to the Zn(OTf)</w:t>
      </w:r>
      <w:r>
        <w:rPr>
          <w:vertAlign w:val="subscript"/>
        </w:rPr>
        <w:t>2</w:t>
      </w:r>
      <w:r>
        <w:t>electrolyte, which modulated the electrolyte microstructure and dual solvation structure. BA provided weak solvation ability with Zn</w:t>
      </w:r>
      <w:r>
        <w:t xml:space="preserve"> </w:t>
      </w:r>
      <w:r>
        <w:t>2+</w:t>
      </w:r>
      <w:r>
        <w:t xml:space="preserve"> </w:t>
      </w:r>
      <w:r>
        <w:t>and induced the Zn</w:t>
      </w:r>
      <w:r>
        <w:t xml:space="preserve"> </w:t>
      </w:r>
      <w:r>
        <w:t>2+</w:t>
      </w:r>
      <w:r>
        <w:t xml:space="preserve"> </w:t>
      </w:r>
      <w:r>
        <w:t>‐OTf–BA dual solvation structure by anion‐solvent interaction, which downsized the solvation clusters with improved microscopic uniformity, improving the Zn</w:t>
      </w:r>
      <w:r>
        <w:t xml:space="preserve"> </w:t>
      </w:r>
      <w:r>
        <w:t>2+</w:t>
      </w:r>
      <w:r>
        <w:t xml:space="preserve"> </w:t>
      </w:r>
      <w:r>
        <w:t>diffusion kinetics. Synergistic regulation on the first solvation shell was also achieved, where BA not only reduced the coordinated water but also weakened the Zn</w:t>
      </w:r>
      <w:r>
        <w:t xml:space="preserve"> </w:t>
      </w:r>
      <w:r>
        <w:t>2+</w:t>
      </w:r>
      <w:r>
        <w:t xml:space="preserve"> </w:t>
      </w:r>
      <w:r>
        <w:t>‐OTf</w:t>
      </w:r>
      <w:r>
        <w:t xml:space="preserve"> </w:t>
      </w:r>
      <w:r>
        <w:t>−</w:t>
      </w:r>
      <w:r>
        <w:t>interaction, accelerating the desolvation kinetics. Additionally, an inorganic‐rich solid electrolyte interphase was constructed by anion decomposition, favorable for interfacial stability. Consequently, the modulated electrolyte enabled the Zn anode with impressive rate performance (1500 h, 10 mA cm</w:t>
      </w:r>
      <w:r>
        <w:t xml:space="preserve"> </w:t>
      </w:r>
      <w:r>
        <w:t>−2</w:t>
      </w:r>
      <w:r>
        <w:t xml:space="preserve"> </w:t>
      </w:r>
      <w:r>
        <w:t>/10 mAh cm</w:t>
      </w:r>
      <w:r>
        <w:t xml:space="preserve"> </w:t>
      </w:r>
      <w:r>
        <w:t>−2</w:t>
      </w:r>
      <w:r>
        <w:t xml:space="preserve"> </w:t>
      </w:r>
      <w:r>
        <w:t>; 294 h, 20 mA cm</w:t>
      </w:r>
      <w:r>
        <w:t xml:space="preserve"> </w:t>
      </w:r>
      <w:r>
        <w:t>−2</w:t>
      </w:r>
      <w:r>
        <w:t xml:space="preserve"> </w:t>
      </w:r>
      <w:r>
        <w:t>/20 mAh cm</w:t>
      </w:r>
      <w:r>
        <w:t xml:space="preserve"> </w:t>
      </w:r>
      <w:r>
        <w:t>−2</w:t>
      </w:r>
      <w:r>
        <w:t xml:space="preserve"> </w:t>
      </w:r>
      <w:r>
        <w:t>) and superior stability at 85% utilization (260 h). The 1.2 Ah Zn‐NH</w:t>
      </w:r>
      <w:r>
        <w:rPr>
          <w:vertAlign w:val="subscript"/>
        </w:rPr>
        <w:t>4</w:t>
      </w:r>
      <w:r>
        <w:t>V</w:t>
      </w:r>
      <w:r>
        <w:rPr>
          <w:vertAlign w:val="subscript"/>
        </w:rPr>
        <w:t>4</w:t>
      </w:r>
      <w:r>
        <w:t>O</w:t>
      </w:r>
      <w:r>
        <w:rPr>
          <w:vertAlign w:val="subscript"/>
        </w:rPr>
        <w:t>10</w:t>
      </w:r>
      <w:r>
        <w:t>pouch cell also maintained cyclability (∼85.3% retention) over 200 cycles. This work provides a novel way of regulating the electrolyte microstructure to improve interfacial kinetics toward practical zinc‐ion batteries.</w:t>
      </w:r>
    </w:p>
    <w:p>
      <w:pPr>
        <w:spacing w:before="120" w:after="120"/>
      </w:pPr>
      <w:r>
        <w:rPr>
          <w:sz w:val="18"/>
        </w:rPr>
        <w:t>——————————————————————————————————————————————————————————————————————</w:t>
      </w:r>
    </w:p>
    <w:p>
      <w:pPr>
        <w:spacing w:before="160" w:after="40" w:line="240" w:lineRule="auto"/>
      </w:pPr>
      <w:r>
        <w:rPr>
          <w:b/>
        </w:rPr>
        <w:t xml:space="preserve">[19] </w:t>
      </w:r>
      <w:hyperlink r:id="rId119">
        <w:r>
          <w:rPr>
            <w:color w:val="1155CC"/>
            <w:u w:val="single"/>
          </w:rPr>
          <w:t>石墨中的雪崩状插层和颗粒内相关性</w:t>
        </w:r>
      </w:hyperlink>
    </w:p>
    <w:p>
      <w:pPr>
        <w:spacing w:before="0" w:after="80"/>
      </w:pPr>
      <w:r>
        <w:rPr>
          <w:i/>
          <w:sz w:val="20"/>
        </w:rPr>
        <w:t>EN: Avalanche-like intercalation and intraparticle correlations in graphite</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20">
        <w:r>
          <w:rPr>
            <w:color w:val="1155CC"/>
            <w:u w:val="single"/>
          </w:rPr>
          <w:t>10.1038/s41586-026-10862-4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虽然石墨是锂离子电池中应用最广泛的负极材料</w:t>
      </w:r>
      <w:r>
        <w:rPr>
          <w:vertAlign w:val="subscript"/>
        </w:rPr>
        <w:t>1</w:t>
      </w:r>
      <w:r>
        <w:t>其锂插入过程和相关动力学，特别是稀释阶段的动力学，仍然知之甚少。目前缺乏对在操作条件下如何连续发生对称破缺相变的基本理解。在这里，我们使用操作光学显微镜，提供了石墨插层稀释阶段离子插层动力学的统一图像，表明石墨颗粒经历快速、局部的脱嵌-插层步骤事件，导致微米级区域在几秒钟内脱嵌-插层。这些让人想起相变现象“雪崩”，这种现象发生在无序材料中，涉及由于多个亚稳态之间的跳跃而导致的有序参数的阶跃变化</w:t>
      </w:r>
      <w:r>
        <w:t xml:space="preserve"> </w:t>
      </w:r>
      <w:r>
        <w:t>2,3</w:t>
      </w:r>
      <w:r>
        <w:t xml:space="preserve"> </w:t>
      </w:r>
      <w:r>
        <w:t>。使用修改后的随机场伊辛模型，雪崩与静态无序有关，静态无序破坏了插层动力学。该模型还可以解释阶段之间明显连续的过渡和实验雪崩统计数据。最后，我们开发了一种方法来时空分析雪崩事件的序列，揭示了相当多的异构连接性。我们的工作强调了局部和静态无序在解释意外相变行为中的作用，并为研究层状结构提供了新的工具和概念。</w:t>
      </w:r>
    </w:p>
    <w:p>
      <w:pPr>
        <w:spacing w:before="0" w:after="200" w:lineRule="auto" w:line="276"/>
      </w:pPr>
      <w:r>
        <w:rPr>
          <w:b/>
        </w:rPr>
        <w:t xml:space="preserve">Abstract (EN): </w:t>
      </w:r>
      <w:r>
        <w:t>Although graphite is the most widely used negative electrode material in lithium-ion batteries</w:t>
      </w:r>
      <w:r>
        <w:rPr>
          <w:vertAlign w:val="subscript"/>
        </w:rPr>
        <w:t>1</w:t>
      </w:r>
      <w:r>
        <w:t>, its lithium insertion processes and associated dynamics, particularly those of the dilute stages, remain poorly understood. A fundamental understanding of how symmetry-breaking phase transitions occur continuously under operating conditions is lacking. Here, using operando optical microscopy, we provide a unified picture of ion intercalation dynamics during the dilute stages of graphite intercalation, showing that the graphitic particles undergo rapid, localized deintercalation–intercalation step events, leading to deintercalation–intercalation of micrometre-sized regions within seconds. These are reminiscent of a phase-transition phenomenon, ‘avalanches’, which occurs in disordered materials, involving step changes in the order parameter due to jumps between multiple metastable states</w:t>
      </w:r>
      <w:r>
        <w:t xml:space="preserve"> </w:t>
      </w:r>
      <w:r>
        <w:t>2,3</w:t>
      </w:r>
      <w:r>
        <w:t xml:space="preserve"> </w:t>
      </w:r>
      <w:r>
        <w:t>. Using a modified random field Ising model, the avalanches are related to static disorder, which disrupts intercalation dynamics. The model can also account for the apparently continuous transitions between stages and the experimental avalanche statistics. Finally, we develop a methodology to spatio-temporally analyse the sequences of avalanche events, revealing considerable heterogeneous connectivity. Our work highlights the role of local and static disorder in explaining unexpected phase-transition behaviour and provides new tools and concepts for studying layered battery materials.</w:t>
      </w:r>
    </w:p>
    <w:p>
      <w:pPr>
        <w:spacing w:before="120" w:after="120"/>
      </w:pPr>
      <w:r>
        <w:rPr>
          <w:sz w:val="18"/>
        </w:rPr>
        <w:t>——————————————————————————————————————————————————————————————————————</w:t>
      </w:r>
    </w:p>
    <w:p>
      <w:pPr>
        <w:spacing w:before="160" w:after="40" w:line="240" w:lineRule="auto"/>
      </w:pPr>
      <w:r>
        <w:rPr>
          <w:b/>
        </w:rPr>
        <w:t xml:space="preserve">[20] </w:t>
      </w:r>
      <w:hyperlink r:id="rId121">
        <w:r>
          <w:rPr>
            <w:color w:val="1155CC"/>
            <w:u w:val="single"/>
          </w:rPr>
          <w:t>焦磷酸亚铁空心纳米棒使锂金属电池能够在低负/正容量比下使用</w:t>
        </w:r>
      </w:hyperlink>
    </w:p>
    <w:p>
      <w:pPr>
        <w:spacing w:before="0" w:after="80"/>
      </w:pPr>
      <w:r>
        <w:rPr>
          <w:i/>
          <w:sz w:val="20"/>
        </w:rPr>
        <w:t>EN: Ferrous Pyrophosphate Hollow Nanorods Enable Lithium Metal Batteries Under Low Negative/Positive Capacity Ratios</w:t>
      </w:r>
    </w:p>
    <w:p>
      <w:pPr>
        <w:spacing w:before="0" w:after="120"/>
      </w:pPr>
      <w:r>
        <w:rPr>
          <w:b/>
        </w:rPr>
        <w:t xml:space="preserve">Source: </w:t>
      </w:r>
      <w:r>
        <w:t>Wiley: Advanced Materials: Table of Contents</w:t>
      </w:r>
      <w:r>
        <w:t xml:space="preserve">    </w:t>
      </w:r>
      <w:r>
        <w:rPr>
          <w:b/>
        </w:rPr>
        <w:t xml:space="preserve">Pub date: </w:t>
      </w:r>
      <w:r>
        <w:t>2026-07-29 06:58:05+00:00</w:t>
      </w:r>
      <w:r>
        <w:t xml:space="preserve">    </w:t>
      </w:r>
      <w:r>
        <w:rPr>
          <w:b/>
        </w:rPr>
        <w:t xml:space="preserve">DOI: </w:t>
      </w:r>
      <w:hyperlink r:id="rId122">
        <w:r>
          <w:rPr>
            <w:color w:val="1155CC"/>
            <w:u w:val="single"/>
          </w:rPr>
          <w:t>10.1002/adma.74276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Li）金属电池（LMB）因其高能量密度而展现出一种有前景的范例。然而，它们的实现仍然受到锂金属固有的不稳定性和过量的阻碍。在此，我们合理设计并合成了由氮掺杂碳壳封装的焦磷酸亚铁空心纳米棒（Fe</w:t>
      </w:r>
      <w:r>
        <w:rPr>
          <w:vertAlign w:val="subscript"/>
        </w:rPr>
        <w:t>2</w:t>
      </w:r>
      <w:r>
        <w:t>磷</w:t>
      </w:r>
      <w:r>
        <w:rPr>
          <w:vertAlign w:val="subscript"/>
        </w:rPr>
        <w:t>2</w:t>
      </w:r>
      <w:r>
        <w:t>氧</w:t>
      </w:r>
      <w:r>
        <w:rPr>
          <w:vertAlign w:val="subscript"/>
        </w:rPr>
        <w:t>7</w:t>
      </w:r>
      <w:r>
        <w:t>@NC）作为锂金属阳极（LMA）的锂主体。铁</w:t>
      </w:r>
      <w:r>
        <w:rPr>
          <w:vertAlign w:val="subscript"/>
        </w:rPr>
        <w:t>2</w:t>
      </w:r>
      <w:r>
        <w:t>磷</w:t>
      </w:r>
      <w:r>
        <w:rPr>
          <w:vertAlign w:val="subscript"/>
        </w:rPr>
        <w:t>2</w:t>
      </w:r>
      <w:r>
        <w:t>氧</w:t>
      </w:r>
      <w:r>
        <w:rPr>
          <w:vertAlign w:val="subscript"/>
        </w:rPr>
        <w:t>7</w:t>
      </w:r>
      <w:r>
        <w:t>@NC铸造铜电极（Fe</w:t>
      </w:r>
      <w:r>
        <w:rPr>
          <w:vertAlign w:val="subscript"/>
        </w:rPr>
        <w:t>2</w:t>
      </w:r>
      <w:r>
        <w:t>磷</w:t>
      </w:r>
      <w:r>
        <w:rPr>
          <w:vertAlign w:val="subscript"/>
        </w:rPr>
        <w:t>2</w:t>
      </w:r>
      <w:r>
        <w:t>氧</w:t>
      </w:r>
      <w:r>
        <w:rPr>
          <w:vertAlign w:val="subscript"/>
        </w:rPr>
        <w:t>7</w:t>
      </w:r>
      <w:r>
        <w:t>@NC-Cu）引导均匀的锂沉积并抑制体积膨胀，从而实现均匀的锂沉积并提高库仑效率。飞行时间二次离子质谱和深度X射线光电子能谱分析表明Fe的存在</w:t>
      </w:r>
      <w:r>
        <w:rPr>
          <w:vertAlign w:val="subscript"/>
        </w:rPr>
        <w:t>2</w:t>
      </w:r>
      <w:r>
        <w:t>磷</w:t>
      </w:r>
      <w:r>
        <w:rPr>
          <w:vertAlign w:val="subscript"/>
        </w:rPr>
        <w:t>2</w:t>
      </w:r>
      <w:r>
        <w:t>氧</w:t>
      </w:r>
      <w:r>
        <w:rPr>
          <w:vertAlign w:val="subscript"/>
        </w:rPr>
        <w:t>7</w:t>
      </w:r>
      <w:r>
        <w:t>促进LiF和Li的生成</w:t>
      </w:r>
      <w:r>
        <w:rPr>
          <w:vertAlign w:val="subscript"/>
        </w:rPr>
        <w:t>2</w:t>
      </w:r>
      <w:r>
        <w:t>LMA中的O，从而促进均匀的Li电镀。铁</w:t>
      </w:r>
      <w:r>
        <w:rPr>
          <w:vertAlign w:val="subscript"/>
        </w:rPr>
        <w:t>2</w:t>
      </w:r>
      <w:r>
        <w:t>磷</w:t>
      </w:r>
      <w:r>
        <w:rPr>
          <w:vertAlign w:val="subscript"/>
        </w:rPr>
        <w:t>2</w:t>
      </w:r>
      <w:r>
        <w:t>氧</w:t>
      </w:r>
      <w:r>
        <w:rPr>
          <w:vertAlign w:val="subscript"/>
        </w:rPr>
        <w:t>7</w:t>
      </w:r>
      <w:r>
        <w:t>@NC-Li电极在1400小时内以小电压极化呈现稳定的锂沉积/剥离</w:t>
      </w:r>
    </w:p>
    <w:p>
      <w:pPr>
        <w:spacing w:before="0" w:after="200" w:lineRule="auto" w:line="276"/>
      </w:pPr>
      <w:r>
        <w:rPr>
          <w:b/>
        </w:rPr>
        <w:t xml:space="preserve">Abstract (EN): </w:t>
      </w:r>
      <w:r>
        <w:t>Lithium (Li) metal batteries (LMBs) exhibit a promising paradigm for their high energy density. However, their realization is still hindered by the inherent instability and excess of Li metal. Herein, we rationally design and synthesize ferrous pyrophosphate hollow nanorods encapsulated by an N‐doped carbon shell (Fe</w:t>
      </w:r>
      <w:r>
        <w:rPr>
          <w:vertAlign w:val="subscript"/>
        </w:rPr>
        <w:t>2</w:t>
      </w:r>
      <w:r>
        <w:t>P</w:t>
      </w:r>
      <w:r>
        <w:rPr>
          <w:vertAlign w:val="subscript"/>
        </w:rPr>
        <w:t>2</w:t>
      </w:r>
      <w:r>
        <w:t>O</w:t>
      </w:r>
      <w:r>
        <w:rPr>
          <w:vertAlign w:val="subscript"/>
        </w:rPr>
        <w:t>7</w:t>
      </w:r>
      <w:r>
        <w:t>@NC) as a Li host for Li metal anodes (LMAs). The Fe</w:t>
      </w:r>
      <w:r>
        <w:rPr>
          <w:vertAlign w:val="subscript"/>
        </w:rPr>
        <w:t>2</w:t>
      </w:r>
      <w:r>
        <w:t>P</w:t>
      </w:r>
      <w:r>
        <w:rPr>
          <w:vertAlign w:val="subscript"/>
        </w:rPr>
        <w:t>2</w:t>
      </w:r>
      <w:r>
        <w:t>O</w:t>
      </w:r>
      <w:r>
        <w:rPr>
          <w:vertAlign w:val="subscript"/>
        </w:rPr>
        <w:t>7</w:t>
      </w:r>
      <w:r>
        <w:t>@NC‐casted Cu electrode (Fe</w:t>
      </w:r>
      <w:r>
        <w:rPr>
          <w:vertAlign w:val="subscript"/>
        </w:rPr>
        <w:t>2</w:t>
      </w:r>
      <w:r>
        <w:t>P</w:t>
      </w:r>
      <w:r>
        <w:rPr>
          <w:vertAlign w:val="subscript"/>
        </w:rPr>
        <w:t>2</w:t>
      </w:r>
      <w:r>
        <w:t>O</w:t>
      </w:r>
      <w:r>
        <w:rPr>
          <w:vertAlign w:val="subscript"/>
        </w:rPr>
        <w:t>7</w:t>
      </w:r>
      <w:r>
        <w:t>@NC‐Cu) guides uniform Li deposition and suppresses volume expansion, enabling uniform Li plating and enhanced Coulombic efficiency. Time‐of‐flight secondary ion mass spectrometry and in‐depth X‐ray photoelectron spectroscopy analyses reveal that the existence of Fe</w:t>
      </w:r>
      <w:r>
        <w:rPr>
          <w:vertAlign w:val="subscript"/>
        </w:rPr>
        <w:t>2</w:t>
      </w:r>
      <w:r>
        <w:t>P</w:t>
      </w:r>
      <w:r>
        <w:rPr>
          <w:vertAlign w:val="subscript"/>
        </w:rPr>
        <w:t>2</w:t>
      </w:r>
      <w:r>
        <w:t>O</w:t>
      </w:r>
      <w:r>
        <w:rPr>
          <w:vertAlign w:val="subscript"/>
        </w:rPr>
        <w:t>7</w:t>
      </w:r>
      <w:r>
        <w:t>promotes the generation of LiF and Li</w:t>
      </w:r>
      <w:r>
        <w:rPr>
          <w:vertAlign w:val="subscript"/>
        </w:rPr>
        <w:t>2</w:t>
      </w:r>
      <w:r>
        <w:t>O in LMAs, thereby promoting uniform Li plating. The Fe</w:t>
      </w:r>
      <w:r>
        <w:rPr>
          <w:vertAlign w:val="subscript"/>
        </w:rPr>
        <w:t>2</w:t>
      </w:r>
      <w:r>
        <w:t>P</w:t>
      </w:r>
      <w:r>
        <w:rPr>
          <w:vertAlign w:val="subscript"/>
        </w:rPr>
        <w:t>2</w:t>
      </w:r>
      <w:r>
        <w:t>O</w:t>
      </w:r>
      <w:r>
        <w:rPr>
          <w:vertAlign w:val="subscript"/>
        </w:rPr>
        <w:t>7</w:t>
      </w:r>
      <w:r>
        <w:t>@NC‐Li electrode presents stable Li deposition/stripping with small voltage polarization for 1400 h at 1 mA cm</w:t>
      </w:r>
      <w:r>
        <w:t xml:space="preserve"> </w:t>
      </w:r>
      <w:r>
        <w:t>−2</w:t>
      </w:r>
      <w:r>
        <w:t xml:space="preserve"> </w:t>
      </w:r>
      <w:r>
        <w:t>and 1 mAh cm</w:t>
      </w:r>
      <w:r>
        <w:t xml:space="preserve"> </w:t>
      </w:r>
      <w:r>
        <w:t>−2</w:t>
      </w:r>
      <w:r>
        <w:t xml:space="preserve"> </w:t>
      </w:r>
      <w:r>
        <w:t>. Furthermore, a full cell coupled with a LiFePO</w:t>
      </w:r>
      <w:r>
        <w:rPr>
          <w:vertAlign w:val="subscript"/>
        </w:rPr>
        <w:t>4</w:t>
      </w:r>
      <w:r>
        <w:t>cathode, demonstrates consistent cycling stability, maintaining a capacity retention of 80.6% over 136 cycles at a low negative/positive capacity ratio of 1.5, highlighting the great potential of Fe</w:t>
      </w:r>
      <w:r>
        <w:rPr>
          <w:vertAlign w:val="subscript"/>
        </w:rPr>
        <w:t>2</w:t>
      </w:r>
      <w:r>
        <w:t>P</w:t>
      </w:r>
      <w:r>
        <w:rPr>
          <w:vertAlign w:val="subscript"/>
        </w:rPr>
        <w:t>2</w:t>
      </w:r>
      <w:r>
        <w:t>O</w:t>
      </w:r>
      <w:r>
        <w:rPr>
          <w:vertAlign w:val="subscript"/>
        </w:rPr>
        <w:t>7</w:t>
      </w:r>
      <w:r>
        <w:t>@NC for practical high‐energy‐density LMBs.</w:t>
      </w:r>
    </w:p>
    <w:p>
      <w:pPr>
        <w:spacing w:before="120" w:after="120"/>
      </w:pPr>
      <w:r>
        <w:rPr>
          <w:sz w:val="18"/>
        </w:rPr>
        <w:t>——————————————————————————————————————————————————————————————————————</w:t>
      </w:r>
    </w:p>
    <w:p>
      <w:pPr>
        <w:spacing w:before="160" w:after="40" w:line="240" w:lineRule="auto"/>
      </w:pPr>
      <w:r>
        <w:rPr>
          <w:b/>
        </w:rPr>
        <w:t xml:space="preserve">[21] </w:t>
      </w:r>
      <w:hyperlink r:id="rId123">
        <w:r>
          <w:rPr>
            <w:color w:val="1155CC"/>
            <w:u w:val="single"/>
          </w:rPr>
          <w:t>用于高效水系锌电池的埃级约束离子筛和加速器</w:t>
        </w:r>
      </w:hyperlink>
    </w:p>
    <w:p>
      <w:pPr>
        <w:spacing w:before="0" w:after="80"/>
      </w:pPr>
      <w:r>
        <w:rPr>
          <w:i/>
          <w:sz w:val="20"/>
        </w:rPr>
        <w:t>EN: Angstrom‐Scale Confined Ion Sieve and Accelerator for Efficient Aqueous Zinc Batteries</w:t>
      </w:r>
    </w:p>
    <w:p>
      <w:pPr>
        <w:spacing w:before="0" w:after="120"/>
      </w:pPr>
      <w:r>
        <w:rPr>
          <w:b/>
        </w:rPr>
        <w:t xml:space="preserve">Source: </w:t>
      </w:r>
      <w:r>
        <w:t>Wiley: Advanced Materials: Table of Contents</w:t>
      </w:r>
      <w:r>
        <w:t xml:space="preserve">    </w:t>
      </w:r>
      <w:r>
        <w:rPr>
          <w:b/>
        </w:rPr>
        <w:t xml:space="preserve">Pub date: </w:t>
      </w:r>
      <w:r>
        <w:t>2026-07-29 07:32:33+00:00</w:t>
      </w:r>
      <w:r>
        <w:t xml:space="preserve">    </w:t>
      </w:r>
      <w:r>
        <w:rPr>
          <w:b/>
        </w:rPr>
        <w:t xml:space="preserve">DOI: </w:t>
      </w:r>
      <w:hyperlink r:id="rId124">
        <w:r>
          <w:rPr>
            <w:color w:val="1155CC"/>
            <w:u w:val="single"/>
          </w:rPr>
          <w:t>10.1002/adma.74289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水性锌金属电池（AZMB）的商业化受到不受控制的锌引起的枝晶生长的阻碍</w:t>
      </w:r>
      <w:r>
        <w:t xml:space="preserve"> </w:t>
      </w:r>
      <w:r>
        <w:t>2+</w:t>
      </w:r>
      <w:r>
        <w:t xml:space="preserve"> </w:t>
      </w:r>
      <w:r>
        <w:t>涉及水和阴离子的运输和副反应。这里，使用单层钛设计了埃级受限离子筛和加速器</w:t>
      </w:r>
      <w:r>
        <w:t xml:space="preserve"> </w:t>
      </w:r>
      <w:r>
        <w:t>0.87</w:t>
      </w:r>
      <w:r>
        <w:t xml:space="preserve"> </w:t>
      </w:r>
      <w:r>
        <w:t>氧</w:t>
      </w:r>
      <w:r>
        <w:rPr>
          <w:vertAlign w:val="subscript"/>
        </w:rPr>
        <w:t>2</w:t>
      </w:r>
      <w:r>
        <w:t>具有原子 Ti 空位 (∼3.0 × 3.8 Å) 和层间距 (∼3.5 Å) 的纳米片，以实现选择性 Zn</w:t>
      </w:r>
      <w:r>
        <w:t xml:space="preserve"> </w:t>
      </w:r>
      <w:r>
        <w:t>2+</w:t>
      </w:r>
      <w:r>
        <w:t xml:space="preserve"> </w:t>
      </w:r>
      <w:r>
        <w:t>(∼1.5 Å) 传输同时阻断 H</w:t>
      </w:r>
      <w:r>
        <w:rPr>
          <w:vertAlign w:val="subscript"/>
        </w:rPr>
        <w:t>2</w:t>
      </w:r>
      <w:r>
        <w:t>O (∼4.0 Å) 和 SO</w:t>
      </w:r>
      <w:r>
        <w:rPr>
          <w:vertAlign w:val="subscript"/>
        </w:rPr>
        <w:t>4</w:t>
      </w:r>
      <w:r>
        <w:t>2−</w:t>
      </w:r>
      <w:r>
        <w:t>（〜5.9 埃）。这种设计有利于选择性锌</w:t>
      </w:r>
      <w:r>
        <w:t xml:space="preserve"> </w:t>
      </w:r>
      <w:r>
        <w:t>2+</w:t>
      </w:r>
      <w:r>
        <w:t xml:space="preserve"> </w:t>
      </w:r>
      <w:r>
        <w:t>高通量和 Zn/SO 离子传输</w:t>
      </w:r>
      <w:r>
        <w:rPr>
          <w:vertAlign w:val="subscript"/>
        </w:rPr>
        <w:t>4</w:t>
      </w:r>
      <w:r>
        <w:t>2−</w:t>
      </w:r>
      <w:r>
        <w:t>选择性，有效减轻水/阴离子在锌阳极引起的寄生反应。因此，钛</w:t>
      </w:r>
      <w:r>
        <w:t xml:space="preserve"> </w:t>
      </w:r>
      <w:r>
        <w:t>0.87</w:t>
      </w:r>
      <w:r>
        <w:t xml:space="preserve"> </w:t>
      </w:r>
      <w:r>
        <w:t>氧</w:t>
      </w:r>
      <w:r>
        <w:rPr>
          <w:vertAlign w:val="subscript"/>
        </w:rPr>
        <w:t>2</w:t>
      </w:r>
      <w:r>
        <w:t>@Zn 阳极在重复镀锌/剥离过程中表现出显着抑制的枝晶生长和寄生副反应，在 1 和 5 mA cm 电流下的稳定循环寿命超过 5000 和 4000 小时</w:t>
      </w:r>
      <w:r>
        <w:t xml:space="preserve"> </w:t>
      </w:r>
      <w:r>
        <w:t>−2</w:t>
      </w:r>
      <w:r>
        <w:t xml:space="preserve"> </w:t>
      </w:r>
      <w:r>
        <w:t>，分别。 Ah级Ti</w:t>
      </w:r>
      <w:r>
        <w:t xml:space="preserve"> </w:t>
      </w:r>
      <w:r>
        <w:t>0.87</w:t>
      </w:r>
      <w:r>
        <w:t xml:space="preserve"> </w:t>
      </w:r>
      <w:r>
        <w:t>氧</w:t>
      </w:r>
      <w:r>
        <w:rPr>
          <w:vertAlign w:val="subscript"/>
        </w:rPr>
        <w:t>2</w:t>
      </w:r>
      <w:r>
        <w:t>@Zn //VO</w:t>
      </w:r>
      <w:r>
        <w:rPr>
          <w:vertAlign w:val="subscript"/>
        </w:rPr>
        <w:t>2</w:t>
      </w:r>
      <w:r>
        <w:t>软包电池保留了 85.4% 的初始值</w:t>
      </w:r>
    </w:p>
    <w:p>
      <w:pPr>
        <w:spacing w:before="0" w:after="200" w:lineRule="auto" w:line="276"/>
      </w:pPr>
      <w:r>
        <w:rPr>
          <w:b/>
        </w:rPr>
        <w:t xml:space="preserve">Abstract (EN): </w:t>
      </w:r>
      <w:r>
        <w:t>The commercialization of aqueous zinc–metal batteries (AZMBs) is hindered by dendrite growth caused by uncontrolled Zn</w:t>
      </w:r>
      <w:r>
        <w:t xml:space="preserve"> </w:t>
      </w:r>
      <w:r>
        <w:t>2+</w:t>
      </w:r>
      <w:r>
        <w:t xml:space="preserve"> </w:t>
      </w:r>
      <w:r>
        <w:t>transport and side reactions involving water and anions. Here, an angstrom–scale confined ion sieve and accelerator is designed using unilamellar Ti</w:t>
      </w:r>
      <w:r>
        <w:t xml:space="preserve"> </w:t>
      </w:r>
      <w:r>
        <w:t>0.87</w:t>
      </w:r>
      <w:r>
        <w:t xml:space="preserve"> </w:t>
      </w:r>
      <w:r>
        <w:t>O</w:t>
      </w:r>
      <w:r>
        <w:rPr>
          <w:vertAlign w:val="subscript"/>
        </w:rPr>
        <w:t>2</w:t>
      </w:r>
      <w:r>
        <w:t>nanosheets with atomic Ti vacancies (∼3.0 × 3.8 Å) and interlayer spacing (∼3.5 Å) to enable selective Zn</w:t>
      </w:r>
      <w:r>
        <w:t xml:space="preserve"> </w:t>
      </w:r>
      <w:r>
        <w:t>2+</w:t>
      </w:r>
      <w:r>
        <w:t xml:space="preserve"> </w:t>
      </w:r>
      <w:r>
        <w:t>(∼1.5 Å) transport while blocking H</w:t>
      </w:r>
      <w:r>
        <w:rPr>
          <w:vertAlign w:val="subscript"/>
        </w:rPr>
        <w:t>2</w:t>
      </w:r>
      <w:r>
        <w:t>O (∼4.0 Å) and SO</w:t>
      </w:r>
      <w:r>
        <w:rPr>
          <w:vertAlign w:val="subscript"/>
        </w:rPr>
        <w:t>4</w:t>
      </w:r>
      <w:r>
        <w:t>2−</w:t>
      </w:r>
      <w:r>
        <w:t>(∼5.9 Å). This design facilitates selective Zn</w:t>
      </w:r>
      <w:r>
        <w:t xml:space="preserve"> </w:t>
      </w:r>
      <w:r>
        <w:t>2+</w:t>
      </w:r>
      <w:r>
        <w:t xml:space="preserve"> </w:t>
      </w:r>
      <w:r>
        <w:t>ion transport with high flux and Zn/SO</w:t>
      </w:r>
      <w:r>
        <w:rPr>
          <w:vertAlign w:val="subscript"/>
        </w:rPr>
        <w:t>4</w:t>
      </w:r>
      <w:r>
        <w:t>2−</w:t>
      </w:r>
      <w:r>
        <w:t>selectivity, effectively mitigating water–/anion–induced parasitic reactions at the Zn anode. Consequently, the Ti</w:t>
      </w:r>
      <w:r>
        <w:t xml:space="preserve"> </w:t>
      </w:r>
      <w:r>
        <w:t>0.87</w:t>
      </w:r>
      <w:r>
        <w:t xml:space="preserve"> </w:t>
      </w:r>
      <w:r>
        <w:t>O</w:t>
      </w:r>
      <w:r>
        <w:rPr>
          <w:vertAlign w:val="subscript"/>
        </w:rPr>
        <w:t>2</w:t>
      </w:r>
      <w:r>
        <w:t>@Zn anode exhibits significantly suppressed dendrite growth and parasitic side reactions during repeated Zn plating/stripping, with stable cycle lives exceeding 5000 and 4000 h at 1 and 5 mA cm</w:t>
      </w:r>
      <w:r>
        <w:t xml:space="preserve"> </w:t>
      </w:r>
      <w:r>
        <w:t>−2</w:t>
      </w:r>
      <w:r>
        <w:t xml:space="preserve"> </w:t>
      </w:r>
      <w:r>
        <w:t>, respectively. The Ah–level Ti</w:t>
      </w:r>
      <w:r>
        <w:t xml:space="preserve"> </w:t>
      </w:r>
      <w:r>
        <w:t>0.87</w:t>
      </w:r>
      <w:r>
        <w:t xml:space="preserve"> </w:t>
      </w:r>
      <w:r>
        <w:t>O</w:t>
      </w:r>
      <w:r>
        <w:rPr>
          <w:vertAlign w:val="subscript"/>
        </w:rPr>
        <w:t>2</w:t>
      </w:r>
      <w:r>
        <w:t>@Zn//VO</w:t>
      </w:r>
      <w:r>
        <w:rPr>
          <w:vertAlign w:val="subscript"/>
        </w:rPr>
        <w:t>2</w:t>
      </w:r>
      <w:r>
        <w:t>pouch cell retains 85.4% of its initial capacity after 300 cycles at 3 A g</w:t>
      </w:r>
      <w:r>
        <w:t xml:space="preserve"> </w:t>
      </w:r>
      <w:r>
        <w:t>−1</w:t>
      </w:r>
      <w:r>
        <w:t xml:space="preserve"> </w:t>
      </w:r>
      <w:r>
        <w:t>. This strategy provides a promising interfacial design concept for improving the reversibility of aqueous Zn metal anodes and may inspire the rational design of confined ion–transport interphases for related aqueous battery systems.</w:t>
      </w:r>
    </w:p>
    <w:p>
      <w:pPr>
        <w:spacing w:before="120" w:after="120"/>
      </w:pPr>
      <w:r>
        <w:rPr>
          <w:sz w:val="18"/>
        </w:rPr>
        <w:t>——————————————————————————————————————————————————————————————————————</w:t>
      </w:r>
    </w:p>
    <w:p>
      <w:pPr>
        <w:spacing w:before="160" w:after="40" w:line="240" w:lineRule="auto"/>
      </w:pPr>
      <w:r>
        <w:rPr>
          <w:b/>
        </w:rPr>
        <w:t xml:space="preserve">[22] </w:t>
      </w:r>
      <w:hyperlink r:id="rId125">
        <w:r>
          <w:rPr>
            <w:color w:val="1155CC"/>
            <w:u w:val="single"/>
          </w:rPr>
          <w:t>通过局部高浓度电解质中的界面构象熵调制解锁硬碳中的高速率钠存储</w:t>
        </w:r>
      </w:hyperlink>
    </w:p>
    <w:p>
      <w:pPr>
        <w:spacing w:before="0" w:after="80"/>
      </w:pPr>
      <w:r>
        <w:rPr>
          <w:i/>
          <w:sz w:val="20"/>
        </w:rPr>
        <w:t>EN: Unlocking High‐Rate Sodium Storage in Hard Carbon via Interfacial Conformation Entropy Modulation in Localized High‐Concentration Electrolytes</w:t>
      </w:r>
    </w:p>
    <w:p>
      <w:pPr>
        <w:spacing w:before="0" w:after="120"/>
      </w:pPr>
      <w:r>
        <w:rPr>
          <w:b/>
        </w:rPr>
        <w:t xml:space="preserve">Source: </w:t>
      </w:r>
      <w:r>
        <w:t>Wiley: Angewandte Chemie International Edition: Table of Contents</w:t>
      </w:r>
      <w:r>
        <w:t xml:space="preserve">    </w:t>
      </w:r>
      <w:r>
        <w:rPr>
          <w:b/>
        </w:rPr>
        <w:t xml:space="preserve">Pub date: </w:t>
      </w:r>
      <w:r>
        <w:t>2026-07-29 12:00:11+00:00</w:t>
      </w:r>
      <w:r>
        <w:t xml:space="preserve">    </w:t>
      </w:r>
      <w:r>
        <w:rPr>
          <w:b/>
        </w:rPr>
        <w:t xml:space="preserve">DOI: </w:t>
      </w:r>
      <w:hyperlink r:id="rId126">
        <w:r>
          <w:rPr>
            <w:color w:val="1155CC"/>
            <w:u w:val="single"/>
          </w:rPr>
          <w:t>10.1002/anie.8176173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醚基电解质因其良好的界面润湿性和本质上较低的溶剂化能而广泛应用于以硬碳（HC）阳极为特色的钠离子电池（SIB）中。尽管如此，传统的NaPF</w:t>
      </w:r>
      <w:r>
        <w:rPr>
          <w:vertAlign w:val="subscript"/>
        </w:rPr>
        <w:t>6</w:t>
      </w:r>
      <w:r>
        <w:t>基于网络的系统仍然受到有限的初始库仑效率、次优倍率能力和低温离子传输不足的阻碍。这里引入界面构象熵的概念（</w:t>
      </w:r>
      <w:r>
        <w:t xml:space="preserve"> </w:t>
      </w:r>
      <w:r>
        <w:t>S</w:t>
      </w:r>
      <w:r>
        <w:t xml:space="preserve"> </w:t>
      </w:r>
      <w:r>
        <w:t>ICE</w:t>
      </w:r>
      <w:r>
        <w:t xml:space="preserve"> </w:t>
      </w:r>
      <w:r>
        <w:t>）作为机械描述符被引入，以捕获溶剂化鞘的可重构性及其对 Na 的影响</w:t>
      </w:r>
      <w:r>
        <w:t xml:space="preserve"> </w:t>
      </w:r>
      <w:r>
        <w:t>+</w:t>
      </w:r>
      <w:r>
        <w:t xml:space="preserve"> </w:t>
      </w:r>
      <w:r>
        <w:t>去溶剂化和界面迁移。为了验证这一概念，通过将 10 vol% 1,4-二恶烷 (14DX)（一种空间位阻弱配位环醚）加入 1 M NaPF 中配制了局部高浓度电解质 (LHCE)</w:t>
      </w:r>
      <w:r>
        <w:rPr>
          <w:vertAlign w:val="subscript"/>
        </w:rPr>
        <w:t>6</w:t>
      </w:r>
      <w:r>
        <w:t>溶于二甘醇二甲醚 (DEGDME)。这种定制的溶剂化微环境增强了</w:t>
      </w:r>
      <w:r>
        <w:t xml:space="preserve"> </w:t>
      </w:r>
      <w:r>
        <w:t>S</w:t>
      </w:r>
      <w:r>
        <w:t xml:space="preserve"> </w:t>
      </w:r>
      <w:r>
        <w:t>ICE</w:t>
      </w:r>
      <w:r>
        <w:t xml:space="preserve"> </w:t>
      </w:r>
      <w:r>
        <w:t>有效地实现溶剂构象灵活性，加速 Na</w:t>
      </w:r>
      <w:r>
        <w:t xml:space="preserve"> </w:t>
      </w:r>
      <w:r>
        <w:t>+</w:t>
      </w:r>
      <w:r>
        <w:t xml:space="preserve"> </w:t>
      </w:r>
      <w:r>
        <w:t>去溶剂化并指导形成高导电性、机械坚固的界面相。因此，HC|Na 电池具有超快充电耐久性，并保持 154.28 mAh g 的可逆容量</w:t>
      </w:r>
      <w:r>
        <w:t xml:space="preserve"> </w:t>
      </w:r>
      <w:r>
        <w:t>−1</w:t>
      </w:r>
      <w:r>
        <w:t xml:space="preserve"> </w:t>
      </w:r>
      <w:r>
        <w:t>9000 CY之后</w:t>
      </w:r>
    </w:p>
    <w:p>
      <w:pPr>
        <w:spacing w:before="0" w:after="200" w:lineRule="auto" w:line="276"/>
      </w:pPr>
      <w:r>
        <w:rPr>
          <w:b/>
        </w:rPr>
        <w:t xml:space="preserve">Abstract (EN): </w:t>
      </w:r>
      <w:r>
        <w:t>Ether‐based electrolytes are extensively employed in sodium‐ion batteries (SIBs) featuring hard carbon (HC) anodes, owing to their favorable interfacial wettability and intrinsically low solvation energy. Nevertheless, conventional NaPF</w:t>
      </w:r>
      <w:r>
        <w:rPr>
          <w:vertAlign w:val="subscript"/>
        </w:rPr>
        <w:t>6</w:t>
      </w:r>
      <w:r>
        <w:t>‐based systems are still hindered by limited initial Coulombic efficiency, suboptimal rate capability, and inadequate low‐temperature ion transport. Here, the concept of interfacial conformation entropy (</w:t>
      </w:r>
      <w:r>
        <w:t xml:space="preserve"> </w:t>
      </w:r>
      <w:r>
        <w:t>S</w:t>
      </w:r>
      <w:r>
        <w:t xml:space="preserve"> </w:t>
      </w:r>
      <w:r>
        <w:t>ICE</w:t>
      </w:r>
      <w:r>
        <w:t xml:space="preserve"> </w:t>
      </w:r>
      <w:r>
        <w:t>) is introduced as a mechanistic descriptor to capture the reconfigurability of solvation sheath and its influence on Na</w:t>
      </w:r>
      <w:r>
        <w:t xml:space="preserve"> </w:t>
      </w:r>
      <w:r>
        <w:t>+</w:t>
      </w:r>
      <w:r>
        <w:t xml:space="preserve"> </w:t>
      </w:r>
      <w:r>
        <w:t>desolvation and interfacial migration. To validate this concept, a locally high‐concentration electrolyte (LHCE) is formulated by incorporating 10 vol% 1,4‐dioxane (14DX), a sterically hindered and weakly coordinating cyclic ether, into 1 M NaPF</w:t>
      </w:r>
      <w:r>
        <w:rPr>
          <w:vertAlign w:val="subscript"/>
        </w:rPr>
        <w:t>6</w:t>
      </w:r>
      <w:r>
        <w:t>in diethylene glycol dimethyl ether (DEGDME). This tailored solvation microenvironment enhances</w:t>
      </w:r>
      <w:r>
        <w:t xml:space="preserve"> </w:t>
      </w:r>
      <w:r>
        <w:t>S</w:t>
      </w:r>
      <w:r>
        <w:t xml:space="preserve"> </w:t>
      </w:r>
      <w:r>
        <w:t>ICE</w:t>
      </w:r>
      <w:r>
        <w:t xml:space="preserve"> </w:t>
      </w:r>
      <w:r>
        <w:t>effectively, enabling solvent conformational flexibility that accelerates Na</w:t>
      </w:r>
      <w:r>
        <w:t xml:space="preserve"> </w:t>
      </w:r>
      <w:r>
        <w:t>+</w:t>
      </w:r>
      <w:r>
        <w:t xml:space="preserve"> </w:t>
      </w:r>
      <w:r>
        <w:t>desolvation and directs the formation of a highly conductive, mechanically robust interphase. Consequently, the HC|Na cell delivers ultrafast‐charging durability and maintains a reversible capacity of 154.28 mAh g</w:t>
      </w:r>
      <w:r>
        <w:t xml:space="preserve"> </w:t>
      </w:r>
      <w:r>
        <w:t>−1</w:t>
      </w:r>
      <w:r>
        <w:t xml:space="preserve"> </w:t>
      </w:r>
      <w:r>
        <w:t>after 9000 cycles at 10C with a capacity retention as high as 89.46%. Simultaneously, an Ah‐level NVP|HC pouch cell further substantiates the practical viability of this strategy. These findings highlight</w:t>
      </w:r>
      <w:r>
        <w:t xml:space="preserve"> </w:t>
      </w:r>
      <w:r>
        <w:t>S</w:t>
      </w:r>
      <w:r>
        <w:t xml:space="preserve"> </w:t>
      </w:r>
      <w:r>
        <w:t>ICE</w:t>
      </w:r>
      <w:r>
        <w:t xml:space="preserve"> </w:t>
      </w:r>
      <w:r>
        <w:t>as a powerful paradigm for the rational design of high‐rate SIB electrolytes.</w:t>
      </w:r>
    </w:p>
    <w:p>
      <w:pPr>
        <w:spacing w:before="120" w:after="120"/>
      </w:pPr>
      <w:r>
        <w:rPr>
          <w:sz w:val="18"/>
        </w:rPr>
        <w:t>——————————————————————————————————————————————————————————————————————</w:t>
      </w:r>
    </w:p>
    <w:p>
      <w:pPr>
        <w:spacing w:before="160" w:after="40" w:line="240" w:lineRule="auto"/>
      </w:pPr>
      <w:r>
        <w:rPr>
          <w:b/>
        </w:rPr>
        <w:t xml:space="preserve">[23] </w:t>
      </w:r>
      <w:hyperlink r:id="rId94">
        <w:r>
          <w:rPr>
            <w:color w:val="1155CC"/>
            <w:u w:val="single"/>
          </w:rPr>
          <w:t>立体电子增材工程实现高压高温锂金属电池的溶剂化调节和双界面稳定</w:t>
        </w:r>
      </w:hyperlink>
    </w:p>
    <w:p>
      <w:pPr>
        <w:spacing w:before="0" w:after="80"/>
      </w:pPr>
      <w:r>
        <w:rPr>
          <w:i/>
          <w:sz w:val="20"/>
        </w:rPr>
        <w:t>EN: Stereoelectronic Additive Engineering Enables Solvation Regulation and Dual‐Interphase Stabilization for High‐Voltage and High‐Temperature Lithium Metal Batteries</w:t>
      </w:r>
    </w:p>
    <w:p>
      <w:pPr>
        <w:spacing w:before="0" w:after="120"/>
      </w:pPr>
      <w:r>
        <w:rPr>
          <w:b/>
        </w:rPr>
        <w:t xml:space="preserve">Source: </w:t>
      </w:r>
      <w:r>
        <w:t>Wiley: Advanced Energy Materials: Table of Contents</w:t>
      </w:r>
      <w:r>
        <w:t xml:space="preserve">    </w:t>
      </w:r>
      <w:r>
        <w:rPr>
          <w:b/>
        </w:rPr>
        <w:t xml:space="preserve">Pub date: </w:t>
      </w:r>
      <w:r>
        <w:t>2026-07-30 05:55:07+00:00</w:t>
      </w:r>
      <w:r>
        <w:t xml:space="preserve">    </w:t>
      </w:r>
      <w:r>
        <w:rPr>
          <w:b/>
        </w:rPr>
        <w:t xml:space="preserve">DOI: </w:t>
      </w:r>
      <w:hyperlink r:id="rId95">
        <w:r>
          <w:rPr>
            <w:color w:val="1155CC"/>
            <w:u w:val="single"/>
          </w:rPr>
          <w:t>10.1002/aenm.71359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高压锂金属电池（LMB）的锂不稳定</w:t>
      </w:r>
      <w:r>
        <w:t xml:space="preserve"> </w:t>
      </w:r>
      <w:r>
        <w:t>+</w:t>
      </w:r>
      <w:r>
        <w:t xml:space="preserve"> </w:t>
      </w:r>
      <w:r>
        <w:t>溶剂化和脆弱的电极/电解质界面，特别是在高温下。在这里，二氟三甲基硅烷基乙酸乙酯（DTAE）被引入作为传统碳酸酯电解质的立体电子工程添加剂来调节Li</w:t>
      </w:r>
      <w:r>
        <w:t xml:space="preserve"> </w:t>
      </w:r>
      <w:r>
        <w:t>+</w:t>
      </w:r>
      <w:r>
        <w:t xml:space="preserve"> </w:t>
      </w:r>
      <w:r>
        <w:t>溶剂化并稳定阴极和阳极界面。 ─Si(CH</w:t>
      </w:r>
      <w:r>
        <w:rPr>
          <w:vertAlign w:val="subscript"/>
        </w:rPr>
        <w:t>3</w:t>
      </w:r>
      <w:r>
        <w:t>）</w:t>
      </w:r>
      <w:r>
        <w:rPr>
          <w:vertAlign w:val="subscript"/>
        </w:rPr>
        <w:t>3</w:t>
      </w:r>
      <w:r>
        <w:t>和─CF</w:t>
      </w:r>
      <w:r>
        <w:rPr>
          <w:vertAlign w:val="subscript"/>
        </w:rPr>
        <w:t>2</w:t>
      </w:r>
      <w:r>
        <w:t>─ 同一碳中心上的基团削弱了Li</w:t>
      </w:r>
      <w:r>
        <w:t xml:space="preserve"> </w:t>
      </w:r>
      <w:r>
        <w:t>+</w:t>
      </w:r>
      <w:r>
        <w:t xml:space="preserve"> </w:t>
      </w:r>
      <w:r>
        <w:t>–羰基配位，促进阴离子参与初级溶剂化鞘，并促进Li</w:t>
      </w:r>
      <w:r>
        <w:t xml:space="preserve"> </w:t>
      </w:r>
      <w:r>
        <w:t>+</w:t>
      </w:r>
      <w:r>
        <w:t xml:space="preserve"> </w:t>
      </w:r>
      <w:r>
        <w:t>去溶剂化。同时，DTAE 清除 HF 并有助于在 LiNi 上形成坚固的 LiF/Si─O 富界面相。</w:t>
      </w:r>
      <w:r>
        <w:t xml:space="preserve"> </w:t>
      </w:r>
      <w:r>
        <w:t>0.8</w:t>
      </w:r>
      <w:r>
        <w:t xml:space="preserve"> </w:t>
      </w:r>
      <w:r>
        <w:t>钴</w:t>
      </w:r>
      <w:r>
        <w:t xml:space="preserve"> </w:t>
      </w:r>
      <w:r>
        <w:t>0.1</w:t>
      </w:r>
      <w:r>
        <w:t xml:space="preserve"> </w:t>
      </w:r>
      <w:r>
        <w:t>锰</w:t>
      </w:r>
      <w:r>
        <w:t xml:space="preserve"> </w:t>
      </w:r>
      <w:r>
        <w:t>0.1</w:t>
      </w:r>
      <w:r>
        <w:t xml:space="preserve"> </w:t>
      </w:r>
      <w:r>
        <w:t>氧</w:t>
      </w:r>
      <w:r>
        <w:rPr>
          <w:vertAlign w:val="subscript"/>
        </w:rPr>
        <w:t>2</w:t>
      </w:r>
      <w:r>
        <w:t>（NCM811）阴极和锂金属阳极。结果，过渡金属溶解、阴极表面降解和异质锂沉积得到有效抑制，从而改善了恶劣条件下的界面动力学和电化学稳定性。 Li||NCM811 电池在 4.6 V 和 82.32% 下循环 330 次后容量保持率达到 82.91%</w:t>
      </w:r>
    </w:p>
    <w:p>
      <w:pPr>
        <w:spacing w:before="0" w:after="200" w:lineRule="auto" w:line="276"/>
      </w:pPr>
      <w:r>
        <w:rPr>
          <w:b/>
        </w:rPr>
        <w:t xml:space="preserve">Abstract (EN): </w:t>
      </w:r>
      <w:r>
        <w:t>High‐voltage lithium metal batteries (LMBs) suffer from unstable Li</w:t>
      </w:r>
      <w:r>
        <w:t xml:space="preserve"> </w:t>
      </w:r>
      <w:r>
        <w:t>+</w:t>
      </w:r>
      <w:r>
        <w:t xml:space="preserve"> </w:t>
      </w:r>
      <w:r>
        <w:t>solvation and fragile electrode/electrolyte interphases, especially at elevated temperatures. Here, difluorotrimethylsilanylacetic acid ethyl ester (DTAE) is introduced as a stereoelectronically engineered additive for conventional carbonate electrolytes to regulate Li</w:t>
      </w:r>
      <w:r>
        <w:t xml:space="preserve"> </w:t>
      </w:r>
      <w:r>
        <w:t>+</w:t>
      </w:r>
      <w:r>
        <w:t xml:space="preserve"> </w:t>
      </w:r>
      <w:r>
        <w:t>solvation and stabilize both cathode and anode interphases. The push–pull effect of the ─Si(CH</w:t>
      </w:r>
      <w:r>
        <w:rPr>
          <w:vertAlign w:val="subscript"/>
        </w:rPr>
        <w:t>3</w:t>
      </w:r>
      <w:r>
        <w:t>)</w:t>
      </w:r>
      <w:r>
        <w:rPr>
          <w:vertAlign w:val="subscript"/>
        </w:rPr>
        <w:t>3</w:t>
      </w:r>
      <w:r>
        <w:t>and ─CF</w:t>
      </w:r>
      <w:r>
        <w:rPr>
          <w:vertAlign w:val="subscript"/>
        </w:rPr>
        <w:t>2</w:t>
      </w:r>
      <w:r>
        <w:t>─ groups on the same carbon center weakens Li</w:t>
      </w:r>
      <w:r>
        <w:t xml:space="preserve"> </w:t>
      </w:r>
      <w:r>
        <w:t>+</w:t>
      </w:r>
      <w:r>
        <w:t xml:space="preserve"> </w:t>
      </w:r>
      <w:r>
        <w:t>–carbonyl coordination, promotes anion involvement in the primary solvation sheath, and facilitates Li</w:t>
      </w:r>
      <w:r>
        <w:t xml:space="preserve"> </w:t>
      </w:r>
      <w:r>
        <w:t>+</w:t>
      </w:r>
      <w:r>
        <w:t xml:space="preserve"> </w:t>
      </w:r>
      <w:r>
        <w:t>desolvation. Meanwhile, DTAE scavenges HF and contributes to the formation of robust LiF/Si─O‐rich interphases on both the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(NCM811) cathode and Li metal anode. As a result, transition‐metal dissolution, cathode surface degradation, and heterogeneous lithium deposition are effectively suppressed, leading to improved interfacial kinetics and electrochemical stability under harsh conditions. Li||NCM811 cells achieve 82.91% capacity retention after 330 cycles at 4.6 V and 82.32% after 250 cycles at 60°C and 4.5 V. In addition, a 5 Ah pouch cell with an energy density of 415 Wh kg</w:t>
      </w:r>
      <w:r>
        <w:t xml:space="preserve"> </w:t>
      </w:r>
      <w:r>
        <w:t>−1</w:t>
      </w:r>
      <w:r>
        <w:t xml:space="preserve"> </w:t>
      </w:r>
      <w:r>
        <w:t>retains 83.40% of its initial capacity after 100 cycles at 4.6 V. This work highlights stereoelectronic additive engineering as an effective strategy to couple solvation regulation with dual‐interphase stabilization for practical high‐energy LMBs.</w:t>
      </w:r>
    </w:p>
    <w:p>
      <w:pPr>
        <w:spacing w:before="120" w:after="120"/>
      </w:pPr>
      <w:r>
        <w:rPr>
          <w:sz w:val="18"/>
        </w:rPr>
        <w:t>——————————————————————————————————————————————————————————————————————</w:t>
      </w:r>
    </w:p>
    <w:p>
      <w:pPr>
        <w:spacing w:before="160" w:after="40" w:line="240" w:lineRule="auto"/>
      </w:pPr>
      <w:r>
        <w:rPr>
          <w:b/>
        </w:rPr>
        <w:t xml:space="preserve">[24] </w:t>
      </w:r>
      <w:hyperlink r:id="rId127">
        <w:r>
          <w:rPr>
            <w:color w:val="1155CC"/>
            <w:u w:val="single"/>
          </w:rPr>
          <w:t>具有快速溶解再沉积动力学的磁场定制铜层，用于稳定的锌金属阳极</w:t>
        </w:r>
      </w:hyperlink>
    </w:p>
    <w:p>
      <w:pPr>
        <w:spacing w:before="0" w:after="80"/>
      </w:pPr>
      <w:r>
        <w:rPr>
          <w:i/>
          <w:sz w:val="20"/>
        </w:rPr>
        <w:t>EN: Magnetic Field‐Tailored Copper Layers With Fast Dissolution‐Redeposition Kinetics for Stable Zinc Metal Anodes</w:t>
      </w:r>
    </w:p>
    <w:p>
      <w:pPr>
        <w:spacing w:before="0" w:after="120"/>
      </w:pPr>
      <w:r>
        <w:rPr>
          <w:b/>
        </w:rPr>
        <w:t xml:space="preserve">Source: </w:t>
      </w:r>
      <w:r>
        <w:t>Wiley: Advanced Energy Materials: Table of Contents</w:t>
      </w:r>
      <w:r>
        <w:t xml:space="preserve">    </w:t>
      </w:r>
      <w:r>
        <w:rPr>
          <w:b/>
        </w:rPr>
        <w:t xml:space="preserve">Pub date: </w:t>
      </w:r>
      <w:r>
        <w:t>2026-07-30 05:55:15+00:00</w:t>
      </w:r>
      <w:r>
        <w:t xml:space="preserve">    </w:t>
      </w:r>
      <w:r>
        <w:rPr>
          <w:b/>
        </w:rPr>
        <w:t xml:space="preserve">DOI: </w:t>
      </w:r>
      <w:hyperlink r:id="rId128">
        <w:r>
          <w:rPr>
            <w:color w:val="1155CC"/>
            <w:u w:val="single"/>
          </w:rPr>
          <w:t>10.1002/aenm.71376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化学置换提供了在锌阳极上制造金属保护层的直接途径。然而，被置换金属的随机且不均匀的成核和生长，以及不可控的动态演化，往往最终导致有限的保护效果。在此，我们提出了一种磁场辅助策略来调节置换反应动力学，在 Zn (ZnCu-MF) 上产生均匀致密的铜保护层。磁流体动力学效应控制 Cu</w:t>
      </w:r>
      <w:r>
        <w:t xml:space="preserve"> </w:t>
      </w:r>
      <w:r>
        <w:t>2+</w:t>
      </w:r>
      <w:r>
        <w:t xml:space="preserve"> </w:t>
      </w:r>
      <w:r>
        <w:t>位移过程中的传输，促进均匀的铜成核，并抑制“原电池”主导的位移途径。此外，我们验证了涉及铜溶解再沉积和 Zn-Cu 共沉积的界面反应机制，这加速了界面动力学并促进亲锌 CuZn 的形成</w:t>
      </w:r>
      <w:r>
        <w:rPr>
          <w:vertAlign w:val="subscript"/>
        </w:rPr>
        <w:t>5</w:t>
      </w:r>
      <w:r>
        <w:t>合金层，从而实现稳定的长期和高速率循环。因此，ZnCu-MF||ZnCu-MF 对称电池在 2 mA cm 下的循环寿命超过 5000 小时</w:t>
      </w:r>
      <w:r>
        <w:t xml:space="preserve"> </w:t>
      </w:r>
      <w:r>
        <w:t>−2</w:t>
      </w:r>
      <w:r>
        <w:t xml:space="preserve"> </w:t>
      </w:r>
      <w:r>
        <w:t>10 mA cm 下超过 4800 小时</w:t>
      </w:r>
      <w:r>
        <w:t xml:space="preserve"> </w:t>
      </w:r>
      <w:r>
        <w:t>−2</w:t>
      </w:r>
      <w:r>
        <w:t xml:space="preserve"> </w:t>
      </w:r>
      <w:r>
        <w:t>。此外，ZnCu-MF||Cu 半电池在 1300 个循环中的平均库仑效率为 99.8%。具有钒基阴极的全电池表现出卓越的倍率性能和超过 1000 次循环的寿命。值得注意的是，软包电池的负载量高达 19.35 mg cm</w:t>
      </w:r>
      <w:r>
        <w:t xml:space="preserve"> </w:t>
      </w:r>
      <w:r>
        <w:t>−2</w:t>
      </w:r>
      <w:r>
        <w:t xml:space="preserve"> </w:t>
      </w:r>
      <w:r>
        <w:t>（4.7 毫安时厘米</w:t>
      </w:r>
      <w:r>
        <w:t xml:space="preserve"> </w:t>
      </w:r>
      <w:r>
        <w:t>−2</w:t>
      </w:r>
    </w:p>
    <w:p>
      <w:pPr>
        <w:spacing w:before="0" w:after="200" w:lineRule="auto" w:line="276"/>
      </w:pPr>
      <w:r>
        <w:rPr>
          <w:b/>
        </w:rPr>
        <w:t xml:space="preserve">Abstract (EN): </w:t>
      </w:r>
      <w:r>
        <w:t>Chemical displacement offers a straightforward route to fabricate metal protective layers on zinc anodes. However, stochastic and inhomogeneous nucleation and growth of the displaced metal, together with uncontrollable dynamic evolution, often culminate in a limited protective effect. Herein, we propose a magnetic field‐assisted strategy to modulate displacement reaction kinetics, yielding a uniform and compact Cu protective layer on Zn (ZnCu‐MF). The magnetohydrodynamic effect governs Cu</w:t>
      </w:r>
      <w:r>
        <w:t xml:space="preserve"> </w:t>
      </w:r>
      <w:r>
        <w:t>2+</w:t>
      </w:r>
      <w:r>
        <w:t xml:space="preserve"> </w:t>
      </w:r>
      <w:r>
        <w:t>transport during displacement, promotes uniform Cu nucleation, and suppresses the “galvanic cell” dominated displacement pathway. Furthermore, we verify the interfacial reaction mechanisms involving copper dissolution‐redeposition and Zn‐Cu co‐deposition, which accelerate interfacial kinetics and foster the formation of a zincophilic CuZn</w:t>
      </w:r>
      <w:r>
        <w:rPr>
          <w:vertAlign w:val="subscript"/>
        </w:rPr>
        <w:t>5</w:t>
      </w:r>
      <w:r>
        <w:t>alloy layer, thereby enabling stable long‐term and high‐rate cycling. Consequently, ZnCu‐MF||ZnCu‐MF symmetric cells achieve a cycle life exceeding 5000 h at 2 mA cm</w:t>
      </w:r>
      <w:r>
        <w:t xml:space="preserve"> </w:t>
      </w:r>
      <w:r>
        <w:t>−2</w:t>
      </w:r>
      <w:r>
        <w:t xml:space="preserve"> </w:t>
      </w:r>
      <w:r>
        <w:t>and over 4800 h at 10 mA cm</w:t>
      </w:r>
      <w:r>
        <w:t xml:space="preserve"> </w:t>
      </w:r>
      <w:r>
        <w:t>−2</w:t>
      </w:r>
      <w:r>
        <w:t xml:space="preserve"> </w:t>
      </w:r>
      <w:r>
        <w:t>. Moreover, ZnCu‐MF||Cu half‐cells deliver an average coulombic efficiency of 99.8% over 1300 cycles. A full cell with a vanadium‐based cathode exhibits superior rate capability and a lifespan surpassing 1000 cycles. Remarkably, a pouch cell with high loading of 19.35 mg cm</w:t>
      </w:r>
      <w:r>
        <w:t xml:space="preserve"> </w:t>
      </w:r>
      <w:r>
        <w:t>−2</w:t>
      </w:r>
      <w:r>
        <w:t xml:space="preserve"> </w:t>
      </w:r>
      <w:r>
        <w:t>(4.7 mAh cm</w:t>
      </w:r>
      <w:r>
        <w:t xml:space="preserve"> </w:t>
      </w:r>
      <w:r>
        <w:t>−2</w:t>
      </w:r>
      <w:r>
        <w:t xml:space="preserve"> </w:t>
      </w:r>
      <w:r>
        <w:t>) and a low N/P ratio of 3.7 attains about 0.3 Ah and sustains stable operation for over 300 cycles.</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64">
        <w:r>
          <w:rPr>
            <w:color w:val="1155CC"/>
            <w:u w:val="single"/>
          </w:rPr>
          <w:t>双溶剂超分子组装实现安培小时卤化物全固态软包电池</w:t>
        </w:r>
      </w:hyperlink>
    </w:p>
    <w:p>
      <w:pPr>
        <w:spacing w:before="0" w:after="80"/>
      </w:pPr>
      <w:r>
        <w:rPr>
          <w:i/>
          <w:sz w:val="20"/>
        </w:rPr>
        <w:t>EN: Dual‐Solvent Supramolecular Assembly Enables Ampere‐Hour Halide All‐Solid‐State Pouch Cell</w:t>
      </w:r>
    </w:p>
    <w:p>
      <w:pPr>
        <w:spacing w:before="0" w:after="120"/>
      </w:pPr>
      <w:r>
        <w:rPr>
          <w:b/>
        </w:rPr>
        <w:t xml:space="preserve">Source: </w:t>
      </w:r>
      <w:r>
        <w:t>Wiley: Advanced Materials: Table of Contents</w:t>
      </w:r>
      <w:r>
        <w:t xml:space="preserve">    </w:t>
      </w:r>
      <w:r>
        <w:rPr>
          <w:b/>
        </w:rPr>
        <w:t xml:space="preserve">Pub date: </w:t>
      </w:r>
      <w:r>
        <w:t>2026-07-24 06:44:50+00:00</w:t>
      </w:r>
      <w:r>
        <w:t xml:space="preserve">    </w:t>
      </w:r>
      <w:r>
        <w:rPr>
          <w:b/>
        </w:rPr>
        <w:t xml:space="preserve">DOI: </w:t>
      </w:r>
      <w:hyperlink r:id="rId65">
        <w:r>
          <w:rPr>
            <w:color w:val="1155CC"/>
            <w:u w:val="single"/>
          </w:rPr>
          <w:t>10.1002/adma.74206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卤化物固体电解质（SSE）有望成为下一代全固态电池（ASSB），但通过浆料涂层大规模制造卤化物SSE薄膜和安时级全固态软包电池（ASSPC）尚未得到证实。在这里，我们引入了一种双溶剂超分子组装策略，可以精确调节多嵌段共聚物粘合剂（SEEPS）的链组织，从而实现低粘合剂、高粘度浆料，从而形成均匀的卤化物SSE薄膜。甲基环己烷和癸烷被认为是化学相容的溶剂，可以减少 InCl</w:t>
      </w:r>
      <w:r>
        <w:rPr>
          <w:vertAlign w:val="subscript"/>
        </w:rPr>
        <w:t>3</w:t>
      </w:r>
      <w:r>
        <w:t>Li的地表降水</w:t>
      </w:r>
      <w:r>
        <w:rPr>
          <w:vertAlign w:val="subscript"/>
        </w:rPr>
        <w:t>3</w:t>
      </w:r>
      <w:r>
        <w:t>氯化铟</w:t>
      </w:r>
      <w:r>
        <w:rPr>
          <w:vertAlign w:val="subscript"/>
        </w:rPr>
        <w:t>6</w:t>
      </w:r>
      <w:r>
        <w:t>，保持离子电导率。由此产生的李</w:t>
      </w:r>
      <w:r>
        <w:rPr>
          <w:vertAlign w:val="subscript"/>
        </w:rPr>
        <w:t>3</w:t>
      </w:r>
      <w:r>
        <w:t>氯化铟</w:t>
      </w:r>
      <w:r>
        <w:rPr>
          <w:vertAlign w:val="subscript"/>
        </w:rPr>
        <w:t>6</w:t>
      </w:r>
      <w:r>
        <w:t>/李</w:t>
      </w:r>
      <w:r>
        <w:t xml:space="preserve"> </w:t>
      </w:r>
      <w:r>
        <w:t>6−</w:t>
      </w:r>
      <w:r>
        <w:t xml:space="preserve"> </w:t>
      </w:r>
      <w:r>
        <w:t>x</w:t>
      </w:r>
      <w:r>
        <w:t xml:space="preserve"> </w:t>
      </w:r>
      <w:r>
        <w:t>聚苯乙烯</w:t>
      </w:r>
      <w:r>
        <w:t xml:space="preserve"> </w:t>
      </w:r>
      <w:r>
        <w:t>5−</w:t>
      </w:r>
      <w:r>
        <w:t xml:space="preserve"> </w:t>
      </w:r>
      <w:r>
        <w:t>x</w:t>
      </w:r>
      <w:r>
        <w:t xml:space="preserve"> </w:t>
      </w:r>
      <w:r>
        <w:t>氯</w:t>
      </w:r>
      <w:r>
        <w:t xml:space="preserve"> </w:t>
      </w:r>
      <w:r>
        <w:t>1+</w:t>
      </w:r>
      <w:r>
        <w:t xml:space="preserve"> </w:t>
      </w:r>
      <w:r>
        <w:t>x</w:t>
      </w:r>
      <w:r>
        <w:t xml:space="preserve"> </w:t>
      </w:r>
      <w:r>
        <w:t>双层 SSE 薄膜具有高离子电导率 (1.26 mS/cm)、机械鲁棒性和电化学稳定性。使用 NCM88 阴极和微硅阳极的 ASSB 在 0.5 C 下循环 600 次后仍保留 71.3% 的容量，而首款十层安培小时级卤化物 ASSPC 在 0.2 C 下提供 1.45 Ah 容量，容量保留率为 95.1%</w:t>
      </w:r>
    </w:p>
    <w:p>
      <w:pPr>
        <w:spacing w:before="0" w:after="200" w:lineRule="auto" w:line="276"/>
      </w:pPr>
      <w:r>
        <w:rPr>
          <w:b/>
        </w:rPr>
        <w:t xml:space="preserve">Abstract (EN): </w:t>
      </w:r>
      <w:r>
        <w:t>Halide solid electrolytes (SSEs) hold promise for next‐generation all‐solid‐state batteries (ASSBs), yet scalable fabrication of halide SSE films and ampere‐hour‐scale all‐solid‐state pouch cells (ASSPCs) via slurry coating has not been demonstrated. Here, we introduce a dual‐solvent supramolecular assembly strategy that precisely regulates the chain organization of a multiblock copolymer binder (SEEPS), enabling low‐binder, high‐viscosity slurries for uniform halide SSE film formation. Methylcyclohexane and decane are identified as chemically compatible solvents that diminish InCl</w:t>
      </w:r>
      <w:r>
        <w:rPr>
          <w:vertAlign w:val="subscript"/>
        </w:rPr>
        <w:t>3</w:t>
      </w:r>
      <w:r>
        <w:t>surface precipitation in Li</w:t>
      </w:r>
      <w:r>
        <w:rPr>
          <w:vertAlign w:val="subscript"/>
        </w:rPr>
        <w:t>3</w:t>
      </w:r>
      <w:r>
        <w:t>InCl</w:t>
      </w:r>
      <w:r>
        <w:rPr>
          <w:vertAlign w:val="subscript"/>
        </w:rPr>
        <w:t>6</w:t>
      </w:r>
      <w:r>
        <w:t>, preserving ionic conductivity. The resulting Li</w:t>
      </w:r>
      <w:r>
        <w:rPr>
          <w:vertAlign w:val="subscript"/>
        </w:rPr>
        <w:t>3</w:t>
      </w:r>
      <w:r>
        <w:t>InCl</w:t>
      </w:r>
      <w:r>
        <w:rPr>
          <w:vertAlign w:val="subscript"/>
        </w:rPr>
        <w:t>6</w:t>
      </w:r>
      <w:r>
        <w:t>/Li</w:t>
      </w:r>
      <w:r>
        <w:t xml:space="preserve"> </w:t>
      </w:r>
      <w:r>
        <w:t>6−</w:t>
      </w:r>
      <w:r>
        <w:t xml:space="preserve"> </w:t>
      </w:r>
      <w:r>
        <w:t>x</w:t>
      </w:r>
      <w:r>
        <w:t xml:space="preserve"> </w:t>
      </w:r>
      <w:r>
        <w:t>PS</w:t>
      </w:r>
      <w:r>
        <w:t xml:space="preserve"> </w:t>
      </w:r>
      <w:r>
        <w:t>5−</w:t>
      </w:r>
      <w:r>
        <w:t xml:space="preserve"> </w:t>
      </w:r>
      <w:r>
        <w:t>x</w:t>
      </w:r>
      <w:r>
        <w:t xml:space="preserve"> </w:t>
      </w:r>
      <w:r>
        <w:t>Cl</w:t>
      </w:r>
      <w:r>
        <w:t xml:space="preserve"> </w:t>
      </w:r>
      <w:r>
        <w:t>1+</w:t>
      </w:r>
      <w:r>
        <w:t xml:space="preserve"> </w:t>
      </w:r>
      <w:r>
        <w:t>x</w:t>
      </w:r>
      <w:r>
        <w:t xml:space="preserve"> </w:t>
      </w:r>
      <w:r>
        <w:t>bilayer SSE film exhibits high ionic conductivity (1.26 mS/cm), mechanical robustness, and electrochemical stability. ASSBs using NCM88 cathodes and micro‐silicon anodes retain 71.3% capacity after 600 cycles at 0.5 C, while the first ten‐layer ampere‐hour‐scale halide ASSPC delivers 1.45 Ah at 0.2 C with 95.1% capacity retention over 100 cycles. This approach establishes a practical and scalable pathway for fabricating halide ASSPCs, bridging laboratory innovations and commercial deployment.</w:t>
      </w:r>
    </w:p>
    <w:p>
      <w:pPr>
        <w:spacing w:before="120" w:after="120"/>
      </w:pPr>
      <w:r>
        <w:rPr>
          <w:sz w:val="18"/>
        </w:rPr>
        <w:t>——————————————————————————————————————————————————————————————————————</w:t>
      </w:r>
    </w:p>
    <w:p>
      <w:pPr>
        <w:spacing w:before="160" w:after="40" w:line="240" w:lineRule="auto"/>
      </w:pPr>
      <w:r>
        <w:rPr>
          <w:b/>
        </w:rPr>
        <w:t xml:space="preserve">[2] </w:t>
      </w:r>
      <w:hyperlink r:id="rId129">
        <w:r>
          <w:rPr>
            <w:color w:val="1155CC"/>
            <w:u w:val="single"/>
          </w:rPr>
          <w:t>碳酸盐阴离子工程使具有超离子导电性的耐湿卤化物固体电解质成为可能</w:t>
        </w:r>
      </w:hyperlink>
    </w:p>
    <w:p>
      <w:pPr>
        <w:spacing w:before="0" w:after="80"/>
      </w:pPr>
      <w:r>
        <w:rPr>
          <w:i/>
          <w:sz w:val="20"/>
        </w:rPr>
        <w:t>EN: Carbonate‐Anion Engineering Enables Humidity‐Resistant Halide Solid Electrolytes with Superionic Conductivity</w:t>
      </w:r>
    </w:p>
    <w:p>
      <w:pPr>
        <w:spacing w:before="0" w:after="120"/>
      </w:pPr>
      <w:r>
        <w:rPr>
          <w:b/>
        </w:rPr>
        <w:t xml:space="preserve">Source: </w:t>
      </w:r>
      <w:r>
        <w:t>Wiley: Advanced Energy Materials: Table of Contents</w:t>
      </w:r>
      <w:r>
        <w:t xml:space="preserve">    </w:t>
      </w:r>
      <w:r>
        <w:rPr>
          <w:b/>
        </w:rPr>
        <w:t xml:space="preserve">Pub date: </w:t>
      </w:r>
      <w:r>
        <w:t>2026-07-24 07:25:23+00:00</w:t>
      </w:r>
      <w:r>
        <w:t xml:space="preserve">    </w:t>
      </w:r>
      <w:r>
        <w:rPr>
          <w:b/>
        </w:rPr>
        <w:t xml:space="preserve">DOI: </w:t>
      </w:r>
      <w:hyperlink r:id="rId130">
        <w:r>
          <w:rPr>
            <w:color w:val="1155CC"/>
            <w:u w:val="single"/>
          </w:rPr>
          <w:t>10.1002/aenm.71362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全固态电池（ASSB）的商业化因缺乏同时具有高离子电导率、耐湿度和高效低温运行的固体电解质（SE）而受到阻碍。在此，我们建议通过锂反应来开发固态电解质（SE）</w:t>
      </w:r>
      <w:r>
        <w:rPr>
          <w:vertAlign w:val="subscript"/>
        </w:rPr>
        <w:t>2</w:t>
      </w:r>
      <w:r>
        <w:t>一氧化碳</w:t>
      </w:r>
      <w:r>
        <w:rPr>
          <w:vertAlign w:val="subscript"/>
        </w:rPr>
        <w:t>3</w:t>
      </w:r>
      <w:r>
        <w:t>具有氯化物框架。二氧化碳</w:t>
      </w:r>
      <w:r>
        <w:rPr>
          <w:vertAlign w:val="subscript"/>
        </w:rPr>
        <w:t>3</w:t>
      </w:r>
      <w:r>
        <w:t>2−</w:t>
      </w:r>
      <w:r>
        <w:t>该基团具有双重功能：它通过不可水解的金属碳酸酯键形成刚性、耐水解的支架，同时其高极化性和电荷离域软化局部声子模式，显着降低Li的活化能</w:t>
      </w:r>
      <w:r>
        <w:t xml:space="preserve"> </w:t>
      </w:r>
      <w:r>
        <w:t>+</w:t>
      </w:r>
      <w:r>
        <w:t xml:space="preserve"> </w:t>
      </w:r>
      <w:r>
        <w:t>迁移。 Ta 基 SE 的离子电导率达到 7.1 mS cm</w:t>
      </w:r>
      <w:r>
        <w:t xml:space="preserve"> </w:t>
      </w:r>
      <w:r>
        <w:t>−1</w:t>
      </w:r>
      <w:r>
        <w:t xml:space="preserve"> </w:t>
      </w:r>
      <w:r>
        <w:t>25°C 下，在非晶 SE 中名列前茅；直接暴露于潮湿空气（20% RH，2 小时）后，基于 Zr 的 SE 仍保留 80% 的电导率，优于商业硫化物和卤化物同类产品。采用这些 SE 的 ASSB 表现出超长的循环稳定性（&gt;1000 次循环，25°C 下容量保持率为 90%）和前所未有的低温性能，可在低至 -60°C 的温度下有效运行。这项工作为下一代 SE 建立了一个通用的设计原则，将高电导率、稳定性和实用性统一起来。</w:t>
      </w:r>
    </w:p>
    <w:p>
      <w:pPr>
        <w:spacing w:before="0" w:after="200" w:lineRule="auto" w:line="276"/>
      </w:pPr>
      <w:r>
        <w:rPr>
          <w:b/>
        </w:rPr>
        <w:t xml:space="preserve">Abstract (EN): </w:t>
      </w:r>
      <w:r>
        <w:t>The commercialization of all‐solid‐state batteries (ASSBs) is hindered by the lack of a solid electrolyte (SE) that simultaneously delivers high ionic conductivity, resilience to humidity, and efficient low‐temperature operation. Herein, we propose to develop solid‐state electrolytes (SEs) by reacting Li</w:t>
      </w:r>
      <w:r>
        <w:rPr>
          <w:vertAlign w:val="subscript"/>
        </w:rPr>
        <w:t>2</w:t>
      </w:r>
      <w:r>
        <w:t>CO</w:t>
      </w:r>
      <w:r>
        <w:rPr>
          <w:vertAlign w:val="subscript"/>
        </w:rPr>
        <w:t>3</w:t>
      </w:r>
      <w:r>
        <w:t>with chloride frameworks. The CO</w:t>
      </w:r>
      <w:r>
        <w:rPr>
          <w:vertAlign w:val="subscript"/>
        </w:rPr>
        <w:t>3</w:t>
      </w:r>
      <w:r>
        <w:t>2−</w:t>
      </w:r>
      <w:r>
        <w:t>group serves a dual function: it forms a rigid, hydrolysis‐resistant scaffold via non‐hydrolysable metal‐carbonate bonds, while its high polarizability and charge delocalization soften local phonon modes, significantly reducing the activation energy for Li</w:t>
      </w:r>
      <w:r>
        <w:t xml:space="preserve"> </w:t>
      </w:r>
      <w:r>
        <w:t>+</w:t>
      </w:r>
      <w:r>
        <w:t xml:space="preserve"> </w:t>
      </w:r>
      <w:r>
        <w:t>migration. Ta‐based SE achieves an ionic conductivity of 7.1 mS cm</w:t>
      </w:r>
      <w:r>
        <w:t xml:space="preserve"> </w:t>
      </w:r>
      <w:r>
        <w:t>−1</w:t>
      </w:r>
      <w:r>
        <w:t xml:space="preserve"> </w:t>
      </w:r>
      <w:r>
        <w:t>at 25°C, ranking among the highest for amorphous SEs; Zr‐based SE retains 80% of its conductivity after direct exposure to humid air (20% RH, 2 h), outperforming commercial sulfide and halide counterparts. ASSBs employing these SEs demonstrate ultralong cycling stability (&amp;gt;1000 cycles with 90% capacity retention at 25°C) and unprecedented low‐temperature performance, operating effectively down to −60°C. This work establishes a generalizable design principle for next‐generation SEs that unify high conductivity, stability, and practicality.</w:t>
      </w:r>
    </w:p>
    <w:p>
      <w:pPr>
        <w:spacing w:before="120" w:after="120"/>
      </w:pPr>
      <w:r>
        <w:rPr>
          <w:sz w:val="18"/>
        </w:rPr>
        <w:t>——————————————————————————————————————————————————————————————————————</w:t>
      </w:r>
    </w:p>
    <w:p>
      <w:pPr>
        <w:spacing w:before="160" w:after="40" w:line="240" w:lineRule="auto"/>
      </w:pPr>
      <w:r>
        <w:rPr>
          <w:b/>
        </w:rPr>
        <w:t xml:space="preserve">[3] </w:t>
      </w:r>
      <w:hyperlink r:id="rId131">
        <w:r>
          <w:rPr>
            <w:color w:val="1155CC"/>
            <w:u w:val="single"/>
          </w:rPr>
          <w:t>机器学习辅助阐明电解质-电极界面形成的异质界面中的离子传输机制</w:t>
        </w:r>
      </w:hyperlink>
    </w:p>
    <w:p>
      <w:pPr>
        <w:spacing w:before="0" w:after="80"/>
      </w:pPr>
      <w:r>
        <w:rPr>
          <w:i/>
          <w:sz w:val="20"/>
        </w:rPr>
        <w:t>EN: Machine‐Learning‐Assisted Elucidation of Ion Transport Mechanism in Heterogeneous Interphases Formed at the Electrolyte–Electrode Interfaces</w:t>
      </w:r>
    </w:p>
    <w:p>
      <w:pPr>
        <w:spacing w:before="0" w:after="120"/>
      </w:pPr>
      <w:r>
        <w:rPr>
          <w:b/>
        </w:rPr>
        <w:t xml:space="preserve">Source: </w:t>
      </w:r>
      <w:r>
        <w:t>Wiley: Advanced Energy Materials: Table of Contents</w:t>
      </w:r>
      <w:r>
        <w:t xml:space="preserve">    </w:t>
      </w:r>
      <w:r>
        <w:rPr>
          <w:b/>
        </w:rPr>
        <w:t xml:space="preserve">Pub date: </w:t>
      </w:r>
      <w:r>
        <w:t>2026-07-24 07:28:16+00:00</w:t>
      </w:r>
      <w:r>
        <w:t xml:space="preserve">    </w:t>
      </w:r>
      <w:r>
        <w:rPr>
          <w:b/>
        </w:rPr>
        <w:t xml:space="preserve">DOI: </w:t>
      </w:r>
      <w:hyperlink r:id="rId132">
        <w:r>
          <w:rPr>
            <w:color w:val="1155CC"/>
            <w:u w:val="single"/>
          </w:rPr>
          <w:t>10.1002/aenm.71360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解质/电极界面的结构和成分异质性关键决定了现代锂离子电池的功能、性能和稳定性。然而，由于这些界面的高度无序性、空间限制和动态演化，原子尺度的表征仍然具有挑战性，使得它们在锂离子传输中的作用知之甚少。 LiF 和 LiF 是最常见的界面成分之一，在循环过程中有意形成或通过电极污染和电解质分解形成。在这里，我们采用机器学习原子间势加速的大规模分子动力学模拟来研究 LiF/界面的局部异质性如何影响 Li 传输。我们的结果表明，界面处高度混合的 Li-F- 化学物质能够实现快速的 Li 传导，并且能量稳定且动态鲁棒。这些发现表明，加入适当比例的 可以破坏均匀的 LiF 覆盖的夹层，从而增强锂离子传输动力学，同时提高夹层结构的机械鲁棒性。</w:t>
      </w:r>
    </w:p>
    <w:p>
      <w:pPr>
        <w:spacing w:before="0" w:after="200" w:lineRule="auto" w:line="276"/>
      </w:pPr>
      <w:r>
        <w:rPr>
          <w:b/>
        </w:rPr>
        <w:t xml:space="preserve">Abstract (EN): </w:t>
      </w:r>
      <w:r>
        <w:t>The structural and compositional heterogeneity at electrolyte/electrode interfaces critically determines the functionality, performance, and stability of modern Li‐ion batteries. However, atomic‐scale characterization remains challenging due to the high degree of disorder, spatial confinement, and dynamic evolution of these interfaces, leaving their role in Li‐ion transport poorly understood. LiF and  are among the most prevalent interfacial components, forming either intentionally or through electrode contamination and electrolyte decomposition during cycling. Here, we employ large‐scale molecular dynamics simulations accelerated by machine‐learning interatomic potentials to investigate how local heterogeneity at LiF/ interfaces affects Li transport. Our results show that highly mixed Li–F– chemistries at the interface enable rapid Li conduction and are both energetically stable and dynamically robust. These findings suggest that incorporating an appropriate fraction of  can disrupt homogeneously LiF‐covered interlayers, thereby enhancing Li‐ion transport kinetics while improving the mechanical robustness of the interlayer structure.</w:t>
      </w:r>
    </w:p>
    <w:p>
      <w:pPr>
        <w:spacing w:before="120" w:after="120"/>
      </w:pPr>
      <w:r>
        <w:rPr>
          <w:sz w:val="18"/>
        </w:rPr>
        <w:t>——————————————————————————————————————————————————————————————————————</w:t>
      </w:r>
    </w:p>
    <w:p>
      <w:pPr>
        <w:spacing w:before="160" w:after="40" w:line="240" w:lineRule="auto"/>
      </w:pPr>
      <w:r>
        <w:rPr>
          <w:b/>
        </w:rPr>
        <w:t xml:space="preserve">[4] </w:t>
      </w:r>
      <w:hyperlink r:id="rId133">
        <w:r>
          <w:rPr>
            <w:color w:val="1155CC"/>
            <w:u w:val="single"/>
          </w:rPr>
          <w:t>共生萤石板调节间隙氟以增强氟离子电导率</w:t>
        </w:r>
      </w:hyperlink>
    </w:p>
    <w:p>
      <w:pPr>
        <w:spacing w:before="0" w:after="80"/>
      </w:pPr>
      <w:r>
        <w:rPr>
          <w:i/>
          <w:sz w:val="20"/>
        </w:rPr>
        <w:t>EN: Intergrowth Fluorite Slabs Modulate Interstitial Fluorine to Enhance Fluoride‐Ion Conductivity</w:t>
      </w:r>
    </w:p>
    <w:p>
      <w:pPr>
        <w:spacing w:before="0" w:after="120"/>
      </w:pPr>
      <w:r>
        <w:rPr>
          <w:b/>
        </w:rPr>
        <w:t xml:space="preserve">Source: </w:t>
      </w:r>
      <w:r>
        <w:t>Wiley: Angewandte Chemie International Edition: Table of Contents</w:t>
      </w:r>
      <w:r>
        <w:t xml:space="preserve">    </w:t>
      </w:r>
      <w:r>
        <w:rPr>
          <w:b/>
        </w:rPr>
        <w:t xml:space="preserve">Pub date: </w:t>
      </w:r>
      <w:r>
        <w:t>2026-07-24 10:20:23+00:00</w:t>
      </w:r>
      <w:r>
        <w:t xml:space="preserve">    </w:t>
      </w:r>
      <w:r>
        <w:rPr>
          <w:b/>
        </w:rPr>
        <w:t xml:space="preserve">DOI: </w:t>
      </w:r>
      <w:hyperlink r:id="rId134">
        <w:r>
          <w:rPr>
            <w:color w:val="1155CC"/>
            <w:u w:val="single"/>
          </w:rPr>
          <w:t>10.1002/anie.2915160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层状萤石型化合物主要限于双层（</w:t>
      </w:r>
      <w:r>
        <w:t xml:space="preserve"> </w:t>
      </w:r>
      <w:r>
        <w:t>n</w:t>
      </w:r>
      <w:r>
        <w:t xml:space="preserve"> </w:t>
      </w:r>
      <w:r>
        <w:t>= 2) 板状和较厚的萤石块仍然难以稳定和控制。在少数几个例子中，MSnF</w:t>
      </w:r>
      <w:r>
        <w:rPr>
          <w:vertAlign w:val="subscript"/>
        </w:rPr>
        <w:t>4</w:t>
      </w:r>
      <w:r>
        <w:t>具有四层的 (M = Pb, Ba) 具有高氟离子电导率，但其结构复杂性掩盖了原子离子传输机制。在这里，我们报道了两种共生的氟碘化物，Sn</w:t>
      </w:r>
      <w:r>
        <w:rPr>
          <w:vertAlign w:val="subscript"/>
        </w:rPr>
        <w:t>2</w:t>
      </w:r>
      <w:r>
        <w:t>铅</w:t>
      </w:r>
      <w:r>
        <w:rPr>
          <w:vertAlign w:val="subscript"/>
        </w:rPr>
        <w:t>5</w:t>
      </w:r>
      <w:r>
        <w:t>F</w:t>
      </w:r>
      <w:r>
        <w:rPr>
          <w:vertAlign w:val="subscript"/>
        </w:rPr>
        <w:t>12</w:t>
      </w:r>
      <w:r>
        <w:t>我</w:t>
      </w:r>
      <w:r>
        <w:rPr>
          <w:vertAlign w:val="subscript"/>
        </w:rPr>
        <w:t>2</w:t>
      </w:r>
      <w:r>
        <w:t>（</w:t>
      </w:r>
      <w:r>
        <w:t xml:space="preserve"> </w:t>
      </w:r>
      <w:r>
        <w:t>n</w:t>
      </w:r>
      <w:r>
        <w:t xml:space="preserve"> </w:t>
      </w:r>
      <w:r>
        <w:t>= 3 + 4) 和 Sn</w:t>
      </w:r>
      <w:r>
        <w:rPr>
          <w:vertAlign w:val="subscript"/>
        </w:rPr>
        <w:t>5</w:t>
      </w:r>
      <w:r>
        <w:t>铅</w:t>
      </w:r>
      <w:r>
        <w:rPr>
          <w:vertAlign w:val="subscript"/>
        </w:rPr>
        <w:t>5</w:t>
      </w:r>
      <w:r>
        <w:t>F</w:t>
      </w:r>
      <w:r>
        <w:t xml:space="preserve"> </w:t>
      </w:r>
      <w:r>
        <w:t>17 号</w:t>
      </w:r>
      <w:r>
        <w:t xml:space="preserve"> </w:t>
      </w:r>
      <w:r>
        <w:t>我</w:t>
      </w:r>
      <w:r>
        <w:rPr>
          <w:vertAlign w:val="subscript"/>
        </w:rPr>
        <w:t>3</w:t>
      </w:r>
      <w:r>
        <w:t>（</w:t>
      </w:r>
      <w:r>
        <w:t xml:space="preserve"> </w:t>
      </w:r>
      <w:r>
        <w:t>n</w:t>
      </w:r>
      <w:r>
        <w:t xml:space="preserve"> </w:t>
      </w:r>
      <w:r>
        <w:t>= 3 + 4 + 3)，其中三重和四重板周期性地共生并被碘层分隔。它们的氟离子电导率与双层（PbFI）、三层（Pb</w:t>
      </w:r>
      <w:r>
        <w:rPr>
          <w:vertAlign w:val="subscript"/>
        </w:rPr>
        <w:t>2</w:t>
      </w:r>
      <w:r>
        <w:t>氟化钡</w:t>
      </w:r>
      <w:r>
        <w:rPr>
          <w:vertAlign w:val="subscript"/>
        </w:rPr>
        <w:t>5</w:t>
      </w:r>
      <w:r>
        <w:t>I) 和四层 (Pb</w:t>
      </w:r>
      <w:r>
        <w:rPr>
          <w:vertAlign w:val="subscript"/>
        </w:rPr>
        <w:t>4</w:t>
      </w:r>
      <w:r>
        <w:t>F</w:t>
      </w:r>
      <w:r>
        <w:rPr>
          <w:vertAlign w:val="subscript"/>
        </w:rPr>
        <w:t>7</w:t>
      </w:r>
      <w:r>
        <w:t>I) 氟碘化物。虽然在简单层状系列中电导率随板厚单调增加，但共生相的性能优于 Pb</w:t>
      </w:r>
      <w:r>
        <w:rPr>
          <w:vertAlign w:val="subscript"/>
        </w:rPr>
        <w:t>4</w:t>
      </w:r>
      <w:r>
        <w:t>F</w:t>
      </w:r>
    </w:p>
    <w:p>
      <w:pPr>
        <w:spacing w:before="0" w:after="200" w:lineRule="auto" w:line="276"/>
      </w:pPr>
      <w:r>
        <w:rPr>
          <w:b/>
        </w:rPr>
        <w:t xml:space="preserve">Abstract (EN): </w:t>
      </w:r>
      <w:r>
        <w:t>Layered fluorite‐type compounds are largely restricted to double‐layer (</w:t>
      </w:r>
      <w:r>
        <w:t xml:space="preserve"> </w:t>
      </w:r>
      <w:r>
        <w:t>n</w:t>
      </w:r>
      <w:r>
        <w:t xml:space="preserve"> </w:t>
      </w:r>
      <w:r>
        <w:t>= 2) slabs, and thicker fluorite blocks remain difficult to stabilize and control. Among the few examples, MSnF</w:t>
      </w:r>
      <w:r>
        <w:rPr>
          <w:vertAlign w:val="subscript"/>
        </w:rPr>
        <w:t>4</w:t>
      </w:r>
      <w:r>
        <w:t>(M = Pb, Ba) with a quadruple layer exhibits high fluoride‐ion conductivity, yet its structural complexity obscures the atomistic ion transport mechanism. Here we report two intergrowth fluoroiodides, Sn</w:t>
      </w:r>
      <w:r>
        <w:rPr>
          <w:vertAlign w:val="subscript"/>
        </w:rPr>
        <w:t>2</w:t>
      </w:r>
      <w:r>
        <w:t>Pb</w:t>
      </w:r>
      <w:r>
        <w:rPr>
          <w:vertAlign w:val="subscript"/>
        </w:rPr>
        <w:t>5</w:t>
      </w:r>
      <w:r>
        <w:t>F</w:t>
      </w:r>
      <w:r>
        <w:rPr>
          <w:vertAlign w:val="subscript"/>
        </w:rPr>
        <w:t>12</w:t>
      </w:r>
      <w:r>
        <w:t>I</w:t>
      </w:r>
      <w:r>
        <w:rPr>
          <w:vertAlign w:val="subscript"/>
        </w:rPr>
        <w:t>2</w:t>
      </w:r>
      <w:r>
        <w:t>(</w:t>
      </w:r>
      <w:r>
        <w:t xml:space="preserve"> </w:t>
      </w:r>
      <w:r>
        <w:t>n</w:t>
      </w:r>
      <w:r>
        <w:t xml:space="preserve"> </w:t>
      </w:r>
      <w:r>
        <w:t>= 3 + 4) and Sn</w:t>
      </w:r>
      <w:r>
        <w:rPr>
          <w:vertAlign w:val="subscript"/>
        </w:rPr>
        <w:t>5</w:t>
      </w:r>
      <w:r>
        <w:t>Pb</w:t>
      </w:r>
      <w:r>
        <w:rPr>
          <w:vertAlign w:val="subscript"/>
        </w:rPr>
        <w:t>5</w:t>
      </w:r>
      <w:r>
        <w:t>F</w:t>
      </w:r>
      <w:r>
        <w:rPr>
          <w:vertAlign w:val="subscript"/>
        </w:rPr>
        <w:t>17</w:t>
      </w:r>
      <w:r>
        <w:t>I</w:t>
      </w:r>
      <w:r>
        <w:rPr>
          <w:vertAlign w:val="subscript"/>
        </w:rPr>
        <w:t>3</w:t>
      </w:r>
      <w:r>
        <w:t>(</w:t>
      </w:r>
      <w:r>
        <w:t xml:space="preserve"> </w:t>
      </w:r>
      <w:r>
        <w:t>n</w:t>
      </w:r>
      <w:r>
        <w:t xml:space="preserve"> </w:t>
      </w:r>
      <w:r>
        <w:t>= 3 + 4 + 3), in which triple and quadruple slabs are periodically intergrown and separated by iodine layers. Their fluoride‐ion conductivities were evaluated alongside those of double‐layer (PbFI), triple‐layer (Pb</w:t>
      </w:r>
      <w:r>
        <w:rPr>
          <w:vertAlign w:val="subscript"/>
        </w:rPr>
        <w:t>2</w:t>
      </w:r>
      <w:r>
        <w:t>BaF</w:t>
      </w:r>
      <w:r>
        <w:rPr>
          <w:vertAlign w:val="subscript"/>
        </w:rPr>
        <w:t>5</w:t>
      </w:r>
      <w:r>
        <w:t>I), and quadruple‐layer (Pb</w:t>
      </w:r>
      <w:r>
        <w:rPr>
          <w:vertAlign w:val="subscript"/>
        </w:rPr>
        <w:t>4</w:t>
      </w:r>
      <w:r>
        <w:t>F</w:t>
      </w:r>
      <w:r>
        <w:rPr>
          <w:vertAlign w:val="subscript"/>
        </w:rPr>
        <w:t>7</w:t>
      </w:r>
      <w:r>
        <w:t>I) fluoroiodides. While conductivity increases monotonically with slab thickness in the simple layered series, the intergrowth phases outperform Pb</w:t>
      </w:r>
      <w:r>
        <w:rPr>
          <w:vertAlign w:val="subscript"/>
        </w:rPr>
        <w:t>4</w:t>
      </w:r>
      <w:r>
        <w:t>F</w:t>
      </w:r>
      <w:r>
        <w:rPr>
          <w:vertAlign w:val="subscript"/>
        </w:rPr>
        <w:t>7</w:t>
      </w:r>
      <w:r>
        <w:t>I with quadruple layers despite incorporating less conductive triple layers. Sn</w:t>
      </w:r>
      <w:r>
        <w:rPr>
          <w:vertAlign w:val="subscript"/>
        </w:rPr>
        <w:t>2</w:t>
      </w:r>
      <w:r>
        <w:t>Pb</w:t>
      </w:r>
      <w:r>
        <w:rPr>
          <w:vertAlign w:val="subscript"/>
        </w:rPr>
        <w:t>5</w:t>
      </w:r>
      <w:r>
        <w:t>F</w:t>
      </w:r>
      <w:r>
        <w:rPr>
          <w:vertAlign w:val="subscript"/>
        </w:rPr>
        <w:t>12</w:t>
      </w:r>
      <w:r>
        <w:t>I</w:t>
      </w:r>
      <w:r>
        <w:rPr>
          <w:vertAlign w:val="subscript"/>
        </w:rPr>
        <w:t>2</w:t>
      </w:r>
      <w:r>
        <w:t>and Sn</w:t>
      </w:r>
      <w:r>
        <w:rPr>
          <w:vertAlign w:val="subscript"/>
        </w:rPr>
        <w:t>5</w:t>
      </w:r>
      <w:r>
        <w:t>Pb</w:t>
      </w:r>
      <w:r>
        <w:rPr>
          <w:vertAlign w:val="subscript"/>
        </w:rPr>
        <w:t>5</w:t>
      </w:r>
      <w:r>
        <w:t>F</w:t>
      </w:r>
      <w:r>
        <w:rPr>
          <w:vertAlign w:val="subscript"/>
        </w:rPr>
        <w:t>17</w:t>
      </w:r>
      <w:r>
        <w:t>I</w:t>
      </w:r>
      <w:r>
        <w:rPr>
          <w:vertAlign w:val="subscript"/>
        </w:rPr>
        <w:t>3</w:t>
      </w:r>
      <w:r>
        <w:t>exhibit room‐temperature conductivities of ∼0.8 × 10</w:t>
      </w:r>
      <w:r>
        <w:t xml:space="preserve"> </w:t>
      </w:r>
      <w:r>
        <w:t>−3</w:t>
      </w:r>
      <w:r>
        <w:t xml:space="preserve"> </w:t>
      </w:r>
      <w:r>
        <w:t>and ∼0.2 × 10</w:t>
      </w:r>
      <w:r>
        <w:t xml:space="preserve"> </w:t>
      </w:r>
      <w:r>
        <w:t>−3</w:t>
      </w:r>
      <w:r>
        <w:t xml:space="preserve"> </w:t>
      </w:r>
      <w:r>
        <w:t>S cm–</w:t>
      </w:r>
      <w:r>
        <w:rPr>
          <w:vertAlign w:val="subscript"/>
        </w:rPr>
        <w:t>1</w:t>
      </w:r>
      <w:r>
        <w:t>, respectively. This enhancement is associated with modulation of octahedral‐site occupancy enabled by intergrowth stacking, which tunes interstitial‐fluorine concentration without aliovalent cation substitution, thereby avoiding detrimental dopant–carrier interactions. These results establish fluorite‐slab thickness and intergrowth stacking as a unified, doping‐free structural strategy to control anion‐carrier density and ion mobility in layered fluorite materials.</w:t>
      </w:r>
    </w:p>
    <w:p>
      <w:pPr>
        <w:spacing w:before="120" w:after="120"/>
      </w:pPr>
      <w:r>
        <w:rPr>
          <w:sz w:val="18"/>
        </w:rPr>
        <w:t>——————————————————————————————————————————————————————————————————————</w:t>
      </w:r>
    </w:p>
    <w:p>
      <w:pPr>
        <w:spacing w:before="160" w:after="40" w:line="240" w:lineRule="auto"/>
      </w:pPr>
      <w:r>
        <w:rPr>
          <w:b/>
        </w:rPr>
        <w:t xml:space="preserve">[5] </w:t>
      </w:r>
      <w:hyperlink r:id="rId66">
        <w:r>
          <w:rPr>
            <w:color w:val="1155CC"/>
            <w:u w:val="single"/>
          </w:rPr>
          <w:t>用于耐用海水电池的高熵 MXene 中的可逆多阳离子存储</w:t>
        </w:r>
      </w:hyperlink>
    </w:p>
    <w:p>
      <w:pPr>
        <w:spacing w:before="0" w:after="80"/>
      </w:pPr>
      <w:r>
        <w:rPr>
          <w:i/>
          <w:sz w:val="20"/>
        </w:rPr>
        <w:t>EN: Reversible Multiple Cation Storage in High‐Entropy MXenes for Durable Seawater Batteries</w:t>
      </w:r>
    </w:p>
    <w:p>
      <w:pPr>
        <w:spacing w:before="0" w:after="120"/>
      </w:pPr>
      <w:r>
        <w:rPr>
          <w:b/>
        </w:rPr>
        <w:t xml:space="preserve">Source: </w:t>
      </w:r>
      <w:r>
        <w:t>Wiley: Angewandte Chemie International Edition: Table of Contents</w:t>
      </w:r>
      <w:r>
        <w:t xml:space="preserve">    </w:t>
      </w:r>
      <w:r>
        <w:rPr>
          <w:b/>
        </w:rPr>
        <w:t xml:space="preserve">Pub date: </w:t>
      </w:r>
      <w:r>
        <w:t>2026-07-24 11:01:42+00:00</w:t>
      </w:r>
      <w:r>
        <w:t xml:space="preserve">    </w:t>
      </w:r>
      <w:r>
        <w:rPr>
          <w:b/>
        </w:rPr>
        <w:t xml:space="preserve">DOI: </w:t>
      </w:r>
      <w:hyperlink r:id="rId67">
        <w:r>
          <w:rPr>
            <w:color w:val="1155CC"/>
            <w:u w:val="single"/>
          </w:rPr>
          <w:t>10.1002/anie.8021992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海水电解质的天然丰富性和本质安全性，可充电海水电池（SWB）为可持续能源存储提供了引人注目的优势。然而，海水中多种阳离子的存在对传统存储材料的可逆性和稳定性提出了挑战。在此，引入高熵策略来解锁 MXenes 对海水中多种阳离子的电化学活性。机理研究表明，高熵 MXene 独特的“鸡尾酒效应”可加速离子传输动力学并稳定层状结构，从而实现单价（Na</w:t>
      </w:r>
      <w:r>
        <w:t xml:space="preserve"> </w:t>
      </w:r>
      <w:r>
        <w:t>+</w:t>
      </w:r>
      <w:r>
        <w:t xml:space="preserve"> </w:t>
      </w:r>
      <w:r>
        <w:t>, K</w:t>
      </w:r>
      <w:r>
        <w:t xml:space="preserve"> </w:t>
      </w:r>
      <w:r>
        <w:t>+</w:t>
      </w:r>
      <w:r>
        <w:t xml:space="preserve"> </w:t>
      </w:r>
      <w:r>
        <w:t>）和二价（Mg</w:t>
      </w:r>
      <w:r>
        <w:t xml:space="preserve"> </w:t>
      </w:r>
      <w:r>
        <w:t>2+</w:t>
      </w:r>
      <w:r>
        <w:t xml:space="preserve"> </w:t>
      </w:r>
      <w:r>
        <w:t>, 钙</w:t>
      </w:r>
      <w:r>
        <w:t xml:space="preserve"> </w:t>
      </w:r>
      <w:r>
        <w:t>2+</w:t>
      </w:r>
      <w:r>
        <w:t xml:space="preserve"> </w:t>
      </w:r>
      <w:r>
        <w:t>）具有零应变特性的离子。作为概念验证，一种新型 SWB 是基于具有多阳离子存储能力的 MXene 阳极和具有 Cl 的聚三苯胺阴极构建的。</w:t>
      </w:r>
      <w:r>
        <w:t xml:space="preserve"> </w:t>
      </w:r>
      <w:r>
        <w:t>-</w:t>
      </w:r>
      <w:r>
        <w:t>储存化学。该SWB实现了155 mAh g的高比容量</w:t>
      </w:r>
      <w:r>
        <w:t xml:space="preserve"> </w:t>
      </w:r>
      <w:r>
        <w:t>−1</w:t>
      </w:r>
      <w:r>
        <w:t xml:space="preserve"> </w:t>
      </w:r>
      <w:r>
        <w:t>, 15 A g 时具有出色的倍率性能</w:t>
      </w:r>
      <w:r>
        <w:t xml:space="preserve"> </w:t>
      </w:r>
      <w:r>
        <w:t>−1</w:t>
      </w:r>
      <w:r>
        <w:t xml:space="preserve"> </w:t>
      </w:r>
      <w:r>
        <w:t>，以及在 25°C 下超过 11000 次循环的令人印象深刻的循环耐久性。此外，该SWB甚至可以在-30°C下发挥作用，拓宽了海水能源设备的应用领域。总的来说，这项研究为高熵中的鸡尾酒效应提供了基本的见解。</w:t>
      </w:r>
    </w:p>
    <w:p>
      <w:pPr>
        <w:spacing w:before="0" w:after="200" w:lineRule="auto" w:line="276"/>
      </w:pPr>
      <w:r>
        <w:rPr>
          <w:b/>
        </w:rPr>
        <w:t xml:space="preserve">Abstract (EN): </w:t>
      </w:r>
      <w:r>
        <w:t>Rechargeable seawater batteries (SWBs) offer compelling advantages for sustainable energy storage, owing to the natural abundance and intrinsic safety of seawater electrolytes. However, the presence of multiple cations in seawater poses challenges for the reversibility and stability of conventional storage materials. Herein, a high‐entropy strategy is introduced to unlock the electrochemical activity of MXenes toward multiple cations in seawater. Mechanistic studies reveal that the unique “cocktail effect” of high‐entropy MXene accelerates ion transport kinetics and stabilizes the layered structure, enabling reversible storage of monovalent (Na</w:t>
      </w:r>
      <w:r>
        <w:t xml:space="preserve"> </w:t>
      </w:r>
      <w:r>
        <w:t>+</w:t>
      </w:r>
      <w:r>
        <w:t xml:space="preserve"> </w:t>
      </w:r>
      <w:r>
        <w:t>, K</w:t>
      </w:r>
      <w:r>
        <w:t xml:space="preserve"> </w:t>
      </w:r>
      <w:r>
        <w:t>+</w:t>
      </w:r>
      <w:r>
        <w:t xml:space="preserve"> </w:t>
      </w:r>
      <w:r>
        <w:t>) and divalent (Mg</w:t>
      </w:r>
      <w:r>
        <w:t xml:space="preserve"> </w:t>
      </w:r>
      <w:r>
        <w:t>2+</w:t>
      </w:r>
      <w:r>
        <w:t xml:space="preserve"> </w:t>
      </w:r>
      <w:r>
        <w:t>, Ca</w:t>
      </w:r>
      <w:r>
        <w:t xml:space="preserve"> </w:t>
      </w:r>
      <w:r>
        <w:t>2+</w:t>
      </w:r>
      <w:r>
        <w:t xml:space="preserve"> </w:t>
      </w:r>
      <w:r>
        <w:t>) ions with zero‐strain characteristic. As a proof‐of‐concept, a novel SWB is constructed based on an MXene anode with multiple‐cation storage capability and a polytriphenylamine cathode with Cl</w:t>
      </w:r>
      <w:r>
        <w:t xml:space="preserve"> </w:t>
      </w:r>
      <w:r>
        <w:t>−</w:t>
      </w:r>
      <w:r>
        <w:t>storage chemistry. This SWB achieves a high specific capacity of 155 mAh g</w:t>
      </w:r>
      <w:r>
        <w:t xml:space="preserve"> </w:t>
      </w:r>
      <w:r>
        <w:t>−1</w:t>
      </w:r>
      <w:r>
        <w:t xml:space="preserve"> </w:t>
      </w:r>
      <w:r>
        <w:t>, excellent rate capability at 15 A g</w:t>
      </w:r>
      <w:r>
        <w:t xml:space="preserve"> </w:t>
      </w:r>
      <w:r>
        <w:t>−1</w:t>
      </w:r>
      <w:r>
        <w:t xml:space="preserve"> </w:t>
      </w:r>
      <w:r>
        <w:t>, and impressive cycling durability over 11000 cycles at 25°C. Furthermore, this SWB functions even at −30°C, broadening the application field of seawater‐based energy devices. Overall, this study provides fundamental insights into the cocktail effect in high‐entropy materials and offers a new strategy for designing advanced electrodes for high‐performance SWBs.</w:t>
      </w:r>
    </w:p>
    <w:p>
      <w:pPr>
        <w:spacing w:before="120" w:after="120"/>
      </w:pPr>
      <w:r>
        <w:rPr>
          <w:sz w:val="18"/>
        </w:rPr>
        <w:t>——————————————————————————————————————————————————————————————————————</w:t>
      </w:r>
    </w:p>
    <w:p>
      <w:pPr>
        <w:spacing w:before="160" w:after="40" w:line="240" w:lineRule="auto"/>
      </w:pPr>
      <w:r>
        <w:rPr>
          <w:b/>
        </w:rPr>
        <w:t xml:space="preserve">[6] </w:t>
      </w:r>
      <w:hyperlink r:id="rId70">
        <w:r>
          <w:rPr>
            <w:color w:val="1155CC"/>
            <w:u w:val="single"/>
          </w:rPr>
          <w:t>用于高压低温锂离子电池的微观异质 LiBO2 介导的电解质</w:t>
        </w:r>
      </w:hyperlink>
    </w:p>
    <w:p>
      <w:pPr>
        <w:spacing w:before="0" w:after="80"/>
      </w:pPr>
      <w:r>
        <w:rPr>
          <w:i/>
          <w:sz w:val="20"/>
        </w:rPr>
        <w:t>EN: A Microscopic Heterogeneous LiBO2‐Mediated Electrolyte for High‐Voltage and Low‐Temperature Lithium‐Ion Batteries</w:t>
      </w:r>
    </w:p>
    <w:p>
      <w:pPr>
        <w:spacing w:before="0" w:after="120"/>
      </w:pPr>
      <w:r>
        <w:rPr>
          <w:b/>
        </w:rPr>
        <w:t xml:space="preserve">Source: </w:t>
      </w:r>
      <w:r>
        <w:t>Wiley: Advanced Materials: Table of Contents</w:t>
      </w:r>
      <w:r>
        <w:t xml:space="preserve">    </w:t>
      </w:r>
      <w:r>
        <w:rPr>
          <w:b/>
        </w:rPr>
        <w:t xml:space="preserve">Pub date: </w:t>
      </w:r>
      <w:r>
        <w:t>2026-07-24 12:10:36+00:00</w:t>
      </w:r>
      <w:r>
        <w:t xml:space="preserve">    </w:t>
      </w:r>
      <w:r>
        <w:rPr>
          <w:b/>
        </w:rPr>
        <w:t xml:space="preserve">DOI: </w:t>
      </w:r>
      <w:hyperlink r:id="rId71">
        <w:r>
          <w:rPr>
            <w:color w:val="1155CC"/>
            <w:u w:val="single"/>
          </w:rPr>
          <w:t>10.1002/adma.74257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传统电解质仍然从根本上受到高电压稳定性、低温操作和快速离子传输之间的权衡的限制，限制了先进锂离子电池（LIB）的实际部署。在这里，我们报道了一种微异质偏硼酸锂（LiBO</w:t>
      </w:r>
      <w:r>
        <w:rPr>
          <w:vertAlign w:val="subscript"/>
        </w:rPr>
        <w:t>2</w:t>
      </w:r>
      <w:r>
        <w:t>）介导的电解质（LBME）利用胶体界面化学来调节Li</w:t>
      </w:r>
      <w:r>
        <w:t xml:space="preserve"> </w:t>
      </w:r>
      <w:r>
        <w:t>+</w:t>
      </w:r>
      <w:r>
        <w:t xml:space="preserve"> </w:t>
      </w:r>
      <w:r>
        <w:t>溶剂化结构。稳定的锂硼酸锂</w:t>
      </w:r>
      <w:r>
        <w:rPr>
          <w:vertAlign w:val="subscript"/>
        </w:rPr>
        <w:t>2</w:t>
      </w:r>
      <w:r>
        <w:t>胶体通过配位不饱和表面位点与阴离子竞争性配位，从而削弱Li</w:t>
      </w:r>
      <w:r>
        <w:t xml:space="preserve"> </w:t>
      </w:r>
      <w:r>
        <w:t>+</w:t>
      </w:r>
      <w:r>
        <w:t xml:space="preserve"> </w:t>
      </w:r>
      <w:r>
        <w:t>–溶剂/阴离子相互作用并加速配体交换动力学。因此，LBME 表现出增强的离子电导率和减少的 Li</w:t>
      </w:r>
      <w:r>
        <w:t xml:space="preserve"> </w:t>
      </w:r>
      <w:r>
        <w:t>+</w:t>
      </w:r>
      <w:r>
        <w:t xml:space="preserve"> </w:t>
      </w:r>
      <w:r>
        <w:t>去溶剂化势垒，能够在-30°C下实现均匀的锂沉积，并在超高电压运行期间促进紧凑的富含无机物的阴极电解质界面（CEI）。因此，5.0 V Li ||李妮</w:t>
      </w:r>
      <w:r>
        <w:t xml:space="preserve"> </w:t>
      </w:r>
      <w:r>
        <w:t>0.5</w:t>
      </w:r>
      <w:r>
        <w:t xml:space="preserve"> </w:t>
      </w:r>
      <w:r>
        <w:t>锰</w:t>
      </w:r>
      <w:r>
        <w:t xml:space="preserve"> </w:t>
      </w:r>
      <w:r>
        <w:t>1.5</w:t>
      </w:r>
      <w:r>
        <w:t xml:space="preserve"> </w:t>
      </w:r>
      <w:r>
        <w:t>氧</w:t>
      </w:r>
      <w:r>
        <w:rPr>
          <w:vertAlign w:val="subscript"/>
        </w:rPr>
        <w:t>4</w:t>
      </w:r>
      <w:r>
        <w:t>采用 LBME 的 (LNMO) 电池实现了出色的循环性能，在 5 C 下循环 5000 次后仍保留 99.1% 的容量，并在 -30°C 下保持 72% 的室温容量。该技术的可行性在实际软包电池中得到了进一步证明，其中 1 Ah 石墨 ||李妮</w:t>
      </w:r>
      <w:r>
        <w:t xml:space="preserve"> </w:t>
      </w:r>
      <w:r>
        <w:t>0.8</w:t>
      </w:r>
    </w:p>
    <w:p>
      <w:pPr>
        <w:spacing w:before="0" w:after="200" w:lineRule="auto" w:line="276"/>
      </w:pPr>
      <w:r>
        <w:rPr>
          <w:b/>
        </w:rPr>
        <w:t xml:space="preserve">Abstract (EN): </w:t>
      </w:r>
      <w:r>
        <w:t>Conventional electrolytes remain fundamentally constrained by the trade‐offs among high‐voltage stability, low‐temperature operation, and fast ion transport, limiting the practical deployment of advanced lithium‐ion batteries (LIBs). Here, we report a micro‐heterogeneous lithium metaborate (LiBO</w:t>
      </w:r>
      <w:r>
        <w:rPr>
          <w:vertAlign w:val="subscript"/>
        </w:rPr>
        <w:t>2</w:t>
      </w:r>
      <w:r>
        <w:t>)‐mediated electrolyte (LBME) that leverages colloid interfacial chemistry to regulate the Li</w:t>
      </w:r>
      <w:r>
        <w:t xml:space="preserve"> </w:t>
      </w:r>
      <w:r>
        <w:t>+</w:t>
      </w:r>
      <w:r>
        <w:t xml:space="preserve"> </w:t>
      </w:r>
      <w:r>
        <w:t>solvation structure. Stable LiBO</w:t>
      </w:r>
      <w:r>
        <w:rPr>
          <w:vertAlign w:val="subscript"/>
        </w:rPr>
        <w:t>2</w:t>
      </w:r>
      <w:r>
        <w:t>colloids competitively coordinate with anions through coordinatively unsaturated surface sites, thereby weakening Li</w:t>
      </w:r>
      <w:r>
        <w:t xml:space="preserve"> </w:t>
      </w:r>
      <w:r>
        <w:t>+</w:t>
      </w:r>
      <w:r>
        <w:t xml:space="preserve"> </w:t>
      </w:r>
      <w:r>
        <w:t>–solvent/anion interactions and accelerating ligand‐exchange kinetics. Consequently, the LBME exhibits enhanced ionic conductivity and reduced Li</w:t>
      </w:r>
      <w:r>
        <w:t xml:space="preserve"> </w:t>
      </w:r>
      <w:r>
        <w:t>+</w:t>
      </w:r>
      <w:r>
        <w:t xml:space="preserve"> </w:t>
      </w:r>
      <w:r>
        <w:t>desolvation barrier, enabling uniform lithium deposition at −30°C and facilitating a compact inorganic‐rich cathode‐electrolyte interphase (CEI) during ultrahigh‐voltage operation. Consequently, a 5.0 V Li || LiNi</w:t>
      </w:r>
      <w:r>
        <w:t xml:space="preserve"> </w:t>
      </w:r>
      <w:r>
        <w:t>0.5</w:t>
      </w:r>
      <w:r>
        <w:t xml:space="preserve"> </w:t>
      </w:r>
      <w:r>
        <w:t>Mn</w:t>
      </w:r>
      <w:r>
        <w:t xml:space="preserve"> </w:t>
      </w:r>
      <w:r>
        <w:t>1.5</w:t>
      </w:r>
      <w:r>
        <w:t xml:space="preserve"> </w:t>
      </w:r>
      <w:r>
        <w:t>O</w:t>
      </w:r>
      <w:r>
        <w:rPr>
          <w:vertAlign w:val="subscript"/>
        </w:rPr>
        <w:t>4</w:t>
      </w:r>
      <w:r>
        <w:t>(LNMO) cell with LBME achieves exceptional cyclability, retaining 99.1% of its capacity after 5000 cycles at 5 C, and maintaining 72% of its room‐temperature capacity at −30°C. The technological viability is further demonstrated in practical pouch cells, where 1 Ah graphite ||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(NCM811) and 5 Ah silicon‐graphite (Si‐C) || LiNi</w:t>
      </w:r>
      <w:r>
        <w:t xml:space="preserve"> </w:t>
      </w:r>
      <w:r>
        <w:t>0.91</w:t>
      </w:r>
      <w:r>
        <w:t xml:space="preserve"> </w:t>
      </w:r>
      <w:r>
        <w:t>Co</w:t>
      </w:r>
      <w:r>
        <w:t xml:space="preserve"> </w:t>
      </w:r>
      <w:r>
        <w:t>0.06</w:t>
      </w:r>
      <w:r>
        <w:t xml:space="preserve"> </w:t>
      </w:r>
      <w:r>
        <w:t>Mn</w:t>
      </w:r>
      <w:r>
        <w:t xml:space="preserve"> </w:t>
      </w:r>
      <w:r>
        <w:t>0.03</w:t>
      </w:r>
      <w:r>
        <w:t xml:space="preserve"> </w:t>
      </w:r>
      <w:r>
        <w:t>O</w:t>
      </w:r>
      <w:r>
        <w:rPr>
          <w:vertAlign w:val="subscript"/>
        </w:rPr>
        <w:t>2</w:t>
      </w:r>
      <w:r>
        <w:t>(NCM90) pouch cells demonstrate superior stability, achieving 87.8% capacity retention (500 cycles) and a striking energy density of 394 Wh kg</w:t>
      </w:r>
      <w:r>
        <w:t xml:space="preserve"> </w:t>
      </w:r>
      <w:r>
        <w:t>−1</w:t>
      </w:r>
      <w:r>
        <w:t xml:space="preserve"> </w:t>
      </w:r>
      <w:r>
        <w:t>(89% retention after 120 cycles), respectively. This work demonstrates a heterogeneous electrolyte strategy promising for stable LIBs under harsh conditions.</w:t>
      </w:r>
    </w:p>
    <w:p>
      <w:pPr>
        <w:spacing w:before="120" w:after="120"/>
      </w:pPr>
      <w:r>
        <w:rPr>
          <w:sz w:val="18"/>
        </w:rPr>
        <w:t>——————————————————————————————————————————————————————————————————————</w:t>
      </w:r>
    </w:p>
    <w:p>
      <w:pPr>
        <w:spacing w:before="160" w:after="40" w:line="240" w:lineRule="auto"/>
      </w:pPr>
      <w:r>
        <w:rPr>
          <w:b/>
        </w:rPr>
        <w:t xml:space="preserve">[7] </w:t>
      </w:r>
      <w:hyperlink r:id="rId102">
        <w:r>
          <w:rPr>
            <w:color w:val="1155CC"/>
            <w:u w:val="single"/>
          </w:rPr>
          <w:t>通过动态集成界面工程实现高度稳定的准固态初始无阳极锂金属​​电池</w:t>
        </w:r>
      </w:hyperlink>
    </w:p>
    <w:p>
      <w:pPr>
        <w:spacing w:before="0" w:after="80"/>
      </w:pPr>
      <w:r>
        <w:rPr>
          <w:i/>
          <w:sz w:val="20"/>
        </w:rPr>
        <w:t>EN: Highly stable quasi-solid-state initially anode-free lithium metal batteries enabled by dynamic integrated interface engineering</w:t>
      </w:r>
    </w:p>
    <w:p>
      <w:pPr>
        <w:spacing w:before="0" w:after="120"/>
      </w:pPr>
      <w:r>
        <w:rPr>
          <w:b/>
        </w:rPr>
        <w:t xml:space="preserve">Source: </w:t>
      </w:r>
      <w:r>
        <w:t>Physical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无初始阳极锂金属​​电池具有高能量密度和简化制造的潜力，定位为可持续能源存储的变革平台。然而，它们的实施受到锂沉积/剥离的低可逆性的阻碍。在此，我们提出了一种动态集成界面工程策略，将银基多功能引发剂纳入电解质中。该添加剂由Ag+与能够产生路易斯酸的阴离子配对组成，通过原位聚合实现电极-电解质界面耦合，同时通过Ag+驱动的原位沉积增强集流体的亲锂性。添加剂的受控释放调节溶剂化结构，导致固体电解质界面具有反转的富含有机物的内部/富含无机物的外部结构，这代表了与传统模型的有意背离。阴离子锚定效应增强了界面的自愈能力，确保了快速锂离子传输通道和持久保护屏障的构建，实现了最初无阳极准固态电池的高度稳定运行。具体来说，Cu | |LiFePO4 电池在 0.1 C 下循环 200 次后容量保持率为 90%，2 Ah 级软包电池可提供基于电池总重量的 467 Wh kg−1 比能量。这项工作提供了一种有效的统一方法来解决最初无阳极锂电池中的多种界面挑战。</w:t>
      </w:r>
    </w:p>
    <w:p>
      <w:pPr>
        <w:spacing w:before="0" w:after="200" w:lineRule="auto" w:line="276"/>
      </w:pPr>
      <w:r>
        <w:rPr>
          <w:b/>
        </w:rPr>
        <w:t xml:space="preserve">Abstract (EN): </w:t>
      </w:r>
      <w:r>
        <w:t>Initial-anode-free lithium metal batteries offer the potential for high energy density and simplified manufacturing, positioning as a transformative platform for sustainable energy storage. However, their implementation is hindered by the low reversibility of lithium plating/stripping. Herein, we propose a dynamic integrated interface engineering strategy that incorporates an Ag-based multifunctional initiator into the electrolyte. This additive consists of Ag+ paired with anions capable of generating Lewis acids, enabling electrode-electrolyte interfacial coupling through in situ polymerization, while simultaneously enhancing the lithiophilicity of current collectors via Ag+-driven in situ deposition. The controlled release of the additive regulates the solvation structure, leading to the solid electrolyte interphase with an inverted organic-rich inner/inorganic-rich outer architecture, which represents a deliberate departure from conventional models. The anion anchoring effect reinforces the self-healing capability of the interphase, ensuring the construction of fast Li-ion transport pathways and a durable protective barrier, realizing highly stable operation of initially anode-free quasi-solid-state batteries. Specifically, the Cu | |LiFePO4 cell exhibits 90% capacity retention after 200 cycles at 0.1 C, and a 2 Ah-level pouch cell delivers a specific energy of 467 Wh kg−1 based on total cell weight. This work provides an effective unified approach to address multiple interfacial challenges in initially anode-free lithium batteries.</w:t>
      </w:r>
    </w:p>
    <w:p>
      <w:pPr>
        <w:spacing w:before="120" w:after="120"/>
      </w:pPr>
      <w:r>
        <w:rPr>
          <w:sz w:val="18"/>
        </w:rPr>
        <w:t>——————————————————————————————————————————————————————————————————————</w:t>
      </w:r>
    </w:p>
    <w:p>
      <w:pPr>
        <w:spacing w:before="160" w:after="40" w:line="240" w:lineRule="auto"/>
      </w:pPr>
      <w:r>
        <w:rPr>
          <w:b/>
        </w:rPr>
        <w:t xml:space="preserve">[8] </w:t>
      </w:r>
      <w:hyperlink r:id="rId74">
        <w:r>
          <w:rPr>
            <w:color w:val="1155CC"/>
            <w:u w:val="single"/>
          </w:rPr>
          <w:t>双阳离子溶剂化重编程可实现催化多硫化物转化和稳定的钠金属，从而实现长寿命钠硫电池</w:t>
        </w:r>
      </w:hyperlink>
    </w:p>
    <w:p>
      <w:pPr>
        <w:spacing w:before="0" w:after="80"/>
      </w:pPr>
      <w:r>
        <w:rPr>
          <w:i/>
          <w:sz w:val="20"/>
        </w:rPr>
        <w:t>EN: Solvation Reprogramming With Dual Cations Enables Catalytic Polysulfide Conversion and Stable Sodium Metal for Long‐Life Na‐S Batteries</w:t>
      </w:r>
    </w:p>
    <w:p>
      <w:pPr>
        <w:spacing w:before="0" w:after="120"/>
      </w:pPr>
      <w:r>
        <w:rPr>
          <w:b/>
        </w:rPr>
        <w:t xml:space="preserve">Source: </w:t>
      </w:r>
      <w:r>
        <w:t>Wiley: Advanced Materials: Table of Contents</w:t>
      </w:r>
      <w:r>
        <w:t xml:space="preserve">    </w:t>
      </w:r>
      <w:r>
        <w:rPr>
          <w:b/>
        </w:rPr>
        <w:t xml:space="preserve">Pub date: </w:t>
      </w:r>
      <w:r>
        <w:t>2026-07-25 15:02:28+00:00</w:t>
      </w:r>
      <w:r>
        <w:t xml:space="preserve">    </w:t>
      </w:r>
      <w:r>
        <w:rPr>
          <w:b/>
        </w:rPr>
        <w:t xml:space="preserve">DOI: </w:t>
      </w:r>
      <w:hyperlink r:id="rId75">
        <w:r>
          <w:rPr>
            <w:color w:val="1155CC"/>
            <w:u w:val="single"/>
          </w:rPr>
          <w:t>10.1002/adma.74296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室温钠硫电池的实际开发面临着重大挑战，主要源于多硫化物穿梭效应和钠阳极的不稳定性。在这项研究中，我们提出了一种双阳离子电解质工程策略，通过引入 K 来同时解决这两个瓶颈</w:t>
      </w:r>
      <w:r>
        <w:t xml:space="preserve"> </w:t>
      </w:r>
      <w:r>
        <w:t>+</w:t>
      </w:r>
      <w:r>
        <w:t xml:space="preserve"> </w:t>
      </w:r>
      <w:r>
        <w:t>转化为传统的NaPF</w:t>
      </w:r>
      <w:r>
        <w:rPr>
          <w:vertAlign w:val="subscript"/>
        </w:rPr>
        <w:t>6</w:t>
      </w:r>
      <w:r>
        <w:t>/1-乙氧基-2-(2-甲氧基乙氧基)乙烷电解质。 K 的离子半径较大，路易斯酸度较低</w:t>
      </w:r>
      <w:r>
        <w:t xml:space="preserve"> </w:t>
      </w:r>
      <w:r>
        <w:t>+</w:t>
      </w:r>
      <w:r>
        <w:t xml:space="preserve"> </w:t>
      </w:r>
      <w:r>
        <w:t>竞争性修饰Na</w:t>
      </w:r>
      <w:r>
        <w:t xml:space="preserve"> </w:t>
      </w:r>
      <w:r>
        <w:t>+</w:t>
      </w:r>
      <w:r>
        <w:t xml:space="preserve"> </w:t>
      </w:r>
      <w:r>
        <w:t>溶剂化结构，削弱Na-溶剂相互作用并将溶剂化壳重组为接触离子对（CIP），从而促进富含无机固体电解质界面的形成。理论计算表明，占主导地位的NaKS</w:t>
      </w:r>
      <w:r>
        <w:t xml:space="preserve"> </w:t>
      </w:r>
      <w:r>
        <w:t>x</w:t>
      </w:r>
      <w:r>
        <w:t xml:space="preserve"> </w:t>
      </w:r>
      <w:r>
        <w:t>通过Na位点吸附的中间体通过双阳离子诱导电荷离域削弱S─S和Na─S键，建立催化循环，降低动力学势垒并减轻多硫化物穿梭。同时，引入 K 引起的静电屏蔽进一步抑制了枝晶生长和寄生副反应。</w:t>
      </w:r>
      <w:r>
        <w:t xml:space="preserve"> </w:t>
      </w:r>
      <w:r>
        <w:t>+</w:t>
      </w:r>
      <w:r>
        <w:t xml:space="preserve"> </w:t>
      </w:r>
      <w:r>
        <w:t>。因此，采用凹形中空介孔碳纳米球作为硫阴极基质和亲钠阳极涂层的对称全电池结构，实现了 10,000 次循环的创纪录寿命和</w:t>
      </w:r>
    </w:p>
    <w:p>
      <w:pPr>
        <w:spacing w:before="0" w:after="200" w:lineRule="auto" w:line="276"/>
      </w:pPr>
      <w:r>
        <w:rPr>
          <w:b/>
        </w:rPr>
        <w:t xml:space="preserve">Abstract (EN): </w:t>
      </w:r>
      <w:r>
        <w:t>The practical development of room‐temperature sodium‐sulfur batteries faces significant challenges, primarily stemming from the polysulfide shuttle effect and the instability of the sodium anode. In this study, we propose a dual‐cation electrolyte engineering strategy that simultaneously addresses both bottlenecks by introducing K</w:t>
      </w:r>
      <w:r>
        <w:t xml:space="preserve"> </w:t>
      </w:r>
      <w:r>
        <w:t>+</w:t>
      </w:r>
      <w:r>
        <w:t xml:space="preserve"> </w:t>
      </w:r>
      <w:r>
        <w:t>into the conventional NaPF</w:t>
      </w:r>
      <w:r>
        <w:rPr>
          <w:vertAlign w:val="subscript"/>
        </w:rPr>
        <w:t>6</w:t>
      </w:r>
      <w:r>
        <w:t>/1‐ethoxy‐2‐(2‐methoxyethoxy)ethane electrolyte. The larger ionic radius and lower Lewis acidity of K</w:t>
      </w:r>
      <w:r>
        <w:t xml:space="preserve"> </w:t>
      </w:r>
      <w:r>
        <w:t>+</w:t>
      </w:r>
      <w:r>
        <w:t xml:space="preserve"> </w:t>
      </w:r>
      <w:r>
        <w:t>competitively modified the Na</w:t>
      </w:r>
      <w:r>
        <w:t xml:space="preserve"> </w:t>
      </w:r>
      <w:r>
        <w:t>+</w:t>
      </w:r>
      <w:r>
        <w:t xml:space="preserve"> </w:t>
      </w:r>
      <w:r>
        <w:t>solvation structure, weakening Na−Solvent interactions and reorganizing the solvation shell into contact ion pairs (CIPs), thus promoting the formation of inorganic‐rich solid electrolyte interphase. Theoretical calculations reveal that dominant NaKS</w:t>
      </w:r>
      <w:r>
        <w:t xml:space="preserve"> </w:t>
      </w:r>
      <w:r>
        <w:t>x</w:t>
      </w:r>
      <w:r>
        <w:t xml:space="preserve"> </w:t>
      </w:r>
      <w:r>
        <w:t>intermediates adsorbed via Na sites weaken S─S and Na─S bonds with dual‐cation induced charge delocalization, establishing catalytic cycle that lowers the kinetic barrier and relieves polysulfide shuttling. Meanwhile, the dendrite growth and parasitic side reactions are further suppressed within electrostatic shielding evoked by introduced K</w:t>
      </w:r>
      <w:r>
        <w:t xml:space="preserve"> </w:t>
      </w:r>
      <w:r>
        <w:t>+</w:t>
      </w:r>
      <w:r>
        <w:t xml:space="preserve"> </w:t>
      </w:r>
      <w:r>
        <w:t>. Consequently, a symmetric full cell architecture, with concave hollow mesoporous carbon nanospheres as both sulfur cathode matrix and sodiophilic anode coating, achieves a record lifespan of 10,000 cycles and a high‐capacity retention of 95.3% at 10 A g</w:t>
      </w:r>
      <w:r>
        <w:t xml:space="preserve"> </w:t>
      </w:r>
      <w:r>
        <w:t>−1</w:t>
      </w:r>
      <w:r>
        <w:t xml:space="preserve"> </w:t>
      </w:r>
      <w:r>
        <w:t>and high energy density of 223 Wh kg</w:t>
      </w:r>
      <w:r>
        <w:t xml:space="preserve"> </w:t>
      </w:r>
      <w:r>
        <w:t>−1</w:t>
      </w:r>
      <w:r>
        <w:t xml:space="preserve"> </w:t>
      </w:r>
      <w:r>
        <w:t>for pouch cell. This work offers a comprehensive design strategy, advancing practical metal‐sulfur batteries through electrolyte solvation and electrode interface engineering.</w:t>
      </w:r>
    </w:p>
    <w:p>
      <w:pPr>
        <w:spacing w:before="120" w:after="120"/>
      </w:pPr>
      <w:r>
        <w:rPr>
          <w:sz w:val="18"/>
        </w:rPr>
        <w:t>——————————————————————————————————————————————————————————————————————</w:t>
      </w:r>
    </w:p>
    <w:p>
      <w:pPr>
        <w:spacing w:before="160" w:after="40" w:line="240" w:lineRule="auto"/>
      </w:pPr>
      <w:r>
        <w:rPr>
          <w:b/>
        </w:rPr>
        <w:t xml:space="preserve">[9] </w:t>
      </w:r>
      <w:hyperlink r:id="rId135">
        <w:r>
          <w:rPr>
            <w:color w:val="1155CC"/>
            <w:u w:val="single"/>
          </w:rPr>
          <w:t>用于低于 –60°C 固态锂电池的金属有机框架电解质</w:t>
        </w:r>
      </w:hyperlink>
    </w:p>
    <w:p>
      <w:pPr>
        <w:spacing w:before="0" w:after="80"/>
      </w:pPr>
      <w:r>
        <w:rPr>
          <w:i/>
          <w:sz w:val="20"/>
        </w:rPr>
        <w:t>EN: Metal‐Organic Framework Electrolytes for Sub‐ –60°C Solid‐State Lithium Batteries</w:t>
      </w:r>
    </w:p>
    <w:p>
      <w:pPr>
        <w:spacing w:before="0" w:after="120"/>
      </w:pPr>
      <w:r>
        <w:rPr>
          <w:b/>
        </w:rPr>
        <w:t xml:space="preserve">Source: </w:t>
      </w:r>
      <w:r>
        <w:t>Wiley: Advanced Materials: Table of Contents</w:t>
      </w:r>
      <w:r>
        <w:t xml:space="preserve">    </w:t>
      </w:r>
      <w:r>
        <w:rPr>
          <w:b/>
        </w:rPr>
        <w:t xml:space="preserve">Pub date: </w:t>
      </w:r>
      <w:r>
        <w:t>2026-07-25 15:04:47+00:00</w:t>
      </w:r>
      <w:r>
        <w:t xml:space="preserve">    </w:t>
      </w:r>
      <w:r>
        <w:rPr>
          <w:b/>
        </w:rPr>
        <w:t xml:space="preserve">DOI: </w:t>
      </w:r>
      <w:hyperlink r:id="rId136">
        <w:r>
          <w:rPr>
            <w:color w:val="1155CC"/>
            <w:u w:val="single"/>
          </w:rPr>
          <w:t>10.1002/adma.74299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超低温（&lt;−60°C）下运行的固态锂电池（SSLB）对传统固态电解质（SSE）（包括聚合物和无机材料）提出了巨大的挑战。在此，我们报告了具有弱温度依赖性Li的电子云同分布金属有机框架（ECH-MOF）的设计和制造</w:t>
      </w:r>
      <w:r>
        <w:t xml:space="preserve"> </w:t>
      </w:r>
      <w:r>
        <w:t>+</w:t>
      </w:r>
      <w:r>
        <w:t xml:space="preserve"> </w:t>
      </w:r>
      <w:r>
        <w:t>作为 SSE 材料运输，用于超低温 SSLB 操作。具体来说，金属节点锚定富电子ClO</w:t>
      </w:r>
      <w:r>
        <w:rPr>
          <w:vertAlign w:val="subscript"/>
        </w:rPr>
        <w:t>4</w:t>
      </w:r>
      <w:r>
        <w:t>-</w:t>
      </w:r>
      <w:r>
        <w:t>阴离子如Li</w:t>
      </w:r>
      <w:r>
        <w:t xml:space="preserve"> </w:t>
      </w:r>
      <w:r>
        <w:t>+</w:t>
      </w:r>
      <w:r>
        <w:t xml:space="preserve"> </w:t>
      </w:r>
      <w:r>
        <w:t>导电位点和具有强吸电子基团的有机配体有助于电子云沿 Li 均匀分布</w:t>
      </w:r>
      <w:r>
        <w:t xml:space="preserve"> </w:t>
      </w:r>
      <w:r>
        <w:t>+</w:t>
      </w:r>
      <w:r>
        <w:t xml:space="preserve"> </w:t>
      </w:r>
      <w:r>
        <w:t>传输路径，为超低温锂提供空间均匀的超低能垒景观</w:t>
      </w:r>
      <w:r>
        <w:t xml:space="preserve"> </w:t>
      </w:r>
      <w:r>
        <w:t>+</w:t>
      </w:r>
      <w:r>
        <w:t xml:space="preserve"> </w:t>
      </w:r>
      <w:r>
        <w:t>运输。我们透露，李</w:t>
      </w:r>
      <w:r>
        <w:t xml:space="preserve"> </w:t>
      </w:r>
      <w:r>
        <w:t>+</w:t>
      </w:r>
      <w:r>
        <w:t xml:space="preserve"> </w:t>
      </w:r>
      <w:r>
        <w:t>在ECH-MOF中，SSE通过类量子隧道的滑移方式迁移，而不是经典的热激活跳跃方式。 ECH-MOF SSE 产生超低</w:t>
      </w:r>
      <w:r>
        <w:t xml:space="preserve"> </w:t>
      </w:r>
      <w:r>
        <w:t>乙</w:t>
      </w:r>
      <w:r>
        <w:t xml:space="preserve"> </w:t>
      </w:r>
      <w:r>
        <w:t>一个</w:t>
      </w:r>
      <w:r>
        <w:t xml:space="preserve"> </w:t>
      </w:r>
      <w:r>
        <w:t>0.045 eV 和单锂</w:t>
      </w:r>
      <w:r>
        <w:t xml:space="preserve"> </w:t>
      </w:r>
      <w:r>
        <w:t>+</w:t>
      </w:r>
      <w:r>
        <w:t xml:space="preserve"> </w:t>
      </w:r>
      <w:r>
        <w:t>电导率1.2×10</w:t>
      </w:r>
      <w:r>
        <w:t xml:space="preserve"> </w:t>
      </w:r>
      <w:r>
        <w:t>−5</w:t>
      </w:r>
      <w:r>
        <w:t xml:space="preserve"> </w:t>
      </w:r>
      <w:r>
        <w:t>厘米</w:t>
      </w:r>
      <w:r>
        <w:t xml:space="preserve"> </w:t>
      </w:r>
      <w:r>
        <w:t>−1</w:t>
      </w:r>
      <w:r>
        <w:t xml:space="preserve"> </w:t>
      </w:r>
      <w:r>
        <w:t>-60°C——大多数 SSE 处于 es 状态的温度</w:t>
      </w:r>
    </w:p>
    <w:p>
      <w:pPr>
        <w:spacing w:before="0" w:after="200" w:lineRule="auto" w:line="276"/>
      </w:pPr>
      <w:r>
        <w:rPr>
          <w:b/>
        </w:rPr>
        <w:t xml:space="preserve">Abstract (EN): </w:t>
      </w:r>
      <w:r>
        <w:t>Solid‐state lithium battery (SSLB) operating at ultralow temperatures (&amp;lt; −60°C) poses a formidable challenge for conventional solid‐state electrolytes (SSEs), including polymeric and inorganic materials. Herein, we report the design and fabrication of electron‐cloud‐homodistributed metal‐organic framework (ECH–MOF) with weakly temperature‐dependent Li</w:t>
      </w:r>
      <w:r>
        <w:t xml:space="preserve"> </w:t>
      </w:r>
      <w:r>
        <w:t>+</w:t>
      </w:r>
      <w:r>
        <w:t xml:space="preserve"> </w:t>
      </w:r>
      <w:r>
        <w:t>transport as SSE materials for SSLB operation at ultralow temperatures. To be specific, the metal nodes anchor electron‐rich ClO</w:t>
      </w:r>
      <w:r>
        <w:rPr>
          <w:vertAlign w:val="subscript"/>
        </w:rPr>
        <w:t>4</w:t>
      </w:r>
      <w:r>
        <w:t>−</w:t>
      </w:r>
      <w:r>
        <w:t>anions as Li</w:t>
      </w:r>
      <w:r>
        <w:t xml:space="preserve"> </w:t>
      </w:r>
      <w:r>
        <w:t>+</w:t>
      </w:r>
      <w:r>
        <w:t xml:space="preserve"> </w:t>
      </w:r>
      <w:r>
        <w:t>conducting sites, and organic ligands with strong electron‐withdrawing groups contribute to electron cloud homodistribution along Li</w:t>
      </w:r>
      <w:r>
        <w:t xml:space="preserve"> </w:t>
      </w:r>
      <w:r>
        <w:t>+</w:t>
      </w:r>
      <w:r>
        <w:t xml:space="preserve"> </w:t>
      </w:r>
      <w:r>
        <w:t>transport path, affording a spatially uniform, ultralow‐energy‐barrier landscape for ultralow‐temperature Li</w:t>
      </w:r>
      <w:r>
        <w:t xml:space="preserve"> </w:t>
      </w:r>
      <w:r>
        <w:t>+</w:t>
      </w:r>
      <w:r>
        <w:t xml:space="preserve"> </w:t>
      </w:r>
      <w:r>
        <w:t>transport. We reveal that Li</w:t>
      </w:r>
      <w:r>
        <w:t xml:space="preserve"> </w:t>
      </w:r>
      <w:r>
        <w:t>+</w:t>
      </w:r>
      <w:r>
        <w:t xml:space="preserve"> </w:t>
      </w:r>
      <w:r>
        <w:t>in ECH–MOF SSE migrates via a quantum‐tunneling‐like slipping manner, rather than the classical thermally activated hopping manner. The ECH‐MOF SSE yields the ultralow</w:t>
      </w:r>
      <w:r>
        <w:t xml:space="preserve"> </w:t>
      </w:r>
      <w:r>
        <w:t>E</w:t>
      </w:r>
      <w:r>
        <w:t xml:space="preserve"> </w:t>
      </w:r>
      <w:r>
        <w:t>a</w:t>
      </w:r>
      <w:r>
        <w:t xml:space="preserve"> </w:t>
      </w:r>
      <w:r>
        <w:t>of 0.045 eV and single Li</w:t>
      </w:r>
      <w:r>
        <w:t xml:space="preserve"> </w:t>
      </w:r>
      <w:r>
        <w:t>+</w:t>
      </w:r>
      <w:r>
        <w:t xml:space="preserve"> </w:t>
      </w:r>
      <w:r>
        <w:t>conductivity of 1.2 × 10</w:t>
      </w:r>
      <w:r>
        <w:t xml:space="preserve"> </w:t>
      </w:r>
      <w:r>
        <w:t>−5</w:t>
      </w:r>
      <w:r>
        <w:t xml:space="preserve"> </w:t>
      </w:r>
      <w:r>
        <w:t>S cm</w:t>
      </w:r>
      <w:r>
        <w:t xml:space="preserve"> </w:t>
      </w:r>
      <w:r>
        <w:t>−1</w:t>
      </w:r>
      <w:r>
        <w:t xml:space="preserve"> </w:t>
      </w:r>
      <w:r>
        <w:t>at −60°C—a temperature where most SSEs are essentially insulators. The assembled high‐voltage NCM 811||Li half‐cell delivers high discharge capacity of 109.2 mAh g</w:t>
      </w:r>
      <w:r>
        <w:t xml:space="preserve"> </w:t>
      </w:r>
      <w:r>
        <w:t>−1</w:t>
      </w:r>
      <w:r>
        <w:t xml:space="preserve"> </w:t>
      </w:r>
      <w:r>
        <w:t>with high‐capacity retention of 62% after 1000 cycles at −60°C and 1C, extending the operational envelope of SSLBs into the ultralow‐temperature regime. The electron‐cloud homogenization strategy presents a universal platform for developing next‐generation low‐temperature ionic conductors (H</w:t>
      </w:r>
      <w:r>
        <w:t xml:space="preserve"> </w:t>
      </w:r>
      <w:r>
        <w:t>+</w:t>
      </w:r>
      <w:r>
        <w:t xml:space="preserve"> </w:t>
      </w:r>
      <w:r>
        <w:t>, Li</w:t>
      </w:r>
      <w:r>
        <w:t xml:space="preserve"> </w:t>
      </w:r>
      <w:r>
        <w:t>+</w:t>
      </w:r>
      <w:r>
        <w:t xml:space="preserve"> </w:t>
      </w:r>
      <w:r>
        <w:t>, Na</w:t>
      </w:r>
      <w:r>
        <w:t xml:space="preserve"> </w:t>
      </w:r>
      <w:r>
        <w:t>+</w:t>
      </w:r>
      <w:r>
        <w:t xml:space="preserve"> </w:t>
      </w:r>
      <w:r>
        <w:t>, Zn</w:t>
      </w:r>
      <w:r>
        <w:t xml:space="preserve"> </w:t>
      </w:r>
      <w:r>
        <w:t>2+</w:t>
      </w:r>
      <w:r>
        <w:t xml:space="preserve"> </w:t>
      </w:r>
      <w:r>
        <w:t>, etc.).</w:t>
      </w:r>
    </w:p>
    <w:p>
      <w:pPr>
        <w:spacing w:before="120" w:after="120"/>
      </w:pPr>
      <w:r>
        <w:rPr>
          <w:sz w:val="18"/>
        </w:rPr>
        <w:t>——————————————————————————————————————————————————————————————————————</w:t>
      </w:r>
    </w:p>
    <w:p>
      <w:pPr>
        <w:spacing w:before="160" w:after="40" w:line="240" w:lineRule="auto"/>
      </w:pPr>
      <w:r>
        <w:rPr>
          <w:b/>
        </w:rPr>
        <w:t xml:space="preserve">[10] </w:t>
      </w:r>
      <w:hyperlink r:id="rId76">
        <w:r>
          <w:rPr>
            <w:color w:val="1155CC"/>
            <w:u w:val="single"/>
          </w:rPr>
          <w:t>拓扑交联剂设计调节锌碘电池中的界面和活性物质传输</w:t>
        </w:r>
      </w:hyperlink>
    </w:p>
    <w:p>
      <w:pPr>
        <w:spacing w:before="0" w:after="80"/>
      </w:pPr>
      <w:r>
        <w:rPr>
          <w:i/>
          <w:sz w:val="20"/>
        </w:rPr>
        <w:t>EN: Topological Crosslinker Design Regulates Interfacial and Active Species Transport in Zinc‐Iodine Batteries</w:t>
      </w:r>
    </w:p>
    <w:p>
      <w:pPr>
        <w:spacing w:before="0" w:after="120"/>
      </w:pPr>
      <w:r>
        <w:rPr>
          <w:b/>
        </w:rPr>
        <w:t xml:space="preserve">Source: </w:t>
      </w:r>
      <w:r>
        <w:t>Wiley: Advanced Materials: Table of Contents</w:t>
      </w:r>
      <w:r>
        <w:t xml:space="preserve">    </w:t>
      </w:r>
      <w:r>
        <w:rPr>
          <w:b/>
        </w:rPr>
        <w:t xml:space="preserve">Pub date: </w:t>
      </w:r>
      <w:r>
        <w:t>2026-07-25 15:06:28+00:00</w:t>
      </w:r>
      <w:r>
        <w:t xml:space="preserve">    </w:t>
      </w:r>
      <w:r>
        <w:rPr>
          <w:b/>
        </w:rPr>
        <w:t xml:space="preserve">DOI: </w:t>
      </w:r>
      <w:hyperlink r:id="rId77">
        <w:r>
          <w:rPr>
            <w:color w:val="1155CC"/>
            <w:u w:val="single"/>
          </w:rPr>
          <w:t>10.1002/adma.74282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离子电池（ZIB）受到界面不稳定性以及聚合物凝胶电解质（PGE）中机械强度和离子电导率之间内在权衡的限制，限制了其循环耐久性和实际应用。在这里，我们报告了一种拓扑调节的交联剂策略，该策略将交联剂从被动结构成分重新定义为离子传输和界面化学的主动调节剂。将四臂聚（2-乙基-2-恶唑啉）（4-PEtOx）交联剂集成到两性离子网络中以构建水凝胶电解质（4-PVEX）。独特的分子拓扑结构建立了致密而动态的氢键框架，使连续的锌</w:t>
      </w:r>
      <w:r>
        <w:t xml:space="preserve"> </w:t>
      </w:r>
      <w:r>
        <w:t>2+</w:t>
      </w:r>
      <w:r>
        <w:t xml:space="preserve"> </w:t>
      </w:r>
      <w:r>
        <w:t>运输途径，同时保持高机械强度。因此，4-PVEX 稳定了 Zn/电解质界面，促进均匀的无枝晶 Zn 沉积，抑制寄生反应，并有效固定聚碘物质，同时加速碘氧化还原动力学。 Zn||Zn 对称电池表现出超过 2700 小时的稳定循环，而 Zn||Cu 电池在 1000 次循环中的平均库仑效率为 99.7%。此外，Zn||I</w:t>
      </w:r>
      <w:r>
        <w:rPr>
          <w:vertAlign w:val="subscript"/>
        </w:rPr>
        <w:t>2</w:t>
      </w:r>
      <w:r>
        <w:t>全电池在 10 C 下循环 10,000 次后仍保留 90% 的初始容量。这项工作证明了分子拓扑结构是先进凝胶电解质的强大设计维度，并为水性金属电池中的界面和传输调节提供了新的见解。</w:t>
      </w:r>
    </w:p>
    <w:p>
      <w:pPr>
        <w:spacing w:before="0" w:after="200" w:lineRule="auto" w:line="276"/>
      </w:pPr>
      <w:r>
        <w:rPr>
          <w:b/>
        </w:rPr>
        <w:t xml:space="preserve">Abstract (EN): </w:t>
      </w:r>
      <w:r>
        <w:t>Aqueous zinc‐ion batteries (ZIBs) are limited by interfacial instability and an intrinsic trade‐off between mechanical strength and ionic conductivity in polymer gel electrolytes (PGEs), restricting their cycling durability and practical application. Here, we report a topology‐regulated crosslinker strategy that redefines crosslinkers from passive structural components to active regulators of ion transport and interfacial chemistry. A tetra‐armed poly(2‐ethyl‐2‐oxazoline) (4‐PEtOx) crosslinker is integrated into a zwitterionic network to construct a hydrogel electrolyte (4‐PVEX). The unique molecular topology establishes a dense yet dynamic hydrogen‐bonding framework, enabling continuous Zn</w:t>
      </w:r>
      <w:r>
        <w:t xml:space="preserve"> </w:t>
      </w:r>
      <w:r>
        <w:t>2+</w:t>
      </w:r>
      <w:r>
        <w:t xml:space="preserve"> </w:t>
      </w:r>
      <w:r>
        <w:t>transport pathways while maintaining high mechanical strength. As a result, 4‐PVEX stabilizes the Zn/electrolyte interface, promotes uniform dendrite‐free Zn deposition, suppresses parasitic reactions, and effectively immobilizes polyiodide species while accelerating iodine redox kinetics. Zn||Zn symmetric cell exhibits stable cycling for over 2700 h, and Zn||Cu cell delivers an average Coulombic efficiency of 99.7% over 1000 cycles. Moreover, Zn||I</w:t>
      </w:r>
      <w:r>
        <w:rPr>
          <w:vertAlign w:val="subscript"/>
        </w:rPr>
        <w:t>2</w:t>
      </w:r>
      <w:r>
        <w:t>full cell retains 90% of its initial capacity after 10 000 cycles at 10 C. This work demonstrates molecular topology as a powerful design dimension for advanced gel electrolytes and provides new insights into interfacial and transport regulation in aqueous metal batteries.</w:t>
      </w:r>
    </w:p>
    <w:p>
      <w:pPr>
        <w:spacing w:before="120" w:after="120"/>
      </w:pPr>
      <w:r>
        <w:rPr>
          <w:sz w:val="18"/>
        </w:rPr>
        <w:t>——————————————————————————————————————————————————————————————————————</w:t>
      </w:r>
    </w:p>
    <w:p>
      <w:pPr>
        <w:spacing w:before="160" w:after="40" w:line="240" w:lineRule="auto"/>
      </w:pPr>
      <w:r>
        <w:rPr>
          <w:b/>
        </w:rPr>
        <w:t xml:space="preserve">[11] </w:t>
      </w:r>
      <w:hyperlink r:id="rId107">
        <w:r>
          <w:rPr>
            <w:color w:val="1155CC"/>
            <w:u w:val="single"/>
          </w:rPr>
          <w:t>用于无阳极固态电池中空间分布锂沉积的机械图案化 Cu/LLZTO 界面</w:t>
        </w:r>
      </w:hyperlink>
    </w:p>
    <w:p>
      <w:pPr>
        <w:spacing w:before="0" w:after="80"/>
      </w:pPr>
      <w:r>
        <w:rPr>
          <w:i/>
          <w:sz w:val="20"/>
        </w:rPr>
        <w:t>EN: Mechanically Patterned Cu/LLZTO Interfaces for Spatially Distributed Lithium Deposition in Anode-Free Solid-State Batteries</w:t>
      </w:r>
    </w:p>
    <w:p>
      <w:pPr>
        <w:spacing w:before="0" w:after="120"/>
      </w:pPr>
      <w:r>
        <w:rPr>
          <w:b/>
        </w:rPr>
        <w:t xml:space="preserve">Source: </w:t>
      </w:r>
      <w:r>
        <w:t>ACS Energy Letters: Latest Articles (ACS Publications)</w:t>
      </w:r>
      <w:r>
        <w:t xml:space="preserve">    </w:t>
      </w:r>
      <w:r>
        <w:rPr>
          <w:b/>
        </w:rPr>
        <w:t xml:space="preserve">Pub date: </w:t>
      </w:r>
      <w:r>
        <w:t>2026-07-26 00:00:00+00:00</w:t>
      </w:r>
      <w:r>
        <w:t xml:space="preserve">    </w:t>
      </w:r>
      <w:r>
        <w:rPr>
          <w:b/>
        </w:rPr>
        <w:t xml:space="preserve">DOI: </w:t>
      </w:r>
      <w:hyperlink r:id="rId108">
        <w:r>
          <w:rPr>
            <w:color w:val="1155CC"/>
            <w:u w:val="single"/>
          </w:rPr>
          <w:t>10.1021/acsenergylett.6c01543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137">
        <w:r>
          <w:rPr>
            <w:color w:val="1155CC"/>
            <w:u w:val="single"/>
          </w:rPr>
          <w:t>LiPF 6 在甘醇二甲醚溶剂中的异常溶解度反转行为用于高压电化学</w:t>
        </w:r>
      </w:hyperlink>
    </w:p>
    <w:p>
      <w:pPr>
        <w:spacing w:before="0" w:after="80"/>
      </w:pPr>
      <w:r>
        <w:rPr>
          <w:i/>
          <w:sz w:val="20"/>
        </w:rPr>
        <w:t>EN: Anomalous Solubility-Inverted Behavior of LiPF 6 in Glyme Ether Solvents for High-Voltage Electrochemistry</w:t>
      </w:r>
    </w:p>
    <w:p>
      <w:pPr>
        <w:spacing w:before="0" w:after="120"/>
      </w:pPr>
      <w:r>
        <w:rPr>
          <w:b/>
        </w:rPr>
        <w:t xml:space="preserve">Source: </w:t>
      </w:r>
      <w:r>
        <w:t>Journal of the American Chemical Society: Latest Articles (ACS Publications)</w:t>
      </w:r>
      <w:r>
        <w:t xml:space="preserve">    </w:t>
      </w:r>
      <w:r>
        <w:rPr>
          <w:b/>
        </w:rPr>
        <w:t xml:space="preserve">Pub date: </w:t>
      </w:r>
      <w:r>
        <w:t>2026-07-27 00:00:00+00:00</w:t>
      </w:r>
      <w:r>
        <w:t xml:space="preserve">    </w:t>
      </w:r>
      <w:r>
        <w:rPr>
          <w:b/>
        </w:rPr>
        <w:t xml:space="preserve">DOI: </w:t>
      </w:r>
      <w:hyperlink r:id="rId138">
        <w:r>
          <w:rPr>
            <w:color w:val="1155CC"/>
            <w:u w:val="single"/>
          </w:rPr>
          <w:t>10.1021/jacs.6c08260</w:t>
        </w:r>
      </w:hyperlink>
    </w:p>
    <w:p>
      <w:pPr>
        <w:spacing w:before="0" w:after="120"/>
      </w:pPr>
      <w:r>
        <w:rPr>
          <w:b/>
        </w:rPr>
        <w:t xml:space="preserve">Notes: </w:t>
      </w:r>
      <w:r>
        <w:t>abstract_source=pubmed</w:t>
      </w:r>
    </w:p>
    <w:p>
      <w:pPr>
        <w:spacing w:before="0" w:after="80" w:lineRule="auto" w:line="276"/>
      </w:pPr>
      <w:r>
        <w:rPr>
          <w:b/>
        </w:rPr>
        <w:t xml:space="preserve">摘要（ZH）: </w:t>
      </w:r>
      <w:r>
        <w:t>先进的电解质配置对于下一代锂电池至关重要。甘醇二甲醚电解质由于其与锂金属的低反应性而具有吸引力。然而，常用的双（氟磺酰基）亚胺锂（LiFSI）盐由于严重的铝腐蚀而表现出较差的阳极稳定性。相比之下，六氟磷酸锂（LiPF6）在高电压下具有优异的铝相容性，但在甘醇二甲醚溶剂中表现出异常低的溶解度，限制了其在锂电池中的应用。这种行为的根本机制仍不清楚。在此，我们证明LiPF6在甘醇二甲醚溶剂中的低溶解度源于“解离-溶剂化-再沉淀”机制。以二甲氧基乙烷（DME）中的LiPF6为例，弱介电屏蔽和甘醇二甲醚的高分子对称性促进了DME溶剂化的Li+和PF6-的缔合，导致形成不溶性溶剂化物晶体Li(DME)2PF6。基于这一机制，我们进一步预测并通过实验验证了溶解度反转区（SIR），其中一旦LiPF6浓度超过临界阈值，只要Li（醚）xPF6溶剂化物晶体和LiPF6之间的共晶点低于工作温度，LiPF6和甘醇二甲醚就可以重新形成均匀溶液。因此，由 DME/DEE (1:1 vol%) 中的 5.0 M LiPF6 组成的电解质相对于 Li+/Li 表现出高达 7.0 V 的阳极稳定性。截止电压为 4.5 V 的 Li||LiNi0.8Co0.1Mn0.1O2 电池进一步证实了 LiPF 中高压电化学的可行性</w:t>
      </w:r>
    </w:p>
    <w:p>
      <w:pPr>
        <w:spacing w:before="0" w:after="200" w:lineRule="auto" w:line="276"/>
      </w:pPr>
      <w:r>
        <w:rPr>
          <w:b/>
        </w:rPr>
        <w:t xml:space="preserve">Abstract (EN): </w:t>
      </w:r>
      <w:r>
        <w:t>Advanced electrolyte configurations are essential for next-generation lithium batteries. Glyme ether electrolytes are attractive due to their low reactivity with lithium metal. However, the commonly used lithium bis(fluorosulfonyl)imide (LiFSI) salt exhibits poor anodic stability due to severe aluminum corrosion. In contrast, lithium hexafluorophosphate (LiPF6) offers excellent aluminum compatibility at high voltages but exhibits abnormally low solubility in glyme ether solvents, limiting its application in lithium batteries. The underlying mechanism for this behavior remains unclear. Herein, we show that the low solubility of LiPF6 in glyme ether solvents originates from a "dissociation-solvation-reprecipitation" mechanism. Taking LiPF6 in dimethoxyethane (DME) as an example, weak dielectric screening and high molecular symmetry of glyme ethers promote the association of DME-solvated Li+ and PF6-, leading to the formation of an insoluble solvate crystal, Li(DME)2PF6. Based on this mechanism, we further predict and experimentally verify a solubility-inverted region (SIR), in which LiPF6 and glyme ethers can reform a homogeneous solution once the LiPF6 concentration exceeds a critical threshold, provided that the eutectic point between the Li(ether)xPF6 solvate crystal and LiPF6 falls below the operating temperature. Consequently, an electrolyte consisting of 5.0 M LiPF6 in DME/DEE (1:1 vol %) exhibits anodic stability up to 7.0 V vs Li+/Li. A Li||LiNi0.8Co0.1Mn0.1O2 cell with a cutoff voltage of 4.5 V further confirms the feasibility of high voltage electrochemistry in LiPF6-glyme ether electrolytes. These results clarify LiPF6-glyme ether interactions and offer new opportunities for designing advanced electrolytes for high-voltage LMBs.</w:t>
      </w:r>
    </w:p>
    <w:p>
      <w:pPr>
        <w:spacing w:before="120" w:after="120"/>
      </w:pPr>
      <w:r>
        <w:rPr>
          <w:sz w:val="18"/>
        </w:rPr>
        <w:t>——————————————————————————————————————————————————————————————————————</w:t>
      </w:r>
    </w:p>
    <w:p>
      <w:pPr>
        <w:spacing w:before="160" w:after="40" w:line="240" w:lineRule="auto"/>
      </w:pPr>
      <w:r>
        <w:rPr>
          <w:b/>
        </w:rPr>
        <w:t xml:space="preserve">[13] </w:t>
      </w:r>
      <w:hyperlink r:id="rId139">
        <w:r>
          <w:rPr>
            <w:color w:val="1155CC"/>
            <w:u w:val="single"/>
          </w:rPr>
          <w:t>极端条件下高能锂离子电池的溶剂桥电解质</w:t>
        </w:r>
      </w:hyperlink>
    </w:p>
    <w:p>
      <w:pPr>
        <w:spacing w:before="0" w:after="80"/>
      </w:pPr>
      <w:r>
        <w:rPr>
          <w:i/>
          <w:sz w:val="20"/>
        </w:rPr>
        <w:t>EN: Solvent-bridged electrolytes for high-energy Li-ion batteries under extreme conditions</w:t>
      </w:r>
    </w:p>
    <w:p>
      <w:pPr>
        <w:spacing w:before="0" w:after="120"/>
      </w:pPr>
      <w:r>
        <w:rPr>
          <w:b/>
        </w:rPr>
        <w:t xml:space="preserve">Source: </w:t>
      </w:r>
      <w:r>
        <w:t>Nature Chemistry</w:t>
      </w:r>
      <w:r>
        <w:t xml:space="preserve">    </w:t>
      </w:r>
      <w:r>
        <w:rPr>
          <w:b/>
        </w:rPr>
        <w:t xml:space="preserve">Pub date: </w:t>
      </w:r>
      <w:r>
        <w:t>2026-07-27 00:00:00+00:00</w:t>
      </w:r>
      <w:r>
        <w:t xml:space="preserve">    </w:t>
      </w:r>
      <w:r>
        <w:rPr>
          <w:b/>
        </w:rPr>
        <w:t xml:space="preserve">DOI: </w:t>
      </w:r>
      <w:hyperlink r:id="rId140">
        <w:r>
          <w:rPr>
            <w:color w:val="1155CC"/>
            <w:u w:val="single"/>
          </w:rPr>
          <w:t>10.1038/s41557-026-02221-7</w:t>
        </w:r>
      </w:hyperlink>
    </w:p>
    <w:p>
      <w:pPr>
        <w:spacing w:before="0" w:after="120"/>
      </w:pPr>
      <w:r>
        <w:rPr>
          <w:b/>
        </w:rPr>
        <w:t xml:space="preserve">Notes: </w:t>
      </w:r>
      <w:r>
        <w:t>abstract_source=pubmed</w:t>
      </w:r>
    </w:p>
    <w:p>
      <w:pPr>
        <w:spacing w:before="0" w:after="80" w:lineRule="auto" w:line="276"/>
      </w:pPr>
      <w:r>
        <w:rPr>
          <w:b/>
        </w:rPr>
        <w:t xml:space="preserve">摘要（ZH）: </w:t>
      </w:r>
      <w:r>
        <w:t>高容量阳极对于高能锂离子电池来说是理想的选择，但由于循环过程中体积变化较大，因此循环寿命有限。基于 LiF 的固体电解质中间相 (SEI) 可以延长循环稳定性。然而，当前的LiF形成电解质设计需要阴离子进入Li+溶剂化鞘层，这本质上降低了电解质的离子电导率，限制了快速充电和低温性能。在此，我们开发了溶剂桥电解质，由溶解在共溶剂系统中的 LiPF6 组成，该系统包含桥环醚（可将 PF6- 和 Li+ 溶剂化以形成富含 LiF 的 SEI），以及控制电解质液体范围的结构线性醚。通过减轻直接的Li+-阴离子相互作用，电解质保持高离子电导率，从而使微米尺寸的硅阳极能够在高倍率（&gt;4°C）、低温（低至-55°C）和镀锂等极端条件下稳定循环。溶剂桥电解质解决了富含LiF的SEI形成和电解质离子电导率之间的内在权衡，为在苛刻条件下运行的高容量阳极提供了一种有前途的方法。</w:t>
      </w:r>
    </w:p>
    <w:p>
      <w:pPr>
        <w:spacing w:before="0" w:after="200" w:lineRule="auto" w:line="276"/>
      </w:pPr>
      <w:r>
        <w:rPr>
          <w:b/>
        </w:rPr>
        <w:t xml:space="preserve">Abstract (EN): </w:t>
      </w:r>
      <w:r>
        <w:t>High-capacity anodes are desirable for high-energy lithium-ion batteries but suffer from limited cycle life due to large volume changes during cycling. The LiF-based solid-electrolyte interphase (SEI) has led to prolonged cycling stability. However, current LiF-forming electrolyte designs require anions to enter the Li+ solvation sheath, which inherently reduces the electrolyte's ionic conductivity, limiting both fast-charging and low-temperature performance. Here we develop solvent-bridged electrolytes composed of LiPF6 dissolved in a cosolvent system comprising a bridging cyclic ether that solvates both PF6- and Li+ to form a LiF-rich SEI, and a structural linear ether that governs the electrolyte liquid range. By mitigating direct Li+-anion interactions, the electrolytes maintain high ionic conductivity, enabling stable cycling of micrometre-sized silicon anodes under extreme conditions involving high rates (&gt;4 C), low temperatures (down to -55 °C) and Li plating. Solvent-bridged electrolytes address the intrinsic trade-offs between LiF-rich SEI formation and electrolyte ionic conductivity, offering a promising approach for high-capacity anodes operating under demanding conditions.</w:t>
      </w:r>
    </w:p>
    <w:p>
      <w:pPr>
        <w:spacing w:before="120" w:after="120"/>
      </w:pPr>
      <w:r>
        <w:rPr>
          <w:sz w:val="18"/>
        </w:rPr>
        <w:t>——————————————————————————————————————————————————————————————————————</w:t>
      </w:r>
    </w:p>
    <w:p>
      <w:pPr>
        <w:spacing w:before="160" w:after="40" w:line="240" w:lineRule="auto"/>
      </w:pPr>
      <w:r>
        <w:rPr>
          <w:b/>
        </w:rPr>
        <w:t xml:space="preserve">[14] </w:t>
      </w:r>
      <w:hyperlink r:id="rId141">
        <w:r>
          <w:rPr>
            <w:color w:val="1155CC"/>
            <w:u w:val="single"/>
          </w:rPr>
          <w:t>指导锂硫电池氟化醚选择的结构-性能关系</w:t>
        </w:r>
      </w:hyperlink>
    </w:p>
    <w:p>
      <w:pPr>
        <w:spacing w:before="0" w:after="80"/>
      </w:pPr>
      <w:r>
        <w:rPr>
          <w:i/>
          <w:sz w:val="20"/>
        </w:rPr>
        <w:t>EN: Structure–Property Relationships to Guide the Selection of Fluorinated Ethers for Li–S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2026-07-27 00:00:00+00:00</w:t>
      </w:r>
      <w:r>
        <w:t xml:space="preserve">    </w:t>
      </w:r>
      <w:r>
        <w:rPr>
          <w:b/>
        </w:rPr>
        <w:t xml:space="preserve">DOI: </w:t>
      </w:r>
      <w:hyperlink r:id="rId142">
        <w:r>
          <w:rPr>
            <w:color w:val="1155CC"/>
            <w:u w:val="single"/>
          </w:rPr>
          <w:t>10.1021/jacs.6c04480</w:t>
        </w:r>
      </w:hyperlink>
    </w:p>
    <w:p>
      <w:pPr>
        <w:spacing w:before="0" w:after="120"/>
      </w:pPr>
      <w:r>
        <w:rPr>
          <w:b/>
        </w:rPr>
        <w:t xml:space="preserve">Notes: </w:t>
      </w:r>
      <w:r>
        <w:t>abstract_source=pubmed</w:t>
      </w:r>
    </w:p>
    <w:p>
      <w:pPr>
        <w:spacing w:before="0" w:after="80" w:lineRule="auto" w:line="276"/>
      </w:pPr>
      <w:r>
        <w:rPr>
          <w:b/>
        </w:rPr>
        <w:t xml:space="preserve">摘要（ZH）: </w:t>
      </w:r>
      <w:r>
        <w:t>各种氟化醚已用于改善锂硫电池的关键性能指标，例如比能量和循环寿命。然而，以前的大多数文章仅采用一种氟化醚，目前缺乏关于哪种氟化醚提供最大性能改进的标准或共识。这是由于对氟化醚的化学式与其对锂硫电池反应的影响之间的相关性缺乏基本了解。在这项工作中，我们系统地研究了九种氟化醚，并测试了它们在代表商业相关条件的锂硫电池中的效果。电化学测量辅以锂金属阳极反应的非原位和原位核磁共振表征、循环锂和硫电极的非原位SEM和EDX成像以及电解质的从头计算和分子动力学模拟，从而揭示了氟化醚化学结构中的关键主题，从而提高了性能。性能最好的氟化醚是那些与锂离子相互作用的强度与电解质中其他溶剂相似的氟化醚，因此促进了快速溶剂交换反应和高锂离子迁移率。这有利于锂和硫电极的反应，抑制锂枝晶，形成更具保护性的锂SEI，并促进多硫化物反应，避免碳的钝化。</w:t>
      </w:r>
    </w:p>
    <w:p>
      <w:pPr>
        <w:spacing w:before="0" w:after="200" w:lineRule="auto" w:line="276"/>
      </w:pPr>
      <w:r>
        <w:rPr>
          <w:b/>
        </w:rPr>
        <w:t xml:space="preserve">Abstract (EN): </w:t>
      </w:r>
      <w:r>
        <w:t>A variety of fluorinated ethers have been used to improve key performance metrics in lithium-sulfur batteries, such as specific energy and cycle life. However, most previous articles employed only one fluorinated ether, and there is currently a lack of criteria or consensus about which fluorinated ether provides the largest performance improvement. This stems from a lack of fundamental understanding of the correlation between the chemical formula of the fluorinated ether and its effect on lithium-sulfur battery reactions. In this work, we systematically investigated nine fluorinated ethers and tested their effects in lithium-sulfur batteries representative of commercially relevant conditions. Electrochemical measurements were complemented by ex situ and operando NMR characterization of the lithium metal anode reactions, ex situ SEM and EDX imaging of cycled lithium and sulfur electrodes, and ab initio calculations and molecular dynamics simulations of the electrolytes, thus revealing the key motifs in the chemical structure of the fluorinated ethers that lead to performance improvements. The best-performing fluorinated ethers were those that interact with lithium ions with a strength similar to that of the other solvent(s) in the electrolyte, and as a result, fast solvent exchange reactions and high lithium-ion mobility are promoted. This benefited both the lithium and the sulfur electrode reactions, with the suppression of lithium dendrites, the formation of a more protective lithium SEI, and the promotion of polysulfide reactions that avoid the passivation of the carbon in the sulfur electrode. The best results were obtained with TFMP (1,1,2,2-tetrafluoro-3-methoxypropane), which had not been used before in lithium-sulfur batteries.</w:t>
      </w:r>
    </w:p>
    <w:p>
      <w:pPr>
        <w:spacing w:before="120" w:after="120"/>
      </w:pPr>
      <w:r>
        <w:rPr>
          <w:sz w:val="18"/>
        </w:rPr>
        <w:t>——————————————————————————————————————————————————————————————————————</w:t>
      </w:r>
    </w:p>
    <w:p>
      <w:pPr>
        <w:spacing w:before="160" w:after="40" w:line="240" w:lineRule="auto"/>
      </w:pPr>
      <w:r>
        <w:rPr>
          <w:b/>
        </w:rPr>
        <w:t xml:space="preserve">[15] </w:t>
      </w:r>
      <w:hyperlink r:id="rId109">
        <w:r>
          <w:rPr>
            <w:color w:val="1155CC"/>
            <w:u w:val="single"/>
          </w:rPr>
          <w:t>使用可扩展的原位超薄聚合电解质实现耐用的零度以下锂/钠金属电池</w:t>
        </w:r>
      </w:hyperlink>
    </w:p>
    <w:p>
      <w:pPr>
        <w:spacing w:before="0" w:after="80"/>
      </w:pPr>
      <w:r>
        <w:rPr>
          <w:i/>
          <w:sz w:val="20"/>
        </w:rPr>
        <w:t>EN: Enabling Durable, Subzero Li/Na‐Metal Batteries with Scalable, In Situ Ultrathin Polymerized Electrolytes</w:t>
      </w:r>
    </w:p>
    <w:p>
      <w:pPr>
        <w:spacing w:before="0" w:after="120"/>
      </w:pPr>
      <w:r>
        <w:rPr>
          <w:b/>
        </w:rPr>
        <w:t xml:space="preserve">Source: </w:t>
      </w:r>
      <w:r>
        <w:t>Wiley: Advanced Energy Materials: Table of Contents</w:t>
      </w:r>
      <w:r>
        <w:t xml:space="preserve">    </w:t>
      </w:r>
      <w:r>
        <w:rPr>
          <w:b/>
        </w:rPr>
        <w:t xml:space="preserve">Pub date: </w:t>
      </w:r>
      <w:r>
        <w:t>2026-07-27 11:34:02+00:00</w:t>
      </w:r>
      <w:r>
        <w:t xml:space="preserve">    </w:t>
      </w:r>
      <w:r>
        <w:rPr>
          <w:b/>
        </w:rPr>
        <w:t xml:space="preserve">DOI: </w:t>
      </w:r>
      <w:hyperlink r:id="rId110">
        <w:r>
          <w:rPr>
            <w:color w:val="1155CC"/>
            <w:u w:val="single"/>
          </w:rPr>
          <w:t>10.1002/aenm.71342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固体聚合物电解质在高能量密度碱金属电池方面很有前景，但由于厚度过大、界面接触不足和枝晶生长不受控制而受到阻碍。在此，我们引入了一种可扩展的原位聚合策略来制造超薄（~10 µm）但坚固的类固体聚合物电解质（SPE-Na 和 SPE-Li），同时实现快速离子传输和紧密的界面集成。离子传输主要是通过富含溶剂的路径快速迁移，而聚合物基质则确保机械完整性。为了稳定金属电极，引入全氟丁磺酸钾形成 SPE，其中 K</w:t>
      </w:r>
      <w:r>
        <w:t xml:space="preserve"> </w:t>
      </w:r>
      <w:r>
        <w:t>+</w:t>
      </w:r>
      <w:r>
        <w:t xml:space="preserve"> </w:t>
      </w:r>
      <w:r>
        <w:t>提供动态静电屏蔽以抑制枝晶形成，而含氟物质则促进富含 LiF/NaF 的无机增强界面相。优化后的 SPE-0.05K-Na 和 SPE-0.02K-Li 显示出约 0.5 的高电导率和约 4.78 × 10 的离子电导率</w:t>
      </w:r>
      <w:r>
        <w:t xml:space="preserve"> </w:t>
      </w:r>
      <w:r>
        <w:t>−4</w:t>
      </w:r>
      <w:r>
        <w:t xml:space="preserve"> </w:t>
      </w:r>
      <w:r>
        <w:t>和~4.87×10</w:t>
      </w:r>
      <w:r>
        <w:t xml:space="preserve"> </w:t>
      </w:r>
      <w:r>
        <w:t>−4</w:t>
      </w:r>
      <w:r>
        <w:t xml:space="preserve"> </w:t>
      </w:r>
      <w:r>
        <w:t>厘米</w:t>
      </w:r>
      <w:r>
        <w:t xml:space="preserve"> </w:t>
      </w:r>
      <w:r>
        <w:t>−1</w:t>
      </w:r>
      <w:r>
        <w:t xml:space="preserve"> </w:t>
      </w:r>
      <w:r>
        <w:t>。因此，Li||Li 和 Na||Na 对称电池实现了 4000 小时的稳定循环（0.5 mA cm</w:t>
      </w:r>
      <w:r>
        <w:t xml:space="preserve"> </w:t>
      </w:r>
      <w:r>
        <w:t>−2</w:t>
      </w:r>
      <w:r>
        <w:t xml:space="preserve"> </w:t>
      </w:r>
      <w:r>
        <w:t>）和 1800 小时（0.2 mA cm</w:t>
      </w:r>
      <w:r>
        <w:t xml:space="preserve"> </w:t>
      </w:r>
      <w:r>
        <w:t>−2</w:t>
      </w:r>
      <w:r>
        <w:t xml:space="preserve"> </w:t>
      </w:r>
      <w:r>
        <w:t>）分别。全电池在严格条件下可靠运行，例如提高质量负载（例如，20.0 mg</w:t>
      </w:r>
      <w:r>
        <w:t xml:space="preserve"> </w:t>
      </w:r>
      <w:r>
        <w:t>磷酸铁锂</w:t>
      </w:r>
      <w:r>
        <w:t xml:space="preserve"> </w:t>
      </w:r>
      <w:r>
        <w:t>厘米</w:t>
      </w:r>
      <w:r>
        <w:t xml:space="preserve"> </w:t>
      </w:r>
      <w:r>
        <w:t>−2</w:t>
      </w:r>
      <w:r>
        <w:t xml:space="preserve"> </w:t>
      </w:r>
      <w:r>
        <w:t>，20。</w:t>
      </w:r>
    </w:p>
    <w:p>
      <w:pPr>
        <w:spacing w:before="0" w:after="200" w:lineRule="auto" w:line="276"/>
      </w:pPr>
      <w:r>
        <w:rPr>
          <w:b/>
        </w:rPr>
        <w:t xml:space="preserve">Abstract (EN): </w:t>
      </w:r>
      <w:r>
        <w:t>Solid polymer electrolytes are promising for high‐energy‐density alkali metal batteries but are hindered by excessive thickness, insufficient interfacial contact, and uncontrolled dendrite growth. Herein, we introduce a scalable in situ polymerization strategy to fabricate ultrathin (∼10 µm) yet robust solid‐like polymer electrolytes (SPE‐Na and SPE‐Li) that simultaneously enable rapid ion transport and intimate interfacial integration. Ion transport is dominated by fast migration through solvent‐rich pathways while the polymer matrix ensures mechanical integrity. To stabilize metal electrodes, potassium perfluorobutane sulfonate is introduced to form SPEs, where K</w:t>
      </w:r>
      <w:r>
        <w:t xml:space="preserve"> </w:t>
      </w:r>
      <w:r>
        <w:t>+</w:t>
      </w:r>
      <w:r>
        <w:t xml:space="preserve"> </w:t>
      </w:r>
      <w:r>
        <w:t>provides dynamic electrostatic shielding to suppress dendrite formation, while fluorine‐containing species promote LiF/NaF‐rich, inorganic‐reinforced interphases. The optimized SPE‐0.05K‐Na and SPE‐0.02K‐Li showed high  of ∼0.5 and ionic conductivities of ∼4.78 × 10</w:t>
      </w:r>
      <w:r>
        <w:t xml:space="preserve"> </w:t>
      </w:r>
      <w:r>
        <w:t>−4</w:t>
      </w:r>
      <w:r>
        <w:t xml:space="preserve"> </w:t>
      </w:r>
      <w:r>
        <w:t>and ∼4.87 × 10</w:t>
      </w:r>
      <w:r>
        <w:t xml:space="preserve"> </w:t>
      </w:r>
      <w:r>
        <w:t>−4</w:t>
      </w:r>
      <w:r>
        <w:t xml:space="preserve"> </w:t>
      </w:r>
      <w:r>
        <w:t>S cm</w:t>
      </w:r>
      <w:r>
        <w:t xml:space="preserve"> </w:t>
      </w:r>
      <w:r>
        <w:t>−1</w:t>
      </w:r>
      <w:r>
        <w:t xml:space="preserve"> </w:t>
      </w:r>
      <w:r>
        <w:t>. Consequently, Li||Li and Na||Na symmetric cells achieved stable cycling for 4000 h (0.5 mA cm</w:t>
      </w:r>
      <w:r>
        <w:t xml:space="preserve"> </w:t>
      </w:r>
      <w:r>
        <w:t>−2</w:t>
      </w:r>
      <w:r>
        <w:t xml:space="preserve"> </w:t>
      </w:r>
      <w:r>
        <w:t>) and 1800 h (0.2 mA cm</w:t>
      </w:r>
      <w:r>
        <w:t xml:space="preserve"> </w:t>
      </w:r>
      <w:r>
        <w:t>−2</w:t>
      </w:r>
      <w:r>
        <w:t xml:space="preserve"> </w:t>
      </w:r>
      <w:r>
        <w:t>), respectively. Full cells operated reliably under rigorous conditions, such as elevated mass loadings (e.g., 20.0 mg</w:t>
      </w:r>
      <w:r>
        <w:t xml:space="preserve"> </w:t>
      </w:r>
      <w:r>
        <w:t>LFP</w:t>
      </w:r>
      <w:r>
        <w:t xml:space="preserve"> </w:t>
      </w:r>
      <w:r>
        <w:t>cm</w:t>
      </w:r>
      <w:r>
        <w:t xml:space="preserve"> </w:t>
      </w:r>
      <w:r>
        <w:t>−2</w:t>
      </w:r>
      <w:r>
        <w:t xml:space="preserve"> </w:t>
      </w:r>
      <w:r>
        <w:t>, 20.2 mg</w:t>
      </w:r>
      <w:r>
        <w:t xml:space="preserve"> </w:t>
      </w:r>
      <w:r>
        <w:t>LCO</w:t>
      </w:r>
      <w:r>
        <w:t xml:space="preserve"> </w:t>
      </w:r>
      <w:r>
        <w:t>cm</w:t>
      </w:r>
      <w:r>
        <w:t xml:space="preserve"> </w:t>
      </w:r>
      <w:r>
        <w:t>−2</w:t>
      </w:r>
      <w:r>
        <w:t xml:space="preserve"> </w:t>
      </w:r>
      <w:r>
        <w:t>, 14.3 mg</w:t>
      </w:r>
      <w:r>
        <w:t xml:space="preserve"> </w:t>
      </w:r>
      <w:r>
        <w:t>NCM</w:t>
      </w:r>
      <w:r>
        <w:t xml:space="preserve"> </w:t>
      </w:r>
      <w:r>
        <w:t>cm</w:t>
      </w:r>
      <w:r>
        <w:t xml:space="preserve"> </w:t>
      </w:r>
      <w:r>
        <w:t>−2</w:t>
      </w:r>
      <w:r>
        <w:t xml:space="preserve"> </w:t>
      </w:r>
      <w:r>
        <w:t>, and 7.2 mg</w:t>
      </w:r>
      <w:r>
        <w:t xml:space="preserve"> </w:t>
      </w:r>
      <w:r>
        <w:t>NVP</w:t>
      </w:r>
      <w:r>
        <w:t xml:space="preserve"> </w:t>
      </w:r>
      <w:r>
        <w:t>cm</w:t>
      </w:r>
      <w:r>
        <w:t xml:space="preserve"> </w:t>
      </w:r>
      <w:r>
        <w:t>−2</w:t>
      </w:r>
      <w:r>
        <w:t xml:space="preserve"> </w:t>
      </w:r>
      <w:r>
        <w:t>), subzero temperatures (−20°C), and Ah‐level pouch cells. This work integrates interface engineering with ultrathin electrolyte design to advance practical, low‐temperature, and high‐energy‐density batteries.</w:t>
      </w:r>
    </w:p>
    <w:p>
      <w:pPr>
        <w:spacing w:before="120" w:after="120"/>
      </w:pPr>
      <w:r>
        <w:rPr>
          <w:sz w:val="18"/>
        </w:rPr>
        <w:t>——————————————————————————————————————————————————————————————————————</w:t>
      </w:r>
    </w:p>
    <w:p>
      <w:pPr>
        <w:spacing w:before="160" w:after="40" w:line="240" w:lineRule="auto"/>
      </w:pPr>
      <w:r>
        <w:rPr>
          <w:b/>
        </w:rPr>
        <w:t xml:space="preserve">[16] </w:t>
      </w:r>
      <w:hyperlink r:id="rId113">
        <w:r>
          <w:rPr>
            <w:color w:val="1155CC"/>
            <w:u w:val="single"/>
          </w:rPr>
          <w:t>锂金属电池中的纤维素复合材料</w:t>
        </w:r>
      </w:hyperlink>
    </w:p>
    <w:p>
      <w:pPr>
        <w:spacing w:before="0" w:after="80"/>
      </w:pPr>
      <w:r>
        <w:rPr>
          <w:i/>
          <w:sz w:val="20"/>
        </w:rPr>
        <w:t>EN: Cellulosic Composites in Lithium Metal Batteries</w:t>
      </w:r>
    </w:p>
    <w:p>
      <w:pPr>
        <w:spacing w:before="0" w:after="120"/>
      </w:pPr>
      <w:r>
        <w:rPr>
          <w:b/>
        </w:rPr>
        <w:t xml:space="preserve">Source: </w:t>
      </w:r>
      <w:r>
        <w:t>Wiley: Advanced Materials: Table of Contents</w:t>
      </w:r>
      <w:r>
        <w:t xml:space="preserve">    </w:t>
      </w:r>
      <w:r>
        <w:rPr>
          <w:b/>
        </w:rPr>
        <w:t xml:space="preserve">Pub date: </w:t>
      </w:r>
      <w:r>
        <w:t>2026-07-28 10:19:23+00:00</w:t>
      </w:r>
      <w:r>
        <w:t xml:space="preserve">    </w:t>
      </w:r>
      <w:r>
        <w:rPr>
          <w:b/>
        </w:rPr>
        <w:t xml:space="preserve">DOI: </w:t>
      </w:r>
      <w:hyperlink r:id="rId114">
        <w:r>
          <w:rPr>
            <w:color w:val="1155CC"/>
            <w:u w:val="single"/>
          </w:rPr>
          <w:t>10.1002/adma.74314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金属电池（LMB）对于下一代高能量密度储能有着巨大的前景，但其实际部署却因锂枝晶生长、不稳定的固体电解质界面（SEI）、锂负极的无限体积膨胀和较差的热安全性而受到严重阻碍。作为一种丰富、可再生、可生物降解、低成本的生物质聚合物，纤维素及其衍生物具有突出的机械鲁棒性、可调的灵活性、丰富的表面羟基和可设计的分级微/纳米结构，这使得它们在解决LMB的关键瓶颈方面具有独特的优势。本综述重点关注纤维素基复合材料在提高 LMB 电化学和安全性能方面的多功能作用和潜在机制。纤维素凭借极性官能团和刚柔结合结构，可以有效均匀化Li</w:t>
      </w:r>
      <w:r>
        <w:t xml:space="preserve"> </w:t>
      </w:r>
      <w:r>
        <w:t>+</w:t>
      </w:r>
      <w:r>
        <w:t xml:space="preserve"> </w:t>
      </w:r>
      <w:r>
        <w:t>通量，引导均匀的锂沉积，抑制枝晶成核和扩展，并减轻循环过程中的体积波动。同时，纤维素基体显着提高了聚合物电解质和隔膜的机械强度、热稳定性、阻燃性和离子电导率。重点介绍了七种功能性纤维素复合材料在电解质、隔膜、3D 阳极主体、人工界面层和界面调节剂中的应用。最后，纤维素材料未来向高性能L方向发展</w:t>
      </w:r>
    </w:p>
    <w:p>
      <w:pPr>
        <w:spacing w:before="0" w:after="200" w:lineRule="auto" w:line="276"/>
      </w:pPr>
      <w:r>
        <w:rPr>
          <w:b/>
        </w:rPr>
        <w:t xml:space="preserve">Abstract (EN): </w:t>
      </w:r>
      <w:r>
        <w:t>Lithium metal batteries (LMBs) hold great promise for next‐generation high‐energy‐density energy storage, yet their practical deployment is severely hindered by lithium dendrite growth, unstable solid electrolyte interphase (SEI), infinite volume expansion of lithium anodes, and poor thermal safety. As an abundant, renewable, biodegradable, and low‐cost biomass polymer, cellulose and its derivatives feature outstanding mechanical robustness, tunable flexibility, rich surface hydroxyl groups, and designable hierarchical micro/nanostructures, which endow them with unique advantages in addressing critical bottlenecks of LMBs. This review focuses on the multifunctional roles and underlying mechanisms of cellulose‐based composites in boosting the electrochemical and safety performance of LMBs. By virtue of polar functional groups and rigid‐flexible integrated structures, cellulose can effectively homogenize Li</w:t>
      </w:r>
      <w:r>
        <w:t xml:space="preserve"> </w:t>
      </w:r>
      <w:r>
        <w:t>+</w:t>
      </w:r>
      <w:r>
        <w:t xml:space="preserve"> </w:t>
      </w:r>
      <w:r>
        <w:t>flux, guide uniform lithium deposition, suppress dendrite nucleation and propagation, and alleviate volume fluctuation during cycling. Meanwhile, cellulose‐based matrices significantly enhance the mechanical strength, thermal stability, flame retardancy, and ionic conductivity of polymer electrolytes and separators. Seven types of functional cellulose composites are highlighted regarding their applications in electrolytes, separators, 3D anode hosts, artificial interphase layers, and interface regulators. Finally, the future development of cellulose materials toward high‐performance LMBs is prospected from the aspects of precise molecular modification, biomimetic ordered ion transport, and scalable green fabrication. This review provides systematic insights into the performance enhancement mechanisms and application strategies of cellulose for high‐safety and long‐lifespan lithium metal batteries.</w:t>
      </w:r>
    </w:p>
    <w:p>
      <w:pPr>
        <w:spacing w:before="120" w:after="120"/>
      </w:pPr>
      <w:r>
        <w:rPr>
          <w:sz w:val="18"/>
        </w:rPr>
        <w:t>——————————————————————————————————————————————————————————————————————</w:t>
      </w:r>
    </w:p>
    <w:p>
      <w:pPr>
        <w:spacing w:before="160" w:after="40" w:line="240" w:lineRule="auto"/>
      </w:pPr>
      <w:r>
        <w:rPr>
          <w:b/>
        </w:rPr>
        <w:t xml:space="preserve">[17] </w:t>
      </w:r>
      <w:hyperlink r:id="rId82">
        <w:r>
          <w:rPr>
            <w:color w:val="1155CC"/>
            <w:u w:val="single"/>
          </w:rPr>
          <w:t>具有双界面调节的精简溶剂化结构，用于高性能和安全的锂硫电池</w:t>
        </w:r>
      </w:hyperlink>
    </w:p>
    <w:p>
      <w:pPr>
        <w:spacing w:before="0" w:after="80"/>
      </w:pPr>
      <w:r>
        <w:rPr>
          <w:i/>
          <w:sz w:val="20"/>
        </w:rPr>
        <w:t>EN: Slimmed Solvation Structure With Dual‐Interface Regulation for High‐Performance and Safe Lithium‐Sulfur Batteries</w:t>
      </w:r>
    </w:p>
    <w:p>
      <w:pPr>
        <w:spacing w:before="0" w:after="120"/>
      </w:pPr>
      <w:r>
        <w:rPr>
          <w:b/>
        </w:rPr>
        <w:t xml:space="preserve">Source: </w:t>
      </w:r>
      <w:r>
        <w:t>Wiley: Advanced Materials: Table of Contents</w:t>
      </w:r>
      <w:r>
        <w:t xml:space="preserve">    </w:t>
      </w:r>
      <w:r>
        <w:rPr>
          <w:b/>
        </w:rPr>
        <w:t xml:space="preserve">Pub date: </w:t>
      </w:r>
      <w:r>
        <w:t>2026-07-28 12:22:09+00:00</w:t>
      </w:r>
      <w:r>
        <w:t xml:space="preserve">    </w:t>
      </w:r>
      <w:r>
        <w:rPr>
          <w:b/>
        </w:rPr>
        <w:t xml:space="preserve">DOI: </w:t>
      </w:r>
      <w:hyperlink r:id="rId83">
        <w:r>
          <w:rPr>
            <w:color w:val="1155CC"/>
            <w:u w:val="single"/>
          </w:rPr>
          <w:t>10.1002/adma.74357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广泛电化学储能的关键一步是设计将高能量密度与强大安全性结合在一起的锂硫电池（LSB）。实现实用的LSB需要电解质具有高界面稳定性、优异的离子环境调节能力和高电催化活性。尽管当前的电解质技术已经改善了LSB的循环性能，但制备同时提供高能量密度、高循环稳定性和高安全性的电解质仍然是一个重大挑战。在这里，我们报告了一种旨在实现高性能和高安全性 LSB 的电解质设计策略。这主要是通过将对称离子塑料晶体合并到电解质中以构建细化的溶剂化结构（Li</w:t>
      </w:r>
      <w:r>
        <w:t xml:space="preserve"> </w:t>
      </w:r>
      <w:r>
        <w:t>+</w:t>
      </w:r>
      <w:r>
        <w:t xml:space="preserve"> </w:t>
      </w:r>
      <w:r>
        <w:t>）通过抑制阴离子聚集（S</w:t>
      </w:r>
      <w:r>
        <w:t xml:space="preserve"> </w:t>
      </w:r>
      <w:r>
        <w:t>n</w:t>
      </w:r>
      <w:r>
        <w:t xml:space="preserve"> </w:t>
      </w:r>
      <w:r>
        <w:t>2−</w:t>
      </w:r>
      <w:r>
        <w:t>和 TFSI</w:t>
      </w:r>
      <w:r>
        <w:t xml:space="preserve"> </w:t>
      </w:r>
      <w:r>
        <w:t>-</w:t>
      </w:r>
      <w:r>
        <w:t>）放电期间。该电解质具有高离子电导率、低去溶剂化能垒、高电催化活性和界面稳定性。该设计同时作用于阴极和阳极界面，实现LSB的稳定快速循环，具有高能量密度（软包电池：704 Wh kg</w:t>
      </w:r>
      <w:r>
        <w:t xml:space="preserve"> </w:t>
      </w:r>
      <w:r>
        <w:t>−1</w:t>
      </w:r>
      <w:r>
        <w:t xml:space="preserve"> </w:t>
      </w:r>
      <w:r>
        <w:t>）和高稳定性（600次循环后，每个循环的平均容量衰减率为0.018%）。我们的溶剂化结构模型设计提供了一种可行的方法</w:t>
      </w:r>
    </w:p>
    <w:p>
      <w:pPr>
        <w:spacing w:before="0" w:after="200" w:lineRule="auto" w:line="276"/>
      </w:pPr>
      <w:r>
        <w:rPr>
          <w:b/>
        </w:rPr>
        <w:t xml:space="preserve">Abstract (EN): </w:t>
      </w:r>
      <w:r>
        <w:t>A crucial step toward widespread electrochemical energy storage is the design of lithium–sulfur batteries (LSBs) that integrate high energy density with robust safety. Realizing practical LSBs demands an electrolyte that possesses high interfacial stability, excellent ion‐environment regulation capability, and high electrocatalytic activity. Although current electrolyte technologies have improved the cycling performance of LSBs, preparing electrolytes that simultaneously deliver high energy density, high cycling stability, and high safety remains a significant challenge. Here, we report an electrolyte design strategy aimed at achieving high‐performance and high‐safety LSBs. This is primarily accomplished by incorporating symmetric ionic plastic crystals into the electrolyte to construct a slimmed solvation structure (Li</w:t>
      </w:r>
      <w:r>
        <w:t xml:space="preserve"> </w:t>
      </w:r>
      <w:r>
        <w:t>+</w:t>
      </w:r>
      <w:r>
        <w:t xml:space="preserve"> </w:t>
      </w:r>
      <w:r>
        <w:t>) regulated by suppression of anion aggregation (S</w:t>
      </w:r>
      <w:r>
        <w:t xml:space="preserve"> </w:t>
      </w:r>
      <w:r>
        <w:t>n</w:t>
      </w:r>
      <w:r>
        <w:t xml:space="preserve"> </w:t>
      </w:r>
      <w:r>
        <w:t>2−</w:t>
      </w:r>
      <w:r>
        <w:t>and TFSI</w:t>
      </w:r>
      <w:r>
        <w:t xml:space="preserve"> </w:t>
      </w:r>
      <w:r>
        <w:t>−</w:t>
      </w:r>
      <w:r>
        <w:t>) during discharge. The electrolyte exhibits high ionic conductivity, low desolvation energy barrier, high electrocatalytic activity, and interfacial stability. This design acts simultaneously on the cathode and anode interfaces, enabling stable and rapid cycling of LSBs, with high energy density (pouch cell: 704 Wh kg</w:t>
      </w:r>
      <w:r>
        <w:t xml:space="preserve"> </w:t>
      </w:r>
      <w:r>
        <w:t>−1</w:t>
      </w:r>
      <w:r>
        <w:t xml:space="preserve"> </w:t>
      </w:r>
      <w:r>
        <w:t>) and high stability (average capacity decay rate per cycle of 0.018% over 600 cycles). Our solvation structure model design provides a feasible approach for realizing high‐performance and high‐safety LSBs.</w:t>
      </w:r>
    </w:p>
    <w:p>
      <w:pPr>
        <w:spacing w:before="120" w:after="120"/>
      </w:pPr>
      <w:r>
        <w:rPr>
          <w:sz w:val="18"/>
        </w:rPr>
        <w:t>——————————————————————————————————————————————————————————————————————</w:t>
      </w:r>
    </w:p>
    <w:p>
      <w:pPr>
        <w:spacing w:before="160" w:after="40" w:line="240" w:lineRule="auto"/>
      </w:pPr>
      <w:r>
        <w:rPr>
          <w:b/>
        </w:rPr>
        <w:t xml:space="preserve">[18] </w:t>
      </w:r>
      <w:hyperlink r:id="rId117">
        <w:r>
          <w:rPr>
            <w:color w:val="1155CC"/>
            <w:u w:val="single"/>
          </w:rPr>
          <w:t>通过阴离子-溶剂协调调节电解质微观结构，实现实用锌软包电池的快速界面动力学</w:t>
        </w:r>
      </w:hyperlink>
    </w:p>
    <w:p>
      <w:pPr>
        <w:spacing w:before="0" w:after="80"/>
      </w:pPr>
      <w:r>
        <w:rPr>
          <w:i/>
          <w:sz w:val="20"/>
        </w:rPr>
        <w:t>EN: Regulating Electrolyte Microstructure via Anion‐Solvent Coordination Enables Fast Interfacial Kinetics Toward Practical Zinc Pouch Cells</w:t>
      </w:r>
    </w:p>
    <w:p>
      <w:pPr>
        <w:spacing w:before="0" w:after="120"/>
      </w:pPr>
      <w:r>
        <w:rPr>
          <w:b/>
        </w:rPr>
        <w:t xml:space="preserve">Source: </w:t>
      </w:r>
      <w:r>
        <w:t>Wiley: Angewandte Chemie International Edition: Table of Contents</w:t>
      </w:r>
      <w:r>
        <w:t xml:space="preserve">    </w:t>
      </w:r>
      <w:r>
        <w:rPr>
          <w:b/>
        </w:rPr>
        <w:t xml:space="preserve">Pub date: </w:t>
      </w:r>
      <w:r>
        <w:t>2026-07-28 18:37:06+00:00</w:t>
      </w:r>
      <w:r>
        <w:t xml:space="preserve">    </w:t>
      </w:r>
      <w:r>
        <w:rPr>
          <w:b/>
        </w:rPr>
        <w:t xml:space="preserve">DOI: </w:t>
      </w:r>
      <w:hyperlink r:id="rId118">
        <w:r>
          <w:rPr>
            <w:color w:val="1155CC"/>
            <w:u w:val="single"/>
          </w:rPr>
          <w:t>10.1002/anie.2482042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溶剂化结构调节在通过抑制枝晶和析氢来稳定锌阳极方面发挥着至关重要的作用，但缓慢的离子传输会导致阳极的倍率性能较差。在这项研究中，我们提出了一种“阴离子调节”策略，通过将两亲性苯甲醇（BA）引入到Zn（OTf）</w:t>
      </w:r>
      <w:r>
        <w:rPr>
          <w:vertAlign w:val="subscript"/>
        </w:rPr>
        <w:t>2</w:t>
      </w:r>
      <w:r>
        <w:t>电解质，调节电解质的微观结构和双溶剂化结构。 BA 与 Zn 具有弱溶剂化能力</w:t>
      </w:r>
      <w:r>
        <w:t xml:space="preserve"> </w:t>
      </w:r>
      <w:r>
        <w:t>2+</w:t>
      </w:r>
      <w:r>
        <w:t xml:space="preserve"> </w:t>
      </w:r>
      <w:r>
        <w:t>并诱导 Zn</w:t>
      </w:r>
      <w:r>
        <w:t xml:space="preserve"> </w:t>
      </w:r>
      <w:r>
        <w:t>2+</w:t>
      </w:r>
      <w:r>
        <w:t xml:space="preserve"> </w:t>
      </w:r>
      <w:r>
        <w:t>‐OTf-BA 通过阴离子-溶剂相互作用形成双溶剂化结构，缩小了溶剂化簇，改善了微观均匀性，提高了 Zn</w:t>
      </w:r>
      <w:r>
        <w:t xml:space="preserve"> </w:t>
      </w:r>
      <w:r>
        <w:t>2+</w:t>
      </w:r>
      <w:r>
        <w:t xml:space="preserve"> </w:t>
      </w:r>
      <w:r>
        <w:t>扩散动力学。还实现了对第一溶剂化壳的协同调节，其中BA不仅减少了配位水，而且削弱了Zn</w:t>
      </w:r>
      <w:r>
        <w:t xml:space="preserve"> </w:t>
      </w:r>
      <w:r>
        <w:t>2+</w:t>
      </w:r>
      <w:r>
        <w:t xml:space="preserve"> </w:t>
      </w:r>
      <w:r>
        <w:t>‐OTf</w:t>
      </w:r>
      <w:r>
        <w:t xml:space="preserve"> </w:t>
      </w:r>
      <w:r>
        <w:t>-</w:t>
      </w:r>
      <w:r>
        <w:t>相互作用，加速去溶剂化动力学。此外，通过阴离子分解构建了富含无机物的固体电解质界面，有利于界面稳定性。因此，调制电解质使锌阳极具有令人印象深刻的倍率性能（1500 小时，10 mA cm</w:t>
      </w:r>
      <w:r>
        <w:t xml:space="preserve"> </w:t>
      </w:r>
      <w:r>
        <w:t>−2</w:t>
      </w:r>
      <w:r>
        <w:t xml:space="preserve"> </w:t>
      </w:r>
      <w:r>
        <w:t>/10毫安厘米</w:t>
      </w:r>
      <w:r>
        <w:t xml:space="preserve"> </w:t>
      </w:r>
      <w:r>
        <w:t>−2</w:t>
      </w:r>
      <w:r>
        <w:t xml:space="preserve"> </w:t>
      </w:r>
      <w:r>
        <w:t>; 294 小时，20 mA cm</w:t>
      </w:r>
      <w:r>
        <w:t xml:space="preserve"> </w:t>
      </w:r>
      <w:r>
        <w:t>−2</w:t>
      </w:r>
      <w:r>
        <w:t xml:space="preserve"> </w:t>
      </w:r>
      <w:r>
        <w:t>/20毫安时厘米</w:t>
      </w:r>
      <w:r>
        <w:t xml:space="preserve"> </w:t>
      </w:r>
      <w:r>
        <w:t>−2</w:t>
      </w:r>
    </w:p>
    <w:p>
      <w:pPr>
        <w:spacing w:before="0" w:after="200" w:lineRule="auto" w:line="276"/>
      </w:pPr>
      <w:r>
        <w:rPr>
          <w:b/>
        </w:rPr>
        <w:t xml:space="preserve">Abstract (EN): </w:t>
      </w:r>
      <w:r>
        <w:t>Solvation structure regulation plays crucial roles in stabilizing the Zn anode by suppressing dendrite and hydrogen evolution, but sluggish ion transport results in poor rate performance of the anode. In this study, we proposed an “anion regulation” strategy by introducing amphiphilic benzyl alcohol (BA) to the Zn(OTf)</w:t>
      </w:r>
      <w:r>
        <w:rPr>
          <w:vertAlign w:val="subscript"/>
        </w:rPr>
        <w:t>2</w:t>
      </w:r>
      <w:r>
        <w:t>electrolyte, which modulated the electrolyte microstructure and dual solvation structure. BA provided weak solvation ability with Zn</w:t>
      </w:r>
      <w:r>
        <w:t xml:space="preserve"> </w:t>
      </w:r>
      <w:r>
        <w:t>2+</w:t>
      </w:r>
      <w:r>
        <w:t xml:space="preserve"> </w:t>
      </w:r>
      <w:r>
        <w:t>and induced the Zn</w:t>
      </w:r>
      <w:r>
        <w:t xml:space="preserve"> </w:t>
      </w:r>
      <w:r>
        <w:t>2+</w:t>
      </w:r>
      <w:r>
        <w:t xml:space="preserve"> </w:t>
      </w:r>
      <w:r>
        <w:t>‐OTf–BA dual solvation structure by anion‐solvent interaction, which downsized the solvation clusters with improved microscopic uniformity, improving the Zn</w:t>
      </w:r>
      <w:r>
        <w:t xml:space="preserve"> </w:t>
      </w:r>
      <w:r>
        <w:t>2+</w:t>
      </w:r>
      <w:r>
        <w:t xml:space="preserve"> </w:t>
      </w:r>
      <w:r>
        <w:t>diffusion kinetics. Synergistic regulation on the first solvation shell was also achieved, where BA not only reduced the coordinated water but also weakened the Zn</w:t>
      </w:r>
      <w:r>
        <w:t xml:space="preserve"> </w:t>
      </w:r>
      <w:r>
        <w:t>2+</w:t>
      </w:r>
      <w:r>
        <w:t xml:space="preserve"> </w:t>
      </w:r>
      <w:r>
        <w:t>‐OTf</w:t>
      </w:r>
      <w:r>
        <w:t xml:space="preserve"> </w:t>
      </w:r>
      <w:r>
        <w:t>−</w:t>
      </w:r>
      <w:r>
        <w:t>interaction, accelerating the desolvation kinetics. Additionally, an inorganic‐rich solid electrolyte interphase was constructed by anion decomposition, favorable for interfacial stability. Consequently, the modulated electrolyte enabled the Zn anode with impressive rate performance (1500 h, 10 mA cm</w:t>
      </w:r>
      <w:r>
        <w:t xml:space="preserve"> </w:t>
      </w:r>
      <w:r>
        <w:t>−2</w:t>
      </w:r>
      <w:r>
        <w:t xml:space="preserve"> </w:t>
      </w:r>
      <w:r>
        <w:t>/10 mAh cm</w:t>
      </w:r>
      <w:r>
        <w:t xml:space="preserve"> </w:t>
      </w:r>
      <w:r>
        <w:t>−2</w:t>
      </w:r>
      <w:r>
        <w:t xml:space="preserve"> </w:t>
      </w:r>
      <w:r>
        <w:t>; 294 h, 20 mA cm</w:t>
      </w:r>
      <w:r>
        <w:t xml:space="preserve"> </w:t>
      </w:r>
      <w:r>
        <w:t>−2</w:t>
      </w:r>
      <w:r>
        <w:t xml:space="preserve"> </w:t>
      </w:r>
      <w:r>
        <w:t>/20 mAh cm</w:t>
      </w:r>
      <w:r>
        <w:t xml:space="preserve"> </w:t>
      </w:r>
      <w:r>
        <w:t>−2</w:t>
      </w:r>
      <w:r>
        <w:t xml:space="preserve"> </w:t>
      </w:r>
      <w:r>
        <w:t>) and superior stability at 85% utilization (260 h). The 1.2 Ah Zn‐NH</w:t>
      </w:r>
      <w:r>
        <w:rPr>
          <w:vertAlign w:val="subscript"/>
        </w:rPr>
        <w:t>4</w:t>
      </w:r>
      <w:r>
        <w:t>V</w:t>
      </w:r>
      <w:r>
        <w:rPr>
          <w:vertAlign w:val="subscript"/>
        </w:rPr>
        <w:t>4</w:t>
      </w:r>
      <w:r>
        <w:t>O</w:t>
      </w:r>
      <w:r>
        <w:rPr>
          <w:vertAlign w:val="subscript"/>
        </w:rPr>
        <w:t>10</w:t>
      </w:r>
      <w:r>
        <w:t>pouch cell also maintained cyclability (∼85.3% retention) over 200 cycles. This work provides a novel way of regulating the electrolyte microstructure to improve interfacial kinetics toward practical zinc‐ion batteries.</w:t>
      </w:r>
    </w:p>
    <w:p>
      <w:pPr>
        <w:spacing w:before="120" w:after="120"/>
      </w:pPr>
      <w:r>
        <w:rPr>
          <w:sz w:val="18"/>
        </w:rPr>
        <w:t>——————————————————————————————————————————————————————————————————————</w:t>
      </w:r>
    </w:p>
    <w:p>
      <w:pPr>
        <w:spacing w:before="160" w:after="40" w:line="240" w:lineRule="auto"/>
      </w:pPr>
      <w:r>
        <w:rPr>
          <w:b/>
        </w:rPr>
        <w:t xml:space="preserve">[19] </w:t>
      </w:r>
      <w:hyperlink r:id="rId143">
        <w:r>
          <w:rPr>
            <w:color w:val="1155CC"/>
            <w:u w:val="single"/>
          </w:rPr>
          <w:t>支持深度快速充电水系锌金属电池的界面场化学</w:t>
        </w:r>
      </w:hyperlink>
    </w:p>
    <w:p>
      <w:pPr>
        <w:spacing w:before="0" w:after="80"/>
      </w:pPr>
      <w:r>
        <w:rPr>
          <w:i/>
          <w:sz w:val="20"/>
        </w:rPr>
        <w:t>EN: Bolstered Interfacial Field Chemistry for Deep Fast-Charging Aqueous Zinc Metal Batteries</w:t>
      </w:r>
    </w:p>
    <w:p>
      <w:pPr>
        <w:spacing w:before="0" w:after="120"/>
      </w:pPr>
      <w:r>
        <w:rPr>
          <w:b/>
        </w:rPr>
        <w:t xml:space="preserve">Source: </w:t>
      </w:r>
      <w:r>
        <w:t>Nano-Micro Letters</w:t>
      </w:r>
      <w:r>
        <w:t xml:space="preserve">    </w:t>
      </w:r>
      <w:r>
        <w:rPr>
          <w:b/>
        </w:rPr>
        <w:t xml:space="preserve">Pub date: </w:t>
      </w:r>
      <w:r>
        <w:t>2026-07-29 00:00:00+00:00</w:t>
      </w:r>
      <w:r>
        <w:t xml:space="preserve">    </w:t>
      </w:r>
      <w:r>
        <w:rPr>
          <w:b/>
        </w:rPr>
        <w:t xml:space="preserve">DOI: </w:t>
      </w:r>
      <w:hyperlink r:id="rId144">
        <w:r>
          <w:rPr>
            <w:color w:val="1155CC"/>
            <w:u w:val="single"/>
          </w:rPr>
          <w:t>10.1007/s40820-026-02314-5</w:t>
        </w:r>
      </w:hyperlink>
    </w:p>
    <w:p>
      <w:pPr>
        <w:spacing w:before="0" w:after="120"/>
      </w:pPr>
      <w:r>
        <w:rPr>
          <w:b/>
        </w:rPr>
        <w:t xml:space="preserve">Notes: </w:t>
      </w:r>
      <w:r>
        <w:t>abstract_source=rss_description</w:t>
      </w:r>
    </w:p>
    <w:p>
      <w:pPr>
        <w:spacing w:before="0" w:after="80" w:lineRule="auto" w:line="276"/>
      </w:pPr>
      <w:r>
        <w:rPr>
          <w:b/>
        </w:rPr>
        <w:t xml:space="preserve">摘要（ZH）: </w:t>
      </w:r>
      <w:r>
        <w:t>深度快速充电能力已成为水系锌金属电池实际应用的核心追求，但高电流密度条件下电极/电解质界面上不利的界面场演化严重阻碍了它的发展。缓慢的Zn2+去溶剂化、竞争性H2O还原腐蚀、不均匀电场和浓度场的共存共同导致了较差的倍率性能。为了解决这些问题，通过磺基琥珀酸开发了一种增强的界面场化学策略，以精确调节亥姆霍兹平面内的物理化学和电化学特性。调谐的界面场包括均匀分布的界面离子和电场，促进快速去溶剂化和界面电子转移。因此，改进的 Zn||Cu 不对称电池在 2 mA cm−2 和 1 mAh cm−2 下经过 1600 次循环后，平均库仑效率达到 99.48%。此外，改进的Zn||Zn对称电池在5 mA cm−2、2 mAh cm−2（超过1600小时）和10 mA cm−2、10 mAh cm−2（超过675小时，放电深度= 17.08%）的挑战性条件下表现出优异的稳定性。令人印象深刻的是，在 10 mAh cm-2 和 56.93% 的锌利用率下获得了 3500 mAh cm-2 的实际累积容量。此外，增强型 Zn (10 µm) ||I2 (10.87 mg cm−2) 全电池在 1 A g−1 下可维持超过 1490 个循环，容量保持率为 77.13%，N/P 比为 2.31。值得注意的是，Zn (10 µm) ||I2 软包电池以 2.0 的超低 N/P 比实现了超过 680 个循环</w:t>
      </w:r>
    </w:p>
    <w:p>
      <w:pPr>
        <w:spacing w:before="0" w:after="200" w:lineRule="auto" w:line="276"/>
      </w:pPr>
      <w:r>
        <w:rPr>
          <w:b/>
        </w:rPr>
        <w:t xml:space="preserve">Abstract (EN): </w:t>
      </w:r>
      <w:r>
        <w:t>Deep fast-charging capability has become the core pursuit for practical applications of aqueous zinc metal batteries, yet it is critically impeded by unfavorable interfacial field evolution at the electrode/electrolyte interface under high-current–density conditions. The coexistence of sluggish Zn2+ desolvation, competitive H2O reduction corrosion, uneven electric field, and concentration field collectively leads to poor rate performance. To tackle these issues, a bolstered interfacial field chemistry strategy was developed via sulfosuccinic acid to precisely regulate the physicochemical and electrochemical properties within the inner Helmholtz plane. The tuned interfacial field comprises a homogeneous distribution of interfacial ions and electric fields, promoting fast desolvation and interfacial electron transfer. Consequently, the modified Zn||Cu asymmetric cells deliver an outstanding average Coulombic efficiency of 99.48% over 1600 cycles at 2 mA cm−2 and 1 mAh cm−2. Furthermore, the modified Zn||Zn symmetric cells demonstrate exceptional stability under challenging conditions of 5 mA cm−2, 2 mAh cm−2 (over 1600 h), and 10 mA cm−2, 10 mAh cm−2 (over 675 h, depth of discharge = 17.08%). Impressively, a substantial cumulative capacity of 3500 mAh cm−2 is attained at 10 mAh cm−2 and a 56.93% Zn utilization rate. Besides, the enhanced Zn (10 µm) ||I2 (10.87 mg cm−2) full cell sustains over 1490 cycles at 1 A g−1 with 77.13% capacity retention and a harsh N/P ratio of 2.31. Remarkably, the Zn (10 µm) ||I2 pouch cell achieves over 680 cycles with an ultralow N/P ratio of 2.04. Highlights:1 A sulfosuccinic acid-enabled interfacial field chemistry strategy is developed to regulate the inner Helmholtz plane, which homogenized ion/electric distribution, thus accelerating Zn2+ desolvation and charge transfer under high current density.2 This strategy enables superior reversibility and ultralong stability in Zn||Zn cells, simultaneously meeting the requirements of high current density and deep discharge.3 The optimized Zn (10 µm) ||I2 full cells deliver over 1490 cycles (N/P = 2.31) and 680 cycles in pouch cells (N/P = 2.04), respectively.</w:t>
      </w:r>
    </w:p>
    <w:p>
      <w:pPr>
        <w:spacing w:before="120" w:after="120"/>
      </w:pPr>
      <w:r>
        <w:rPr>
          <w:sz w:val="18"/>
        </w:rPr>
        <w:t>——————————————————————————————————————————————————————————————————————</w:t>
      </w:r>
    </w:p>
    <w:p>
      <w:pPr>
        <w:spacing w:before="160" w:after="40" w:line="240" w:lineRule="auto"/>
      </w:pPr>
      <w:r>
        <w:rPr>
          <w:b/>
        </w:rPr>
        <w:t xml:space="preserve">[20] </w:t>
      </w:r>
      <w:hyperlink r:id="rId145">
        <w:r>
          <w:rPr>
            <w:color w:val="1155CC"/>
            <w:u w:val="single"/>
          </w:rPr>
          <w:t>作者更正：用于固态电池的延展性固体电解质界面</w:t>
        </w:r>
      </w:hyperlink>
    </w:p>
    <w:p>
      <w:pPr>
        <w:spacing w:before="0" w:after="80"/>
      </w:pPr>
      <w:r>
        <w:rPr>
          <w:i/>
          <w:sz w:val="20"/>
        </w:rPr>
        <w:t>EN: Author Correction: A ductile solid electrolyte interphase for solid-state batteries</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46">
        <w:r>
          <w:rPr>
            <w:color w:val="1155CC"/>
            <w:u w:val="single"/>
          </w:rPr>
          <w:t>10.1038/s41586-026-10945-2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147">
        <w:r>
          <w:rPr>
            <w:color w:val="1155CC"/>
            <w:u w:val="single"/>
          </w:rPr>
          <w:t>用于储能和电致变色能源器件的聚合物电解质：从设计策略到多功能应用</w:t>
        </w:r>
      </w:hyperlink>
    </w:p>
    <w:p>
      <w:pPr>
        <w:spacing w:before="0" w:after="80"/>
      </w:pPr>
      <w:r>
        <w:rPr>
          <w:i/>
          <w:sz w:val="20"/>
        </w:rPr>
        <w:t>EN: Polymer Electrolytes for Energy Storage and Electrochromic Energy Devices: From Design Strategy to Multifunctional Applications</w:t>
      </w:r>
    </w:p>
    <w:p>
      <w:pPr>
        <w:spacing w:before="0" w:after="120"/>
      </w:pPr>
      <w:r>
        <w:rPr>
          <w:b/>
        </w:rPr>
        <w:t xml:space="preserve">Source: </w:t>
      </w:r>
      <w:r>
        <w:t>Wiley: Advanced Energy Materials: Table of Contents</w:t>
      </w:r>
      <w:r>
        <w:t xml:space="preserve">    </w:t>
      </w:r>
      <w:r>
        <w:rPr>
          <w:b/>
        </w:rPr>
        <w:t xml:space="preserve">Pub date: </w:t>
      </w:r>
      <w:r>
        <w:t>2026-07-29 06:01:11+00:00</w:t>
      </w:r>
      <w:r>
        <w:t xml:space="preserve">    </w:t>
      </w:r>
      <w:r>
        <w:rPr>
          <w:b/>
        </w:rPr>
        <w:t xml:space="preserve">DOI: </w:t>
      </w:r>
      <w:hyperlink r:id="rId148">
        <w:r>
          <w:rPr>
            <w:color w:val="1155CC"/>
            <w:u w:val="single"/>
          </w:rPr>
          <w:t>10.1002/aenm.71332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合物电解质是先进储能和电光器件的关键使能材料，因为它们在单一平台内将离子传输与界面稳定性、机械顺应性和操作安全性结合起来。虽然它们在电池和超级电容器中的作用已得到充分证实，但最近的进展已将其重要性扩展到多功能电致变色系统，包括电致变色超级电容器、电致变色电池和智能窗户，其中电化学操作与可逆光学调制直接耦合。这些系统施加了更严格的设计限制，需要同时控制离子电导率、电化学稳定性、光学透明度、切换均匀性、可加工性和环境耐久性。本综述通过定义聚合物电解质的核心功能、主要类别和控制设计变量，建立了传统储能装置中聚合物电解质的总体设计逻辑。代表性系统分为水凝胶、有机凝胶/离子凝胶和独立式固体或半固体电解质，强调聚合物化学、盐-溶剂相互作用、网络架构和处理策略如何控制器件级行为。本综述讨论了在电化学和光学耦合需求下如何在多功能电致变色系统中重新权衡这些变量。通过将电解质分类与设备相关的设计标准联系起来，这篇综述为聚合物电解质设计提供了一个可移植的框架</w:t>
      </w:r>
    </w:p>
    <w:p>
      <w:pPr>
        <w:spacing w:before="0" w:after="200" w:lineRule="auto" w:line="276"/>
      </w:pPr>
      <w:r>
        <w:rPr>
          <w:b/>
        </w:rPr>
        <w:t xml:space="preserve">Abstract (EN): </w:t>
      </w:r>
      <w:r>
        <w:t>Polymer electrolytes are key enabling materials for advanced energy‐storage and electro‐optical devices because they couple ion transport with interfacial stabilization, mechanical compliance, and operational safety within a single platform. While their roles in batteries and supercapacitors are well established, recent advances have extended their importance to multifunctional electrochromic systems, including electrochromic supercapacitors, electrochromic batteries, and smart windows, where electrochemical operation is directly coupled with reversible optical modulation. These systems impose tighter design constraints, requiring simultaneous control of ionic conductivity, electrochemical stability, optical transparency, switching uniformity, processability, and environmental durability. This review establishes the general design logic of polymer electrolytes in conventional energy‐storage devices by defining their core functions, major classes, and governing design variables. Representative systems are organized into hydrogels, organogels/ionogels, and free‐standing solid or semi‐solid electrolytes, highlighting how polymer chemistry, salt–solvent interactions, network architecture, and processing strategy govern device‐level behavior. This review discusses how these variables are reweighted in multifunctional electrochromic systems under coupled electrochemical and optical demands. By linking electrolyte classification with device‐dependent design criteria, this review provides a transferable framework for polymer‐electrolyte design across both conventional energy‐storage technologies and next‐generation electro‐optical systems.</w:t>
      </w:r>
    </w:p>
    <w:p>
      <w:pPr>
        <w:spacing w:before="120" w:after="120"/>
      </w:pPr>
      <w:r>
        <w:rPr>
          <w:sz w:val="18"/>
        </w:rPr>
        <w:t>——————————————————————————————————————————————————————————————————————</w:t>
      </w:r>
    </w:p>
    <w:p>
      <w:pPr>
        <w:spacing w:before="160" w:after="40" w:line="240" w:lineRule="auto"/>
      </w:pPr>
      <w:r>
        <w:rPr>
          <w:b/>
        </w:rPr>
        <w:t xml:space="preserve">[22] </w:t>
      </w:r>
      <w:hyperlink r:id="rId149">
        <w:r>
          <w:rPr>
            <w:color w:val="1155CC"/>
            <w:u w:val="single"/>
          </w:rPr>
          <w:t>通过细胞质重建用于 Ah 级水电池的鲁棒生物质水凝胶电解质</w:t>
        </w:r>
      </w:hyperlink>
    </w:p>
    <w:p>
      <w:pPr>
        <w:spacing w:before="0" w:after="80"/>
      </w:pPr>
      <w:r>
        <w:rPr>
          <w:i/>
          <w:sz w:val="20"/>
        </w:rPr>
        <w:t>EN: Robust Biomass Hydrogel Electrolyte via Cytoplasm Reconstruction for Ah‐Level Aqueous Batteries</w:t>
      </w:r>
    </w:p>
    <w:p>
      <w:pPr>
        <w:spacing w:before="0" w:after="120"/>
      </w:pPr>
      <w:r>
        <w:rPr>
          <w:b/>
        </w:rPr>
        <w:t xml:space="preserve">Source: </w:t>
      </w:r>
      <w:r>
        <w:t>Wiley: Advanced Materials: Table of Contents</w:t>
      </w:r>
      <w:r>
        <w:t xml:space="preserve">    </w:t>
      </w:r>
      <w:r>
        <w:rPr>
          <w:b/>
        </w:rPr>
        <w:t xml:space="preserve">Pub date: </w:t>
      </w:r>
      <w:r>
        <w:t>2026-07-29 06:40:36+00:00</w:t>
      </w:r>
      <w:r>
        <w:t xml:space="preserve">    </w:t>
      </w:r>
      <w:r>
        <w:rPr>
          <w:b/>
        </w:rPr>
        <w:t xml:space="preserve">DOI: </w:t>
      </w:r>
      <w:hyperlink r:id="rId150">
        <w:r>
          <w:rPr>
            <w:color w:val="1155CC"/>
            <w:u w:val="single"/>
          </w:rPr>
          <w:t>10.1002/adma.74309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开发可持续且经济的生物质水凝胶电解质是非常有必要的，但固态水电池面临着重大挑战。在此，我们提出了生物质细胞质重建策略，并开发了一种生物质水凝胶电解质，其机械强度高达 11.6 MPa，离子电导率高达 20.27 mS cm</w:t>
      </w:r>
      <w:r>
        <w:t xml:space="preserve"> </w:t>
      </w:r>
      <w:r>
        <w:t>−1</w:t>
      </w:r>
      <w:r>
        <w:t xml:space="preserve"> </w:t>
      </w:r>
      <w:r>
        <w:t>，超高扩散系数1.4×10</w:t>
      </w:r>
      <w:r>
        <w:t xml:space="preserve"> </w:t>
      </w:r>
      <w:r>
        <w:t>−5</w:t>
      </w:r>
      <w:r>
        <w:t xml:space="preserve"> </w:t>
      </w:r>
      <w:r>
        <w:t>厘米</w:t>
      </w:r>
      <w:r>
        <w:rPr>
          <w:vertAlign w:val="subscript"/>
        </w:rPr>
        <w:t>2</w:t>
      </w:r>
      <w:r>
        <w:t>s</w:t>
      </w:r>
      <w:r>
        <w:t xml:space="preserve"> </w:t>
      </w:r>
      <w:r>
        <w:t>−1</w:t>
      </w:r>
      <w:r>
        <w:t xml:space="preserve"> </w:t>
      </w:r>
      <w:r>
        <w:t>，其中水凝胶电解质是通过简便且节能的盐水技术制造的。天然生物质在水性电解质中的盐渍维持了自支撑的细胞壁框架，但原位诱导多糖/蛋白质细胞质重建以获得离子通道。作为概念证明，海带基水凝胶电解质赋予锌金属电池 100 mA cm 的高电流放电能力</w:t>
      </w:r>
      <w:r>
        <w:t xml:space="preserve"> </w:t>
      </w:r>
      <w:r>
        <w:t>−2</w:t>
      </w:r>
      <w:r>
        <w:t xml:space="preserve"> </w:t>
      </w:r>
      <w:r>
        <w:t>、-60°C至80°C的超宽工作温度、Ah级软包电池400次循环的稳定循环寿命，以及集成光伏电池储能系统的实际验证。生物质细胞质重构概念也通过铝金属电池得到验证，验证了其普适性，使生物质水凝胶电解质与石油基水凝胶电解质相比，成本降低三倍，并具有显着的可持续性优势</w:t>
      </w:r>
    </w:p>
    <w:p>
      <w:pPr>
        <w:spacing w:before="0" w:after="200" w:lineRule="auto" w:line="276"/>
      </w:pPr>
      <w:r>
        <w:rPr>
          <w:b/>
        </w:rPr>
        <w:t xml:space="preserve">Abstract (EN): </w:t>
      </w:r>
      <w:r>
        <w:t>Developing sustainable and economic biomass hydrogel electrolyte is highly desired but confronts significant challenges for solid‐state aqueous batteries. Herein, we propose biomass‐cytoplasm reconstruction strategy and develop a type of biomass hydrogel electrolyte with robust mechanical strength of 11.6 MPa, high ion conductivity of 20.27 mS cm</w:t>
      </w:r>
      <w:r>
        <w:t xml:space="preserve"> </w:t>
      </w:r>
      <w:r>
        <w:t>−1</w:t>
      </w:r>
      <w:r>
        <w:t xml:space="preserve"> </w:t>
      </w:r>
      <w:r>
        <w:t>, and ultrahigh diffusion coefficient of 1.4 × 10</w:t>
      </w:r>
      <w:r>
        <w:t xml:space="preserve"> </w:t>
      </w:r>
      <w:r>
        <w:t>−5</w:t>
      </w:r>
      <w:r>
        <w:t xml:space="preserve"> </w:t>
      </w:r>
      <w:r>
        <w:t>cm</w:t>
      </w:r>
      <w:r>
        <w:rPr>
          <w:vertAlign w:val="subscript"/>
        </w:rPr>
        <w:t>2</w:t>
      </w:r>
      <w:r>
        <w:t>s</w:t>
      </w:r>
      <w:r>
        <w:t xml:space="preserve"> </w:t>
      </w:r>
      <w:r>
        <w:t>−1</w:t>
      </w:r>
      <w:r>
        <w:t xml:space="preserve"> </w:t>
      </w:r>
      <w:r>
        <w:t>, where hydrogel electrolyte is fabricated by the facile and energy‐efficiency brining technique. The brining of natural biomass in aqueous electrolytes maintains the self‐supported cytoderm framework but in situ induce polysaccharide/protein cytoplasm reconstruction to acquire ion channels. As a proof of concept, kombu‐based hydrogel electrolyte endows zinc metal batteries with the high current discharge ability of 100 mA cm</w:t>
      </w:r>
      <w:r>
        <w:t xml:space="preserve"> </w:t>
      </w:r>
      <w:r>
        <w:t>−2</w:t>
      </w:r>
      <w:r>
        <w:t xml:space="preserve"> </w:t>
      </w:r>
      <w:r>
        <w:t>, the ultra‐wide working temperature from −60°C to 80°C, and the stable cycling‐life of 400 cycles for Ah‐level pouch batteries, as well as the practical verification of the integrated photovoltaic‐battery energy storage systems. Biomass‐cytoplasm reconstruction concept is also demonstrated by aluminum metal batteries to verify the universality, and endow biomass hydrogel electrolyte with threefold cost reductions and notable sustainability advantages compared with petroleum‐based hydrogel electrolyte. This work not only provides a new prototype to design high‐performance hydrogel electrolyte for aqueous batteries but also realizes green and sustainable development.</w:t>
      </w:r>
    </w:p>
    <w:p>
      <w:pPr>
        <w:spacing w:before="120" w:after="120"/>
      </w:pPr>
      <w:r>
        <w:rPr>
          <w:sz w:val="18"/>
        </w:rPr>
        <w:t>——————————————————————————————————————————————————————————————————————</w:t>
      </w:r>
    </w:p>
    <w:p>
      <w:pPr>
        <w:spacing w:before="160" w:after="40" w:line="240" w:lineRule="auto"/>
      </w:pPr>
      <w:r>
        <w:rPr>
          <w:b/>
        </w:rPr>
        <w:t xml:space="preserve">[23] </w:t>
      </w:r>
      <w:hyperlink r:id="rId151">
        <w:r>
          <w:rPr>
            <w:color w:val="1155CC"/>
            <w:u w:val="single"/>
          </w:rPr>
          <w:t>网络锚定纳米笼为零下水性锌电池产生弱溶剂电解质</w:t>
        </w:r>
      </w:hyperlink>
    </w:p>
    <w:p>
      <w:pPr>
        <w:spacing w:before="0" w:after="80"/>
      </w:pPr>
      <w:r>
        <w:rPr>
          <w:i/>
          <w:sz w:val="20"/>
        </w:rPr>
        <w:t>EN: Network‐Anchored Nanocages Create Weakly Solvating Electrolytes for Subzero Aqueous Zinc Batteries</w:t>
      </w:r>
    </w:p>
    <w:p>
      <w:pPr>
        <w:spacing w:before="0" w:after="120"/>
      </w:pPr>
      <w:r>
        <w:rPr>
          <w:b/>
        </w:rPr>
        <w:t xml:space="preserve">Source: </w:t>
      </w:r>
      <w:r>
        <w:t>Wiley: Angewandte Chemie International Edition: Table of Contents</w:t>
      </w:r>
      <w:r>
        <w:t xml:space="preserve">    </w:t>
      </w:r>
      <w:r>
        <w:rPr>
          <w:b/>
        </w:rPr>
        <w:t xml:space="preserve">Pub date: </w:t>
      </w:r>
      <w:r>
        <w:t>2026-07-29 11:52:31+00:00</w:t>
      </w:r>
      <w:r>
        <w:t xml:space="preserve">    </w:t>
      </w:r>
      <w:r>
        <w:rPr>
          <w:b/>
        </w:rPr>
        <w:t xml:space="preserve">DOI: </w:t>
      </w:r>
      <w:hyperlink r:id="rId152">
        <w:r>
          <w:rPr>
            <w:color w:val="1155CC"/>
            <w:u w:val="single"/>
          </w:rPr>
          <w:t>10.1002/anie.9405074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电池的低温运行从根本上受到电解质冻结和源自强离子溶剂相互作用的缓慢界面动力学的限制。在这里，我们报告了一种由网络锚定氟化锆基金属有机多面体（MOP）实现的空间调节弱溶剂化水凝胶电解质。刚性、疏水性纳米笼结构同时锚定锌</w:t>
      </w:r>
      <w:r>
        <w:t xml:space="preserve"> </w:t>
      </w:r>
      <w:r>
        <w:t>2+</w:t>
      </w:r>
      <w:r>
        <w:t xml:space="preserve"> </w:t>
      </w:r>
      <w:r>
        <w:t>通过配位和空间排除活性水分子，从而稀释局部静电场，降低去溶剂化势垒，并破坏扩展的氢键网络以抑制冰结晶。结果，Zn||Zn 对称电池在-40°C 下稳定循环超过 3700 小时，而 Zn||MnHCF 全电池可提供 65.8 mAh g</w:t>
      </w:r>
      <w:r>
        <w:t xml:space="preserve"> </w:t>
      </w:r>
      <w:r>
        <w:t>−1</w:t>
      </w:r>
      <w:r>
        <w:t xml:space="preserve"> </w:t>
      </w:r>
      <w:r>
        <w:t>-20°C 350次循环后容量保持率为82%，仍保持24.6 mAh g</w:t>
      </w:r>
      <w:r>
        <w:t xml:space="preserve"> </w:t>
      </w:r>
      <w:r>
        <w:t>−1</w:t>
      </w:r>
      <w:r>
        <w:t xml:space="preserve"> </w:t>
      </w:r>
      <w:r>
        <w:t>在-40°C。光谱、电化学和理论分析表明，Zr 基 MOP 重建了 Zn</w:t>
      </w:r>
      <w:r>
        <w:t xml:space="preserve"> </w:t>
      </w:r>
      <w:r>
        <w:t>2+</w:t>
      </w:r>
      <w:r>
        <w:t xml:space="preserve"> </w:t>
      </w:r>
      <w:r>
        <w:t>溶剂化壳形成空间扩展的弱结合结构，加速电荷转移并抑制寄生反应。这项工作建立了一种用于设计弱溶剂化电解质的空间结构设计范例，为在极低温条件下运行的水系电池提供了稳健的策略。</w:t>
      </w:r>
    </w:p>
    <w:p>
      <w:pPr>
        <w:spacing w:before="0" w:after="200" w:lineRule="auto" w:line="276"/>
      </w:pPr>
      <w:r>
        <w:rPr>
          <w:b/>
        </w:rPr>
        <w:t xml:space="preserve">Abstract (EN): </w:t>
      </w:r>
      <w:r>
        <w:t>Low‐temperature operation of aqueous zinc batteries is fundamentally limited by electrolyte freezing and sluggish interfacial kinetics, originating from strong ion‐solvent interactions. Here, we report a steric‐regulated weakly solvating hydrogel electrolyte enabled by network‐anchored fluorinated Zr‐based metal–organic polyhedra (MOPs). The rigid, hydrophobic nanocage architecture simultaneously anchors Zn</w:t>
      </w:r>
      <w:r>
        <w:t xml:space="preserve"> </w:t>
      </w:r>
      <w:r>
        <w:t>2+</w:t>
      </w:r>
      <w:r>
        <w:t xml:space="preserve"> </w:t>
      </w:r>
      <w:r>
        <w:t>through coordination and sterically excludes active water molecules, thereby diluting the local electrostatic field, lowering the desolvation barrier, and disrupting extended hydrogen‐bond networks to suppress ice crystallization. As a result, Zn||Zn symmetric cells cycle stably for over 3700 h at −40°C, while Zn||MnHCF full cells deliver 65.8 mAh g</w:t>
      </w:r>
      <w:r>
        <w:t xml:space="preserve"> </w:t>
      </w:r>
      <w:r>
        <w:t>−1</w:t>
      </w:r>
      <w:r>
        <w:t xml:space="preserve"> </w:t>
      </w:r>
      <w:r>
        <w:t>at −20°C with 82% capacity retention after 350 cycles, and still maintain 24.6 mAh g</w:t>
      </w:r>
      <w:r>
        <w:t xml:space="preserve"> </w:t>
      </w:r>
      <w:r>
        <w:t>−1</w:t>
      </w:r>
      <w:r>
        <w:t xml:space="preserve"> </w:t>
      </w:r>
      <w:r>
        <w:t>at −40°C. Spectroscopic, electrochemical, and theoretical analyses reveal that Zr‐based MOPs reconstruct the Zn</w:t>
      </w:r>
      <w:r>
        <w:t xml:space="preserve"> </w:t>
      </w:r>
      <w:r>
        <w:t>2+</w:t>
      </w:r>
      <w:r>
        <w:t xml:space="preserve"> </w:t>
      </w:r>
      <w:r>
        <w:t>solvation shell into a spatially expanded, weakly bound structure that accelerates charge transfer and suppresses parasitic reactions. This work establishes a steric‐architecture design paradigm for engineering weakly solvating electrolytes, offering a robust strategy for aqueous batteries operating under extreme low‐temperature conditions.</w:t>
      </w:r>
    </w:p>
    <w:p>
      <w:pPr>
        <w:spacing w:before="120" w:after="120"/>
      </w:pPr>
      <w:r>
        <w:rPr>
          <w:sz w:val="18"/>
        </w:rPr>
        <w:t>——————————————————————————————————————————————————————————————————————</w:t>
      </w:r>
    </w:p>
    <w:p>
      <w:pPr>
        <w:spacing w:before="160" w:after="40" w:line="240" w:lineRule="auto"/>
      </w:pPr>
      <w:r>
        <w:rPr>
          <w:b/>
        </w:rPr>
        <w:t xml:space="preserve">[24] </w:t>
      </w:r>
      <w:hyperlink r:id="rId125">
        <w:r>
          <w:rPr>
            <w:color w:val="1155CC"/>
            <w:u w:val="single"/>
          </w:rPr>
          <w:t>通过局部高浓度电解质中的界面构象熵调制解锁硬碳中的高速率钠存储</w:t>
        </w:r>
      </w:hyperlink>
    </w:p>
    <w:p>
      <w:pPr>
        <w:spacing w:before="0" w:after="80"/>
      </w:pPr>
      <w:r>
        <w:rPr>
          <w:i/>
          <w:sz w:val="20"/>
        </w:rPr>
        <w:t>EN: Unlocking High‐Rate Sodium Storage in Hard Carbon via Interfacial Conformation Entropy Modulation in Localized High‐Concentration Electrolytes</w:t>
      </w:r>
    </w:p>
    <w:p>
      <w:pPr>
        <w:spacing w:before="0" w:after="120"/>
      </w:pPr>
      <w:r>
        <w:rPr>
          <w:b/>
        </w:rPr>
        <w:t xml:space="preserve">Source: </w:t>
      </w:r>
      <w:r>
        <w:t>Wiley: Angewandte Chemie International Edition: Table of Contents</w:t>
      </w:r>
      <w:r>
        <w:t xml:space="preserve">    </w:t>
      </w:r>
      <w:r>
        <w:rPr>
          <w:b/>
        </w:rPr>
        <w:t xml:space="preserve">Pub date: </w:t>
      </w:r>
      <w:r>
        <w:t>2026-07-29 12:00:11+00:00</w:t>
      </w:r>
      <w:r>
        <w:t xml:space="preserve">    </w:t>
      </w:r>
      <w:r>
        <w:rPr>
          <w:b/>
        </w:rPr>
        <w:t xml:space="preserve">DOI: </w:t>
      </w:r>
      <w:hyperlink r:id="rId126">
        <w:r>
          <w:rPr>
            <w:color w:val="1155CC"/>
            <w:u w:val="single"/>
          </w:rPr>
          <w:t>10.1002/anie.8176173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醚基电解质因其良好的界面润湿性和本质上较低的溶剂化能而广泛应用于以硬碳（HC）阳极为特色的钠离子电池（SIB）中。尽管如此，传统的NaPF</w:t>
      </w:r>
      <w:r>
        <w:rPr>
          <w:vertAlign w:val="subscript"/>
        </w:rPr>
        <w:t>6</w:t>
      </w:r>
      <w:r>
        <w:t>基于网络的系统仍然受到有限的初始库仑效率、次优倍率能力和低温离子传输不足的阻碍。这里引入界面构象熵的概念（</w:t>
      </w:r>
      <w:r>
        <w:t xml:space="preserve"> </w:t>
      </w:r>
      <w:r>
        <w:t>S</w:t>
      </w:r>
      <w:r>
        <w:t xml:space="preserve"> </w:t>
      </w:r>
      <w:r>
        <w:t>ICE</w:t>
      </w:r>
      <w:r>
        <w:t xml:space="preserve"> </w:t>
      </w:r>
      <w:r>
        <w:t>）作为机械描述符被引入，以捕获溶剂化鞘的可重构性及其对 Na 的影响</w:t>
      </w:r>
      <w:r>
        <w:t xml:space="preserve"> </w:t>
      </w:r>
      <w:r>
        <w:t>+</w:t>
      </w:r>
      <w:r>
        <w:t xml:space="preserve"> </w:t>
      </w:r>
      <w:r>
        <w:t>去溶剂化和界面迁移。为了验证这一概念，通过将 10 vol% 1,4-二恶烷 (14DX)（一种空间位阻弱配位环醚）加入 1 M NaPF 中配制了局部高浓度电解质 (LHCE)</w:t>
      </w:r>
      <w:r>
        <w:rPr>
          <w:vertAlign w:val="subscript"/>
        </w:rPr>
        <w:t>6</w:t>
      </w:r>
      <w:r>
        <w:t>溶于二甘醇二甲醚 (DEGDME)。这种定制的溶剂化微环境增强了</w:t>
      </w:r>
      <w:r>
        <w:t xml:space="preserve"> </w:t>
      </w:r>
      <w:r>
        <w:t>S</w:t>
      </w:r>
      <w:r>
        <w:t xml:space="preserve"> </w:t>
      </w:r>
      <w:r>
        <w:t>ICE</w:t>
      </w:r>
      <w:r>
        <w:t xml:space="preserve"> </w:t>
      </w:r>
      <w:r>
        <w:t>有效地实现溶剂构象灵活性，加速 Na</w:t>
      </w:r>
      <w:r>
        <w:t xml:space="preserve"> </w:t>
      </w:r>
      <w:r>
        <w:t>+</w:t>
      </w:r>
      <w:r>
        <w:t xml:space="preserve"> </w:t>
      </w:r>
      <w:r>
        <w:t>去溶剂化并指导形成高导电性、机械坚固的界面相。因此，HC|Na 电池具有超快充电耐久性，并保持 154.28 mAh g 的可逆容量</w:t>
      </w:r>
      <w:r>
        <w:t xml:space="preserve"> </w:t>
      </w:r>
      <w:r>
        <w:t>−1</w:t>
      </w:r>
      <w:r>
        <w:t xml:space="preserve"> </w:t>
      </w:r>
      <w:r>
        <w:t>9000 CY之后</w:t>
      </w:r>
    </w:p>
    <w:p>
      <w:pPr>
        <w:spacing w:before="0" w:after="200" w:lineRule="auto" w:line="276"/>
      </w:pPr>
      <w:r>
        <w:rPr>
          <w:b/>
        </w:rPr>
        <w:t xml:space="preserve">Abstract (EN): </w:t>
      </w:r>
      <w:r>
        <w:t>Ether‐based electrolytes are extensively employed in sodium‐ion batteries (SIBs) featuring hard carbon (HC) anodes, owing to their favorable interfacial wettability and intrinsically low solvation energy. Nevertheless, conventional NaPF</w:t>
      </w:r>
      <w:r>
        <w:rPr>
          <w:vertAlign w:val="subscript"/>
        </w:rPr>
        <w:t>6</w:t>
      </w:r>
      <w:r>
        <w:t>‐based systems are still hindered by limited initial Coulombic efficiency, suboptimal rate capability, and inadequate low‐temperature ion transport. Here, the concept of interfacial conformation entropy (</w:t>
      </w:r>
      <w:r>
        <w:t xml:space="preserve"> </w:t>
      </w:r>
      <w:r>
        <w:t>S</w:t>
      </w:r>
      <w:r>
        <w:t xml:space="preserve"> </w:t>
      </w:r>
      <w:r>
        <w:t>ICE</w:t>
      </w:r>
      <w:r>
        <w:t xml:space="preserve"> </w:t>
      </w:r>
      <w:r>
        <w:t>) is introduced as a mechanistic descriptor to capture the reconfigurability of solvation sheath and its influence on Na</w:t>
      </w:r>
      <w:r>
        <w:t xml:space="preserve"> </w:t>
      </w:r>
      <w:r>
        <w:t>+</w:t>
      </w:r>
      <w:r>
        <w:t xml:space="preserve"> </w:t>
      </w:r>
      <w:r>
        <w:t>desolvation and interfacial migration. To validate this concept, a locally high‐concentration electrolyte (LHCE) is formulated by incorporating 10 vol% 1,4‐dioxane (14DX), a sterically hindered and weakly coordinating cyclic ether, into 1 M NaPF</w:t>
      </w:r>
      <w:r>
        <w:rPr>
          <w:vertAlign w:val="subscript"/>
        </w:rPr>
        <w:t>6</w:t>
      </w:r>
      <w:r>
        <w:t>in diethylene glycol dimethyl ether (DEGDME). This tailored solvation microenvironment enhances</w:t>
      </w:r>
      <w:r>
        <w:t xml:space="preserve"> </w:t>
      </w:r>
      <w:r>
        <w:t>S</w:t>
      </w:r>
      <w:r>
        <w:t xml:space="preserve"> </w:t>
      </w:r>
      <w:r>
        <w:t>ICE</w:t>
      </w:r>
      <w:r>
        <w:t xml:space="preserve"> </w:t>
      </w:r>
      <w:r>
        <w:t>effectively, enabling solvent conformational flexibility that accelerates Na</w:t>
      </w:r>
      <w:r>
        <w:t xml:space="preserve"> </w:t>
      </w:r>
      <w:r>
        <w:t>+</w:t>
      </w:r>
      <w:r>
        <w:t xml:space="preserve"> </w:t>
      </w:r>
      <w:r>
        <w:t>desolvation and directs the formation of a highly conductive, mechanically robust interphase. Consequently, the HC|Na cell delivers ultrafast‐charging durability and maintains a reversible capacity of 154.28 mAh g</w:t>
      </w:r>
      <w:r>
        <w:t xml:space="preserve"> </w:t>
      </w:r>
      <w:r>
        <w:t>−1</w:t>
      </w:r>
      <w:r>
        <w:t xml:space="preserve"> </w:t>
      </w:r>
      <w:r>
        <w:t>after 9000 cycles at 10C with a capacity retention as high as 89.46%. Simultaneously, an Ah‐level NVP|HC pouch cell further substantiates the practical viability of this strategy. These findings highlight</w:t>
      </w:r>
      <w:r>
        <w:t xml:space="preserve"> </w:t>
      </w:r>
      <w:r>
        <w:t>S</w:t>
      </w:r>
      <w:r>
        <w:t xml:space="preserve"> </w:t>
      </w:r>
      <w:r>
        <w:t>ICE</w:t>
      </w:r>
      <w:r>
        <w:t xml:space="preserve"> </w:t>
      </w:r>
      <w:r>
        <w:t>as a powerful paradigm for the rational design of high‐rate SIB electrolytes.</w:t>
      </w:r>
    </w:p>
    <w:p>
      <w:pPr>
        <w:spacing w:before="120" w:after="120"/>
      </w:pPr>
      <w:r>
        <w:rPr>
          <w:sz w:val="18"/>
        </w:rPr>
        <w:t>——————————————————————————————————————————————————————————————————————</w:t>
      </w:r>
    </w:p>
    <w:p>
      <w:pPr>
        <w:spacing w:before="160" w:after="40" w:line="240" w:lineRule="auto"/>
      </w:pPr>
      <w:r>
        <w:rPr>
          <w:b/>
        </w:rPr>
        <w:t xml:space="preserve">[25] </w:t>
      </w:r>
      <w:hyperlink r:id="rId94">
        <w:r>
          <w:rPr>
            <w:color w:val="1155CC"/>
            <w:u w:val="single"/>
          </w:rPr>
          <w:t>立体电子增材工程实现高压高温锂金属电池的溶剂化调节和双界面稳定</w:t>
        </w:r>
      </w:hyperlink>
    </w:p>
    <w:p>
      <w:pPr>
        <w:spacing w:before="0" w:after="80"/>
      </w:pPr>
      <w:r>
        <w:rPr>
          <w:i/>
          <w:sz w:val="20"/>
        </w:rPr>
        <w:t>EN: Stereoelectronic Additive Engineering Enables Solvation Regulation and Dual‐Interphase Stabilization for High‐Voltage and High‐Temperature Lithium Metal Batteries</w:t>
      </w:r>
    </w:p>
    <w:p>
      <w:pPr>
        <w:spacing w:before="0" w:after="120"/>
      </w:pPr>
      <w:r>
        <w:rPr>
          <w:b/>
        </w:rPr>
        <w:t xml:space="preserve">Source: </w:t>
      </w:r>
      <w:r>
        <w:t>Wiley: Advanced Energy Materials: Table of Contents</w:t>
      </w:r>
      <w:r>
        <w:t xml:space="preserve">    </w:t>
      </w:r>
      <w:r>
        <w:rPr>
          <w:b/>
        </w:rPr>
        <w:t xml:space="preserve">Pub date: </w:t>
      </w:r>
      <w:r>
        <w:t>2026-07-30 05:55:07+00:00</w:t>
      </w:r>
      <w:r>
        <w:t xml:space="preserve">    </w:t>
      </w:r>
      <w:r>
        <w:rPr>
          <w:b/>
        </w:rPr>
        <w:t xml:space="preserve">DOI: </w:t>
      </w:r>
      <w:hyperlink r:id="rId95">
        <w:r>
          <w:rPr>
            <w:color w:val="1155CC"/>
            <w:u w:val="single"/>
          </w:rPr>
          <w:t>10.1002/aenm.71359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高压锂金属电池（LMB）的锂不稳定</w:t>
      </w:r>
      <w:r>
        <w:t xml:space="preserve"> </w:t>
      </w:r>
      <w:r>
        <w:t>+</w:t>
      </w:r>
      <w:r>
        <w:t xml:space="preserve"> </w:t>
      </w:r>
      <w:r>
        <w:t>溶剂化和脆弱的电极/电解质界面，特别是在高温下。在这里，二氟三甲基硅烷基乙酸乙酯（DTAE）被引入作为传统碳酸酯电解质的立体电子工程添加剂来调节Li</w:t>
      </w:r>
      <w:r>
        <w:t xml:space="preserve"> </w:t>
      </w:r>
      <w:r>
        <w:t>+</w:t>
      </w:r>
      <w:r>
        <w:t xml:space="preserve"> </w:t>
      </w:r>
      <w:r>
        <w:t>溶剂化并稳定阴极和阳极界面。 ─Si(CH</w:t>
      </w:r>
      <w:r>
        <w:rPr>
          <w:vertAlign w:val="subscript"/>
        </w:rPr>
        <w:t>3</w:t>
      </w:r>
      <w:r>
        <w:t>）</w:t>
      </w:r>
      <w:r>
        <w:rPr>
          <w:vertAlign w:val="subscript"/>
        </w:rPr>
        <w:t>3</w:t>
      </w:r>
      <w:r>
        <w:t>和─CF</w:t>
      </w:r>
      <w:r>
        <w:rPr>
          <w:vertAlign w:val="subscript"/>
        </w:rPr>
        <w:t>2</w:t>
      </w:r>
      <w:r>
        <w:t>─ 同一碳中心上的基团削弱了Li</w:t>
      </w:r>
      <w:r>
        <w:t xml:space="preserve"> </w:t>
      </w:r>
      <w:r>
        <w:t>+</w:t>
      </w:r>
      <w:r>
        <w:t xml:space="preserve"> </w:t>
      </w:r>
      <w:r>
        <w:t>–羰基配位，促进阴离子参与初级溶剂化鞘，并促进Li</w:t>
      </w:r>
      <w:r>
        <w:t xml:space="preserve"> </w:t>
      </w:r>
      <w:r>
        <w:t>+</w:t>
      </w:r>
      <w:r>
        <w:t xml:space="preserve"> </w:t>
      </w:r>
      <w:r>
        <w:t>去溶剂化。同时，DTAE 清除 HF 并有助于在 LiNi 上形成坚固的 LiF/Si─O 富界面相。</w:t>
      </w:r>
      <w:r>
        <w:t xml:space="preserve"> </w:t>
      </w:r>
      <w:r>
        <w:t>0.8</w:t>
      </w:r>
      <w:r>
        <w:t xml:space="preserve"> </w:t>
      </w:r>
      <w:r>
        <w:t>钴</w:t>
      </w:r>
      <w:r>
        <w:t xml:space="preserve"> </w:t>
      </w:r>
      <w:r>
        <w:t>0.1</w:t>
      </w:r>
      <w:r>
        <w:t xml:space="preserve"> </w:t>
      </w:r>
      <w:r>
        <w:t>锰</w:t>
      </w:r>
      <w:r>
        <w:t xml:space="preserve"> </w:t>
      </w:r>
      <w:r>
        <w:t>0.1</w:t>
      </w:r>
      <w:r>
        <w:t xml:space="preserve"> </w:t>
      </w:r>
      <w:r>
        <w:t>氧</w:t>
      </w:r>
      <w:r>
        <w:rPr>
          <w:vertAlign w:val="subscript"/>
        </w:rPr>
        <w:t>2</w:t>
      </w:r>
      <w:r>
        <w:t>（NCM811）阴极和锂金属阳极。结果，过渡金属溶解、阴极表面降解和异质锂沉积得到有效抑制，从而改善了恶劣条件下的界面动力学和电化学稳定性。 Li||NCM811 电池在 4.6 V 和 82.32% 下循环 330 次后容量保持率达到 82.91%</w:t>
      </w:r>
    </w:p>
    <w:p>
      <w:pPr>
        <w:spacing w:before="0" w:after="200" w:lineRule="auto" w:line="276"/>
      </w:pPr>
      <w:r>
        <w:rPr>
          <w:b/>
        </w:rPr>
        <w:t xml:space="preserve">Abstract (EN): </w:t>
      </w:r>
      <w:r>
        <w:t>High‐voltage lithium metal batteries (LMBs) suffer from unstable Li</w:t>
      </w:r>
      <w:r>
        <w:t xml:space="preserve"> </w:t>
      </w:r>
      <w:r>
        <w:t>+</w:t>
      </w:r>
      <w:r>
        <w:t xml:space="preserve"> </w:t>
      </w:r>
      <w:r>
        <w:t>solvation and fragile electrode/electrolyte interphases, especially at elevated temperatures. Here, difluorotrimethylsilanylacetic acid ethyl ester (DTAE) is introduced as a stereoelectronically engineered additive for conventional carbonate electrolytes to regulate Li</w:t>
      </w:r>
      <w:r>
        <w:t xml:space="preserve"> </w:t>
      </w:r>
      <w:r>
        <w:t>+</w:t>
      </w:r>
      <w:r>
        <w:t xml:space="preserve"> </w:t>
      </w:r>
      <w:r>
        <w:t>solvation and stabilize both cathode and anode interphases. The push–pull effect of the ─Si(CH</w:t>
      </w:r>
      <w:r>
        <w:rPr>
          <w:vertAlign w:val="subscript"/>
        </w:rPr>
        <w:t>3</w:t>
      </w:r>
      <w:r>
        <w:t>)</w:t>
      </w:r>
      <w:r>
        <w:rPr>
          <w:vertAlign w:val="subscript"/>
        </w:rPr>
        <w:t>3</w:t>
      </w:r>
      <w:r>
        <w:t>and ─CF</w:t>
      </w:r>
      <w:r>
        <w:rPr>
          <w:vertAlign w:val="subscript"/>
        </w:rPr>
        <w:t>2</w:t>
      </w:r>
      <w:r>
        <w:t>─ groups on the same carbon center weakens Li</w:t>
      </w:r>
      <w:r>
        <w:t xml:space="preserve"> </w:t>
      </w:r>
      <w:r>
        <w:t>+</w:t>
      </w:r>
      <w:r>
        <w:t xml:space="preserve"> </w:t>
      </w:r>
      <w:r>
        <w:t>–carbonyl coordination, promotes anion involvement in the primary solvation sheath, and facilitates Li</w:t>
      </w:r>
      <w:r>
        <w:t xml:space="preserve"> </w:t>
      </w:r>
      <w:r>
        <w:t>+</w:t>
      </w:r>
      <w:r>
        <w:t xml:space="preserve"> </w:t>
      </w:r>
      <w:r>
        <w:t>desolvation. Meanwhile, DTAE scavenges HF and contributes to the formation of robust LiF/Si─O‐rich interphases on both the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(NCM811) cathode and Li metal anode. As a result, transition‐metal dissolution, cathode surface degradation, and heterogeneous lithium deposition are effectively suppressed, leading to improved interfacial kinetics and electrochemical stability under harsh conditions. Li||NCM811 cells achieve 82.91% capacity retention after 330 cycles at 4.6 V and 82.32% after 250 cycles at 60°C and 4.5 V. In addition, a 5 Ah pouch cell with an energy density of 415 Wh kg</w:t>
      </w:r>
      <w:r>
        <w:t xml:space="preserve"> </w:t>
      </w:r>
      <w:r>
        <w:t>−1</w:t>
      </w:r>
      <w:r>
        <w:t xml:space="preserve"> </w:t>
      </w:r>
      <w:r>
        <w:t>retains 83.40% of its initial capacity after 100 cycles at 4.6 V. This work highlights stereoelectronic additive engineering as an effective strategy to couple solvation regulation with dual‐interphase stabilization for practical high‐energy LMBs.</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153">
        <w:r>
          <w:rPr>
            <w:color w:val="1155CC"/>
            <w:u w:val="single"/>
          </w:rPr>
          <w:t>用于电渗析提锂的 ZIF-62 玻璃与固态锂超导复合膜的合成</w:t>
        </w:r>
      </w:hyperlink>
    </w:p>
    <w:p>
      <w:pPr>
        <w:spacing w:before="0" w:after="80"/>
      </w:pPr>
      <w:r>
        <w:rPr>
          <w:i/>
          <w:sz w:val="20"/>
        </w:rPr>
        <w:t>EN: Synthesis of ZIF-62 Glass and Solid-state Lithium Superconductor Composite Membranes for Electrodialytic Lithium Extraction</w:t>
      </w:r>
    </w:p>
    <w:p>
      <w:pPr>
        <w:spacing w:before="0" w:after="120"/>
      </w:pPr>
      <w:r>
        <w:rPr>
          <w:b/>
        </w:rPr>
        <w:t xml:space="preserve">Source: </w:t>
      </w:r>
      <w:r>
        <w:t>Physical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锂超离子导体，如 Li3xLa2/3−xTiO3 (LLTO)，能够通过其晶体框架实现快速、选择性的锂离子传输，并已被广泛探索用于锂提取。然而，它们在基于膜的分离中的实施受到高温烧结（&gt; 1000°C）的需要的阻碍，这导致高能耗和潜在的锂挥发，从而损害结构完整性和可扩展性。在这里，我们报告了一种结构集成的复合膜，通过低温熔铸策略将 LLTO 纳米粒子嵌入 ZIF-62 玻璃基体中，产生致密、无缺陷的膜，具有紧密的界面集成和改进的机械鲁棒性。对广泛组成范围的系统调查表明，有效的传输通道在达到关键内容之前受到高度限制，之后形成广泛互连的 LLTO 网络。优化的膜表现出高锂选择性，在电化学操作下在红海水中提供高达约 59,000 的 Li/Mg 选择性，同时在各种天然盐水中保持稳定的锂提取性能。这项研究建立了一种具有良好加工性能的可扩展膜设计策略，不仅为锂提取提供了更广泛的机会，还为电化学分离和储能系统中的离子选择性膜提供了更广泛的机会。</w:t>
      </w:r>
    </w:p>
    <w:p>
      <w:pPr>
        <w:spacing w:before="0" w:after="200" w:lineRule="auto" w:line="276"/>
      </w:pPr>
      <w:r>
        <w:rPr>
          <w:b/>
        </w:rPr>
        <w:t xml:space="preserve">Abstract (EN): </w:t>
      </w:r>
      <w:r>
        <w:t>Lithium superionic conductors such as Li3xLa2/3−xTiO3 (LLTO) enable rapid and selective lithium-ion transport through their crystalline frameworks and have been widely explored for lithium extraction. However, their implementation in membrane-based separations is hindered by the need for high-temperature sintering ( &gt; 1000 °C), which leads to high energy consumption and potential lithium volatilization, thereby compromising structural integrity and scalability. Here, we report a structurally integrated composite membrane by embedding LLTO nanoparticles into a ZIF-62 glass matrix via a low-temperature melt-casting strategy, yielding a dense, defect-free membrane with intimate interfacial integration and improved mechanical robustness. Systematic investigations across a wide composition range reveal effective transport channels are highly restricted until a critical content is reached, after which an extensive interconnected LLTO network forms. The optimized membrane exhibits high lithium selectivity and delivers a Li/Mg selectivity of up to ~59,000 in Red Sea water under electrochemical operation, while maintaining stable lithium extraction performance across diverse natural brines. This study establishes a scalable membrane design strategy with good processability, offering broader opportunities for not only lithium extraction, but also ion-selective membranes in electrochemical separations and energy storage systems.</w:t>
      </w:r>
    </w:p>
    <w:p>
      <w:pPr>
        <w:spacing w:before="120" w:after="120"/>
      </w:pPr>
      <w:r>
        <w:rPr>
          <w:sz w:val="18"/>
        </w:rPr>
        <w:t>——————————————————————————————————————————————————————————————————————</w:t>
      </w:r>
    </w:p>
    <w:p>
      <w:pPr>
        <w:spacing w:before="160" w:after="40" w:line="240" w:lineRule="auto"/>
      </w:pPr>
      <w:r>
        <w:rPr>
          <w:b/>
        </w:rPr>
        <w:t xml:space="preserve">[2] </w:t>
      </w:r>
      <w:hyperlink r:id="rId64">
        <w:r>
          <w:rPr>
            <w:color w:val="1155CC"/>
            <w:u w:val="single"/>
          </w:rPr>
          <w:t>双溶剂超分子组装实现安培小时卤化物全固态软包电池</w:t>
        </w:r>
      </w:hyperlink>
    </w:p>
    <w:p>
      <w:pPr>
        <w:spacing w:before="0" w:after="80"/>
      </w:pPr>
      <w:r>
        <w:rPr>
          <w:i/>
          <w:sz w:val="20"/>
        </w:rPr>
        <w:t>EN: Dual‐Solvent Supramolecular Assembly Enables Ampere‐Hour Halide All‐Solid‐State Pouch Cell</w:t>
      </w:r>
    </w:p>
    <w:p>
      <w:pPr>
        <w:spacing w:before="0" w:after="120"/>
      </w:pPr>
      <w:r>
        <w:rPr>
          <w:b/>
        </w:rPr>
        <w:t xml:space="preserve">Source: </w:t>
      </w:r>
      <w:r>
        <w:t>Wiley: Advanced Materials: Table of Contents</w:t>
      </w:r>
      <w:r>
        <w:t xml:space="preserve">    </w:t>
      </w:r>
      <w:r>
        <w:rPr>
          <w:b/>
        </w:rPr>
        <w:t xml:space="preserve">Pub date: </w:t>
      </w:r>
      <w:r>
        <w:t>2026-07-24 06:44:50+00:00</w:t>
      </w:r>
      <w:r>
        <w:t xml:space="preserve">    </w:t>
      </w:r>
      <w:r>
        <w:rPr>
          <w:b/>
        </w:rPr>
        <w:t xml:space="preserve">DOI: </w:t>
      </w:r>
      <w:hyperlink r:id="rId65">
        <w:r>
          <w:rPr>
            <w:color w:val="1155CC"/>
            <w:u w:val="single"/>
          </w:rPr>
          <w:t>10.1002/adma.74206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卤化物固体电解质（SSE）有望成为下一代全固态电池（ASSB），但通过浆料涂层大规模制造卤化物SSE薄膜和安时级全固态软包电池（ASSPC）尚未得到证实。在这里，我们引入了一种双溶剂超分子组装策略，可以精确调节多嵌段共聚物粘合剂（SEEPS）的链组织，从而实现低粘合剂、高粘度浆料，从而形成均匀的卤化物SSE薄膜。甲基环己烷和癸烷被认为是化学相容的溶剂，可以减少 InCl</w:t>
      </w:r>
      <w:r>
        <w:rPr>
          <w:vertAlign w:val="subscript"/>
        </w:rPr>
        <w:t>3</w:t>
      </w:r>
      <w:r>
        <w:t>Li的地表降水</w:t>
      </w:r>
      <w:r>
        <w:rPr>
          <w:vertAlign w:val="subscript"/>
        </w:rPr>
        <w:t>3</w:t>
      </w:r>
      <w:r>
        <w:t>氯化铟</w:t>
      </w:r>
      <w:r>
        <w:rPr>
          <w:vertAlign w:val="subscript"/>
        </w:rPr>
        <w:t>6</w:t>
      </w:r>
      <w:r>
        <w:t>，保持离子电导率。由此产生的李</w:t>
      </w:r>
      <w:r>
        <w:rPr>
          <w:vertAlign w:val="subscript"/>
        </w:rPr>
        <w:t>3</w:t>
      </w:r>
      <w:r>
        <w:t>氯化铟</w:t>
      </w:r>
      <w:r>
        <w:rPr>
          <w:vertAlign w:val="subscript"/>
        </w:rPr>
        <w:t>6</w:t>
      </w:r>
      <w:r>
        <w:t>/李</w:t>
      </w:r>
      <w:r>
        <w:t xml:space="preserve"> </w:t>
      </w:r>
      <w:r>
        <w:t>6−</w:t>
      </w:r>
      <w:r>
        <w:t xml:space="preserve"> </w:t>
      </w:r>
      <w:r>
        <w:t>x</w:t>
      </w:r>
      <w:r>
        <w:t xml:space="preserve"> </w:t>
      </w:r>
      <w:r>
        <w:t>聚苯乙烯</w:t>
      </w:r>
      <w:r>
        <w:t xml:space="preserve"> </w:t>
      </w:r>
      <w:r>
        <w:t>5−</w:t>
      </w:r>
      <w:r>
        <w:t xml:space="preserve"> </w:t>
      </w:r>
      <w:r>
        <w:t>x</w:t>
      </w:r>
      <w:r>
        <w:t xml:space="preserve"> </w:t>
      </w:r>
      <w:r>
        <w:t>氯</w:t>
      </w:r>
      <w:r>
        <w:t xml:space="preserve"> </w:t>
      </w:r>
      <w:r>
        <w:t>1+</w:t>
      </w:r>
      <w:r>
        <w:t xml:space="preserve"> </w:t>
      </w:r>
      <w:r>
        <w:t>x</w:t>
      </w:r>
      <w:r>
        <w:t xml:space="preserve"> </w:t>
      </w:r>
      <w:r>
        <w:t>双层 SSE 薄膜具有高离子电导率 (1.26 mS/cm)、机械鲁棒性和电化学稳定性。使用 NCM88 阴极和微硅阳极的 ASSB 在 0.5 C 下循环 600 次后仍保留 71.3% 的容量，而首款十层安培小时级卤化物 ASSPC 在 0.2 C 下提供 1.45 Ah 容量，容量保留率为 95.1%</w:t>
      </w:r>
    </w:p>
    <w:p>
      <w:pPr>
        <w:spacing w:before="0" w:after="200" w:lineRule="auto" w:line="276"/>
      </w:pPr>
      <w:r>
        <w:rPr>
          <w:b/>
        </w:rPr>
        <w:t xml:space="preserve">Abstract (EN): </w:t>
      </w:r>
      <w:r>
        <w:t>Halide solid electrolytes (SSEs) hold promise for next‐generation all‐solid‐state batteries (ASSBs), yet scalable fabrication of halide SSE films and ampere‐hour‐scale all‐solid‐state pouch cells (ASSPCs) via slurry coating has not been demonstrated. Here, we introduce a dual‐solvent supramolecular assembly strategy that precisely regulates the chain organization of a multiblock copolymer binder (SEEPS), enabling low‐binder, high‐viscosity slurries for uniform halide SSE film formation. Methylcyclohexane and decane are identified as chemically compatible solvents that diminish InCl</w:t>
      </w:r>
      <w:r>
        <w:rPr>
          <w:vertAlign w:val="subscript"/>
        </w:rPr>
        <w:t>3</w:t>
      </w:r>
      <w:r>
        <w:t>surface precipitation in Li</w:t>
      </w:r>
      <w:r>
        <w:rPr>
          <w:vertAlign w:val="subscript"/>
        </w:rPr>
        <w:t>3</w:t>
      </w:r>
      <w:r>
        <w:t>InCl</w:t>
      </w:r>
      <w:r>
        <w:rPr>
          <w:vertAlign w:val="subscript"/>
        </w:rPr>
        <w:t>6</w:t>
      </w:r>
      <w:r>
        <w:t>, preserving ionic conductivity. The resulting Li</w:t>
      </w:r>
      <w:r>
        <w:rPr>
          <w:vertAlign w:val="subscript"/>
        </w:rPr>
        <w:t>3</w:t>
      </w:r>
      <w:r>
        <w:t>InCl</w:t>
      </w:r>
      <w:r>
        <w:rPr>
          <w:vertAlign w:val="subscript"/>
        </w:rPr>
        <w:t>6</w:t>
      </w:r>
      <w:r>
        <w:t>/Li</w:t>
      </w:r>
      <w:r>
        <w:t xml:space="preserve"> </w:t>
      </w:r>
      <w:r>
        <w:t>6−</w:t>
      </w:r>
      <w:r>
        <w:t xml:space="preserve"> </w:t>
      </w:r>
      <w:r>
        <w:t>x</w:t>
      </w:r>
      <w:r>
        <w:t xml:space="preserve"> </w:t>
      </w:r>
      <w:r>
        <w:t>PS</w:t>
      </w:r>
      <w:r>
        <w:t xml:space="preserve"> </w:t>
      </w:r>
      <w:r>
        <w:t>5−</w:t>
      </w:r>
      <w:r>
        <w:t xml:space="preserve"> </w:t>
      </w:r>
      <w:r>
        <w:t>x</w:t>
      </w:r>
      <w:r>
        <w:t xml:space="preserve"> </w:t>
      </w:r>
      <w:r>
        <w:t>Cl</w:t>
      </w:r>
      <w:r>
        <w:t xml:space="preserve"> </w:t>
      </w:r>
      <w:r>
        <w:t>1+</w:t>
      </w:r>
      <w:r>
        <w:t xml:space="preserve"> </w:t>
      </w:r>
      <w:r>
        <w:t>x</w:t>
      </w:r>
      <w:r>
        <w:t xml:space="preserve"> </w:t>
      </w:r>
      <w:r>
        <w:t>bilayer SSE film exhibits high ionic conductivity (1.26 mS/cm), mechanical robustness, and electrochemical stability. ASSBs using NCM88 cathodes and micro‐silicon anodes retain 71.3% capacity after 600 cycles at 0.5 C, while the first ten‐layer ampere‐hour‐scale halide ASSPC delivers 1.45 Ah at 0.2 C with 95.1% capacity retention over 100 cycles. This approach establishes a practical and scalable pathway for fabricating halide ASSPCs, bridging laboratory innovations and commercial deployment.</w:t>
      </w:r>
    </w:p>
    <w:p>
      <w:pPr>
        <w:spacing w:before="120" w:after="120"/>
      </w:pPr>
      <w:r>
        <w:rPr>
          <w:sz w:val="18"/>
        </w:rPr>
        <w:t>——————————————————————————————————————————————————————————————————————</w:t>
      </w:r>
    </w:p>
    <w:p>
      <w:pPr>
        <w:spacing w:before="160" w:after="40" w:line="240" w:lineRule="auto"/>
      </w:pPr>
      <w:r>
        <w:rPr>
          <w:b/>
        </w:rPr>
        <w:t xml:space="preserve">[3] </w:t>
      </w:r>
      <w:hyperlink r:id="rId154">
        <w:r>
          <w:rPr>
            <w:color w:val="1155CC"/>
            <w:u w:val="single"/>
          </w:rPr>
          <w:t>外部 Al2O3/电解质相互作用影响内部 Al/Al2O3 电势下降，以解锁锂金属电池中的铝腐蚀</w:t>
        </w:r>
      </w:hyperlink>
    </w:p>
    <w:p>
      <w:pPr>
        <w:spacing w:before="0" w:after="80"/>
      </w:pPr>
      <w:r>
        <w:rPr>
          <w:i/>
          <w:sz w:val="20"/>
        </w:rPr>
        <w:t>EN: Internal Al/Al2O3 Potential Drop Impacted by External Al2O3/Electrolyte Interaction to Unlock Al Corrosion in Lithium Metal Batteries</w:t>
      </w:r>
    </w:p>
    <w:p>
      <w:pPr>
        <w:spacing w:before="0" w:after="120"/>
      </w:pPr>
      <w:r>
        <w:rPr>
          <w:b/>
        </w:rPr>
        <w:t xml:space="preserve">Source: </w:t>
      </w:r>
      <w:r>
        <w:t>Wiley: Advanced Energy Materials: Table of Contents</w:t>
      </w:r>
      <w:r>
        <w:t xml:space="preserve">    </w:t>
      </w:r>
      <w:r>
        <w:rPr>
          <w:b/>
        </w:rPr>
        <w:t xml:space="preserve">Pub date: </w:t>
      </w:r>
      <w:r>
        <w:t>2026-07-24 07:35:41+00:00</w:t>
      </w:r>
      <w:r>
        <w:t xml:space="preserve">    </w:t>
      </w:r>
      <w:r>
        <w:rPr>
          <w:b/>
        </w:rPr>
        <w:t xml:space="preserve">DOI: </w:t>
      </w:r>
      <w:hyperlink r:id="rId155">
        <w:r>
          <w:rPr>
            <w:color w:val="1155CC"/>
            <w:u w:val="single"/>
          </w:rPr>
          <w:t>10.1002/aenm.71326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高压锂金属电池对于提高能量密度至关重要，但会遭受铝 (Al) 集流体腐蚀。虽然土生土长的阿尔</w:t>
      </w:r>
      <w:r>
        <w:rPr>
          <w:vertAlign w:val="subscript"/>
        </w:rPr>
        <w:t>2</w:t>
      </w:r>
      <w:r>
        <w:t>氧</w:t>
      </w:r>
      <w:r>
        <w:rPr>
          <w:vertAlign w:val="subscript"/>
        </w:rPr>
        <w:t>3</w:t>
      </w:r>
      <w:r>
        <w:t>层提供热力学稳定性，腐蚀通过电场驱动的铝持续存在</w:t>
      </w:r>
      <w:r>
        <w:t xml:space="preserve"> </w:t>
      </w:r>
      <w:r>
        <w:t>3+</w:t>
      </w:r>
      <w:r>
        <w:t xml:space="preserve"> </w:t>
      </w:r>
      <w:r>
        <w:t>迁移。在 P. Marcus 理论的指导下，我们发现 Al/Al 上的总电势降</w:t>
      </w:r>
      <w:r>
        <w:rPr>
          <w:vertAlign w:val="subscript"/>
        </w:rPr>
        <w:t>2</w:t>
      </w:r>
      <w:r>
        <w:t>氧</w:t>
      </w:r>
      <w:r>
        <w:rPr>
          <w:vertAlign w:val="subscript"/>
        </w:rPr>
        <w:t>3</w:t>
      </w:r>
      <w:r>
        <w:t>/电解质系统被划分在两个不同的界面之间，其中内部Al/Al</w:t>
      </w:r>
      <w:r>
        <w:rPr>
          <w:vertAlign w:val="subscript"/>
        </w:rPr>
        <w:t>2</w:t>
      </w:r>
      <w:r>
        <w:t>氧</w:t>
      </w:r>
      <w:r>
        <w:rPr>
          <w:vertAlign w:val="subscript"/>
        </w:rPr>
        <w:t>3</w:t>
      </w:r>
      <w:r>
        <w:t>电势降产生局部电场，作为 Al 的基本动力学驱动力</w:t>
      </w:r>
      <w:r>
        <w:t xml:space="preserve"> </w:t>
      </w:r>
      <w:r>
        <w:t>3+</w:t>
      </w:r>
      <w:r>
        <w:t xml:space="preserve"> </w:t>
      </w:r>
      <w:r>
        <w:t>出口。与专注于阴离子诱导化学钝化的传统策略不同，我们建立了界面电位调节框架，并报告了级联效应，其中强化了外部铝上的特定阴离子吸附</w:t>
      </w:r>
      <w:r>
        <w:rPr>
          <w:vertAlign w:val="subscript"/>
        </w:rPr>
        <w:t>2</w:t>
      </w:r>
      <w:r>
        <w:t>氧</w:t>
      </w:r>
      <w:r>
        <w:rPr>
          <w:vertAlign w:val="subscript"/>
        </w:rPr>
        <w:t>3</w:t>
      </w:r>
      <w:r>
        <w:t>/电解质界面增加了外部电势降，这本质上减少了内部电势降。这种潜在的重新分布削弱了内部电场并提高了向外铝的能垒</w:t>
      </w:r>
      <w:r>
        <w:t xml:space="preserve"> </w:t>
      </w:r>
      <w:r>
        <w:t>3+</w:t>
      </w:r>
      <w:r>
        <w:t xml:space="preserve"> </w:t>
      </w:r>
      <w:r>
        <w:t>运输。通过引入NO</w:t>
      </w:r>
      <w:r>
        <w:rPr>
          <w:vertAlign w:val="subscript"/>
        </w:rPr>
        <w:t>3</w:t>
      </w:r>
    </w:p>
    <w:p>
      <w:pPr>
        <w:spacing w:before="0" w:after="200" w:lineRule="auto" w:line="276"/>
      </w:pPr>
      <w:r>
        <w:rPr>
          <w:b/>
        </w:rPr>
        <w:t xml:space="preserve">Abstract (EN): </w:t>
      </w:r>
      <w:r>
        <w:t>High‐voltage lithium‐metal batteries are pivotal for increasing energy density but suffer from aluminum (Al) current collector corrosion. While the native Al</w:t>
      </w:r>
      <w:r>
        <w:rPr>
          <w:vertAlign w:val="subscript"/>
        </w:rPr>
        <w:t>2</w:t>
      </w:r>
      <w:r>
        <w:t>O</w:t>
      </w:r>
      <w:r>
        <w:rPr>
          <w:vertAlign w:val="subscript"/>
        </w:rPr>
        <w:t>3</w:t>
      </w:r>
      <w:r>
        <w:t>layer provides thermodynamic stability, corrosion persists through electric‐field‐driven Al</w:t>
      </w:r>
      <w:r>
        <w:t xml:space="preserve"> </w:t>
      </w:r>
      <w:r>
        <w:t>3+</w:t>
      </w:r>
      <w:r>
        <w:t xml:space="preserve"> </w:t>
      </w:r>
      <w:r>
        <w:t>migration. Guided by P. Marcus theory, we identify that the total potential drop across the Al/Al</w:t>
      </w:r>
      <w:r>
        <w:rPr>
          <w:vertAlign w:val="subscript"/>
        </w:rPr>
        <w:t>2</w:t>
      </w:r>
      <w:r>
        <w:t>O</w:t>
      </w:r>
      <w:r>
        <w:rPr>
          <w:vertAlign w:val="subscript"/>
        </w:rPr>
        <w:t>3</w:t>
      </w:r>
      <w:r>
        <w:t>/electrolyte system is partitioned between two distinct interfaces, where the internal Al/Al</w:t>
      </w:r>
      <w:r>
        <w:rPr>
          <w:vertAlign w:val="subscript"/>
        </w:rPr>
        <w:t>2</w:t>
      </w:r>
      <w:r>
        <w:t>O</w:t>
      </w:r>
      <w:r>
        <w:rPr>
          <w:vertAlign w:val="subscript"/>
        </w:rPr>
        <w:t>3</w:t>
      </w:r>
      <w:r>
        <w:t>potential drop generates a localized electric field that serves as the fundamental kinetic driver for Al</w:t>
      </w:r>
      <w:r>
        <w:t xml:space="preserve"> </w:t>
      </w:r>
      <w:r>
        <w:t>3+</w:t>
      </w:r>
      <w:r>
        <w:t xml:space="preserve"> </w:t>
      </w:r>
      <w:r>
        <w:t>egress. Departing from conventional strategies focused on anion‐induced chemical passivation, we establish an interfacial potential modulation framework and report a cascade effect where intensifying specific anion adsorption at the external Al</w:t>
      </w:r>
      <w:r>
        <w:rPr>
          <w:vertAlign w:val="subscript"/>
        </w:rPr>
        <w:t>2</w:t>
      </w:r>
      <w:r>
        <w:t>O</w:t>
      </w:r>
      <w:r>
        <w:rPr>
          <w:vertAlign w:val="subscript"/>
        </w:rPr>
        <w:t>3</w:t>
      </w:r>
      <w:r>
        <w:t>/electrolyte interface increases the external potential drop, which inherently reduces the internal potential drop. This potential redistribution weakens the internal electric field and elevates the energy barrier for outward Al</w:t>
      </w:r>
      <w:r>
        <w:t xml:space="preserve"> </w:t>
      </w:r>
      <w:r>
        <w:t>3+</w:t>
      </w:r>
      <w:r>
        <w:t xml:space="preserve"> </w:t>
      </w:r>
      <w:r>
        <w:t>transport. By introducing NO</w:t>
      </w:r>
      <w:r>
        <w:rPr>
          <w:vertAlign w:val="subscript"/>
        </w:rPr>
        <w:t>3</w:t>
      </w:r>
      <w:r>
        <w:t>−</w:t>
      </w:r>
      <w:r>
        <w:t>as an electric‐field‐responsive anion to optimize this distribution, we enable Li||NCM811 cells to maintain stable capacity at 4.5 V for over 180 cycles. These findings establish a versatile theoretical framework for stabilizing multiphase interfaces in high‐voltage energy storage systems.</w:t>
      </w:r>
    </w:p>
    <w:p>
      <w:pPr>
        <w:spacing w:before="120" w:after="120"/>
      </w:pPr>
      <w:r>
        <w:rPr>
          <w:sz w:val="18"/>
        </w:rPr>
        <w:t>——————————————————————————————————————————————————————————————————————</w:t>
      </w:r>
    </w:p>
    <w:p>
      <w:pPr>
        <w:spacing w:before="160" w:after="40" w:line="240" w:lineRule="auto"/>
      </w:pPr>
      <w:r>
        <w:rPr>
          <w:b/>
        </w:rPr>
        <w:t xml:space="preserve">[4] </w:t>
      </w:r>
      <w:hyperlink r:id="rId68">
        <w:r>
          <w:rPr>
            <w:color w:val="1155CC"/>
            <w:u w:val="single"/>
          </w:rPr>
          <w:t>仿生定点原子修复，实现废旧磷酸铁锂电池的节能再生</w:t>
        </w:r>
      </w:hyperlink>
    </w:p>
    <w:p>
      <w:pPr>
        <w:spacing w:before="0" w:after="80"/>
      </w:pPr>
      <w:r>
        <w:rPr>
          <w:i/>
          <w:sz w:val="20"/>
        </w:rPr>
        <w:t>EN: Bio‐Inspired Site‐Specific Atomic Repair for Energy‐Efficient Regeneration of Spent LiFePO4 Batteries</w:t>
      </w:r>
    </w:p>
    <w:p>
      <w:pPr>
        <w:spacing w:before="0" w:after="120"/>
      </w:pPr>
      <w:r>
        <w:rPr>
          <w:b/>
        </w:rPr>
        <w:t xml:space="preserve">Source: </w:t>
      </w:r>
      <w:r>
        <w:t>Wiley: Advanced Materials: Table of Contents</w:t>
      </w:r>
      <w:r>
        <w:t xml:space="preserve">    </w:t>
      </w:r>
      <w:r>
        <w:rPr>
          <w:b/>
        </w:rPr>
        <w:t xml:space="preserve">Pub date: </w:t>
      </w:r>
      <w:r>
        <w:t>2026-07-24 12:04:08+00:00</w:t>
      </w:r>
      <w:r>
        <w:t xml:space="preserve">    </w:t>
      </w:r>
      <w:r>
        <w:rPr>
          <w:b/>
        </w:rPr>
        <w:t xml:space="preserve">DOI: </w:t>
      </w:r>
      <w:hyperlink r:id="rId69">
        <w:r>
          <w:rPr>
            <w:color w:val="1155CC"/>
            <w:u w:val="single"/>
          </w:rPr>
          <w:t>10.1002/adma.74324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固态烧结再生为修复废磷酸铁锂（LFP）正极提供了一种有前景的策略，但传统的均匀混合（HM）烧结方法忽视了 FePO 的固有异质性</w:t>
      </w:r>
      <w:r>
        <w:rPr>
          <w:vertAlign w:val="subscript"/>
        </w:rPr>
        <w:t>4</w:t>
      </w:r>
      <w:r>
        <w:t>LFP 颗粒内。这会产生额外的长程锂</w:t>
      </w:r>
      <w:r>
        <w:t xml:space="preserve"> </w:t>
      </w:r>
      <w:r>
        <w:t>+</w:t>
      </w:r>
      <w:r>
        <w:t xml:space="preserve"> </w:t>
      </w:r>
      <w:r>
        <w:t>再生过程中从富锂区域到缺锂区域的固态迁移，产生大量的固态扩散障碍，需要延长高温烧结时间，同时引发局部过度锂化，最终降低再生性能。受特异性抗原-抗体-吞噬细胞相互作用的启发，我们提出了一种新的位点特异性原子修复（SAR）机制概念，用于节能的 LFP 再生。通过定向吸附增强蒸发成核过程，锂源和还原剂选择性地固定在异质 FePO 上</w:t>
      </w:r>
      <w:r>
        <w:rPr>
          <w:vertAlign w:val="subscript"/>
        </w:rPr>
        <w:t>4</w:t>
      </w:r>
      <w:r>
        <w:t>局部修复域，缩短了 Li</w:t>
      </w:r>
      <w:r>
        <w:t xml:space="preserve"> </w:t>
      </w:r>
      <w:r>
        <w:t>+</w:t>
      </w:r>
      <w:r>
        <w:t xml:space="preserve"> </w:t>
      </w:r>
      <w:r>
        <w:t>固态扩散途径，降低迁移势垒，并减少 FePO</w:t>
      </w:r>
      <w:r>
        <w:rPr>
          <w:vertAlign w:val="subscript"/>
        </w:rPr>
        <w:t>4</w:t>
      </w:r>
      <w:r>
        <w:t>→ 磷酸铁锂</w:t>
      </w:r>
      <w:r>
        <w:rPr>
          <w:vertAlign w:val="subscript"/>
        </w:rPr>
        <w:t>4</w:t>
      </w:r>
      <w:r>
        <w:t>转变温度从 300–400°C 到 100–200°C。因此，SAR 再生 LFP 阴极可提供增强的性能，同时只需要传统 HM 方法一半的高温烧结时间，从而实现约 20%–30% 的 en 减少</w:t>
      </w:r>
    </w:p>
    <w:p>
      <w:pPr>
        <w:spacing w:before="0" w:after="200" w:lineRule="auto" w:line="276"/>
      </w:pPr>
      <w:r>
        <w:rPr>
          <w:b/>
        </w:rPr>
        <w:t xml:space="preserve">Abstract (EN): </w:t>
      </w:r>
      <w:r>
        <w:t>Solid‐state sintering regeneration offers a promising strategy for repairing spent lithium iron phosphate (LFP) cathodes, yet conventional homogeneous‐mixing (HM) sintering approaches neglect the intrinsic heterogeneity of FePO</w:t>
      </w:r>
      <w:r>
        <w:rPr>
          <w:vertAlign w:val="subscript"/>
        </w:rPr>
        <w:t>4</w:t>
      </w:r>
      <w:r>
        <w:t>within LFP particles. This induces additional long‐range Li</w:t>
      </w:r>
      <w:r>
        <w:t xml:space="preserve"> </w:t>
      </w:r>
      <w:r>
        <w:t>+</w:t>
      </w:r>
      <w:r>
        <w:t xml:space="preserve"> </w:t>
      </w:r>
      <w:r>
        <w:t>solid‐state migration from Li‐rich to Li‐deficient domains during regeneration, creating substantial solid‐state diffusion barriers that necessitate extended high‐temperature sintering duration while triggering local over‐lithiation, ultimately degrading regeneration performance. Inspired by specific antigen‐antibody‐phagocyte interactions, we propose a novel mechanistic concept of site‐specific atomic repair (SAR) for energy‐efficient LFP regeneration. Through targeted‐adsorption‐enhanced evaporation‐nucleation processes, lithium sources and reductants are selectively anchored onto heterogeneous FePO</w:t>
      </w:r>
      <w:r>
        <w:rPr>
          <w:vertAlign w:val="subscript"/>
        </w:rPr>
        <w:t>4</w:t>
      </w:r>
      <w:r>
        <w:t>domains for localized repair, which shortens Li</w:t>
      </w:r>
      <w:r>
        <w:t xml:space="preserve"> </w:t>
      </w:r>
      <w:r>
        <w:t>+</w:t>
      </w:r>
      <w:r>
        <w:t xml:space="preserve"> </w:t>
      </w:r>
      <w:r>
        <w:t>solid‐state diffusion pathways, lowers migration barrier, and reduces FePO</w:t>
      </w:r>
      <w:r>
        <w:rPr>
          <w:vertAlign w:val="subscript"/>
        </w:rPr>
        <w:t>4</w:t>
      </w:r>
      <w:r>
        <w:t>→ LiFePO</w:t>
      </w:r>
      <w:r>
        <w:rPr>
          <w:vertAlign w:val="subscript"/>
        </w:rPr>
        <w:t>4</w:t>
      </w:r>
      <w:r>
        <w:t>transition temperature from 300–400°C to 100–200°C. Consequently, the SAR‐regenerated LFP cathodes deliver enhanced performance while requiring only half of the high‐temperature sintering duration of conventional HM approaches, thereby achieving ∼20%–30% reduction in energy consumption &amp;amp; CO</w:t>
      </w:r>
      <w:r>
        <w:rPr>
          <w:vertAlign w:val="subscript"/>
        </w:rPr>
        <w:t>2</w:t>
      </w:r>
      <w:r>
        <w:t>emissions with a markedly improved profit by ∼40%. With additional heteroatom doping, SAR demonstrates exceptional rate performance (73.0 mAh g</w:t>
      </w:r>
      <w:r>
        <w:t xml:space="preserve"> </w:t>
      </w:r>
      <w:r>
        <w:t>−1</w:t>
      </w:r>
      <w:r>
        <w:t xml:space="preserve"> </w:t>
      </w:r>
      <w:r>
        <w:t>at 15 C) and long‐term stability (90.0% after 600 cycles), ranking among the best reported to date, demonstrating cost‐effective mechanistic advances for industrial‐scale LFP recycling.</w:t>
      </w:r>
    </w:p>
    <w:p>
      <w:pPr>
        <w:spacing w:before="120" w:after="120"/>
      </w:pPr>
      <w:r>
        <w:rPr>
          <w:sz w:val="18"/>
        </w:rPr>
        <w:t>——————————————————————————————————————————————————————————————————————</w:t>
      </w:r>
    </w:p>
    <w:p>
      <w:pPr>
        <w:spacing w:before="160" w:after="40" w:line="240" w:lineRule="auto"/>
      </w:pPr>
      <w:r>
        <w:rPr>
          <w:b/>
        </w:rPr>
        <w:t xml:space="preserve">[5] </w:t>
      </w:r>
      <w:hyperlink r:id="rId156">
        <w:r>
          <w:rPr>
            <w:color w:val="1155CC"/>
            <w:u w:val="single"/>
          </w:rPr>
          <w:t>机械信息辅助大型方形磷酸铁锂电池的健康状态评估</w:t>
        </w:r>
      </w:hyperlink>
    </w:p>
    <w:p>
      <w:pPr>
        <w:spacing w:before="0" w:after="80"/>
      </w:pPr>
      <w:r>
        <w:rPr>
          <w:i/>
          <w:sz w:val="20"/>
        </w:rPr>
        <w:t>EN: Mechanical-information-assisted state of health estimation for large-format prismatic lithium iron phosphate cells</w:t>
      </w:r>
    </w:p>
    <w:p>
      <w:pPr>
        <w:spacing w:before="0" w:after="120"/>
      </w:pPr>
      <w:r>
        <w:rPr>
          <w:b/>
        </w:rPr>
        <w:t xml:space="preserve">Source: </w:t>
      </w:r>
      <w:r>
        <w:t>ScienceDirect Publication: Applied Energy</w:t>
      </w:r>
      <w:r>
        <w:t xml:space="preserve">    </w:t>
      </w:r>
      <w:r>
        <w:rPr>
          <w:b/>
        </w:rPr>
        <w:t xml:space="preserve">Pub date: </w:t>
      </w:r>
      <w:r>
        <w:t>2026-07-25 00:00:00+00:00</w:t>
      </w:r>
      <w:r>
        <w:t xml:space="preserve">    </w:t>
      </w:r>
      <w:r>
        <w:rPr>
          <w:b/>
        </w:rPr>
        <w:t xml:space="preserve">DOI: </w:t>
      </w:r>
      <w:hyperlink r:id="rId157">
        <w:r>
          <w:rPr>
            <w:color w:val="1155CC"/>
            <w:u w:val="single"/>
          </w:rPr>
          <w:t>10.1016/j.apenergy.2026.128496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03">
        <w:r>
          <w:rPr>
            <w:color w:val="1155CC"/>
            <w:u w:val="single"/>
          </w:rPr>
          <w:t>对“电池级石墨的低温合成：机理见解、电化学性能和技术经济前景”的修正</w:t>
        </w:r>
      </w:hyperlink>
    </w:p>
    <w:p>
      <w:pPr>
        <w:spacing w:before="0" w:after="80"/>
      </w:pPr>
      <w:r>
        <w:rPr>
          <w:i/>
          <w:sz w:val="20"/>
        </w:rPr>
        <w:t>EN: Correction to “Low‐Temperature Synthesis of Battery Grade Graphite: Mechanistic Insights, Electrochemical Performance, and Techno‐Economic Prospects”</w:t>
      </w:r>
    </w:p>
    <w:p>
      <w:pPr>
        <w:spacing w:before="0" w:after="120"/>
      </w:pPr>
      <w:r>
        <w:rPr>
          <w:b/>
        </w:rPr>
        <w:t xml:space="preserve">Source: </w:t>
      </w:r>
      <w:r>
        <w:t>Wiley: Advanced Energy Materials: Table of Contents</w:t>
      </w:r>
      <w:r>
        <w:t xml:space="preserve">    </w:t>
      </w:r>
      <w:r>
        <w:rPr>
          <w:b/>
        </w:rPr>
        <w:t xml:space="preserve">Pub date: </w:t>
      </w:r>
      <w:r>
        <w:t>2026-07-25 14:20:37+00:00</w:t>
      </w:r>
      <w:r>
        <w:t xml:space="preserve">    </w:t>
      </w:r>
      <w:r>
        <w:rPr>
          <w:b/>
        </w:rPr>
        <w:t xml:space="preserve">DOI: </w:t>
      </w:r>
      <w:hyperlink r:id="rId104">
        <w:r>
          <w:rPr>
            <w:color w:val="1155CC"/>
            <w:u w:val="single"/>
          </w:rPr>
          <w:t>10.1002/aenm.71339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58">
        <w:r>
          <w:rPr>
            <w:color w:val="1155CC"/>
            <w:u w:val="single"/>
          </w:rPr>
          <w:t>机械电化学耦合可实现钠离子电池的压力通知诊断和界面自流平</w:t>
        </w:r>
      </w:hyperlink>
    </w:p>
    <w:p>
      <w:pPr>
        <w:spacing w:before="0" w:after="80"/>
      </w:pPr>
      <w:r>
        <w:rPr>
          <w:i/>
          <w:sz w:val="20"/>
        </w:rPr>
        <w:t>EN: Mechanical‐Electrochemical Coupling Enables Pressure‐Informed Diagnosis and Interfacial Self‐Leveling in Sodium‐Ion Batteries</w:t>
      </w:r>
    </w:p>
    <w:p>
      <w:pPr>
        <w:spacing w:before="0" w:after="120"/>
      </w:pPr>
      <w:r>
        <w:rPr>
          <w:b/>
        </w:rPr>
        <w:t xml:space="preserve">Source: </w:t>
      </w:r>
      <w:r>
        <w:t>Wiley: Advanced Materials: Table of Contents</w:t>
      </w:r>
      <w:r>
        <w:t xml:space="preserve">    </w:t>
      </w:r>
      <w:r>
        <w:rPr>
          <w:b/>
        </w:rPr>
        <w:t xml:space="preserve">Pub date: </w:t>
      </w:r>
      <w:r>
        <w:t>2026-07-25 21:39:31+00:00</w:t>
      </w:r>
      <w:r>
        <w:t xml:space="preserve">    </w:t>
      </w:r>
      <w:r>
        <w:rPr>
          <w:b/>
        </w:rPr>
        <w:t xml:space="preserve">DOI: </w:t>
      </w:r>
      <w:hyperlink r:id="rId159">
        <w:r>
          <w:rPr>
            <w:color w:val="1155CC"/>
            <w:u w:val="single"/>
          </w:rPr>
          <w:t>10.1002/adma.74334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钠资源丰富且成本低廉，钠（Na）离子电池（NIB）对于可持续能源存储具有吸引力。然而，它们的实际快速充电操作受到金属钠镀层、持续界面降解以及相关安全风险的严重挑战。在这里，我们建立了一个定量的机械电化学耦合框架，将宏观压力信号与微观电极反应联系起来，从而能够对NIB中的钠镀层进行实时、无损诊断。在此基础上，我们开发了一种集成的诊断-修复-利用管理策略（DRUMS），将电池管理从被动警告转变为主动干预。除了早期识别有害的金属钠镀层之外，DRUMS还通过将阳极镀层的钠重新定向到原位钠源以重建阴极界面，从而进一步诱导双界面自流平，同时消除阳极上不安全的金属钠积累。这种耦合策略可以减轻界面恶化，并显着增强快速充电 NIB 的循环稳定性。更广泛地说，这项工作为动态接口管理提供了一种机械指导策略，并为实现更安全、更耐用的快速充电电池提供了一条实用途径。</w:t>
      </w:r>
    </w:p>
    <w:p>
      <w:pPr>
        <w:spacing w:before="0" w:after="200" w:lineRule="auto" w:line="276"/>
      </w:pPr>
      <w:r>
        <w:rPr>
          <w:b/>
        </w:rPr>
        <w:t xml:space="preserve">Abstract (EN): </w:t>
      </w:r>
      <w:r>
        <w:t>Sodium (Na)‐ion batteries (NIBs) are attractive for sustainable energy storage because of the abundance and low cost of Na resources. However, their practical fast‐charging operation is severely challenged by metallic Na plating, continuous interfacial degradation, and the associated safety risks. Here we establish a quantitative mechanical‐electrochemical coupling framework that links macroscopic pressure signals with microscopic electrode reactions, enabling real‐time and nondestructive diagnosis of Na plating in NIBs. On this basis, we develop an integrated diagnose‐repair‐utilize management strategy (DRUMS) that shifts battery management from passive warning to active intervention. Beyond early identification of hazardous metallic Na plating, DRUMS further induces dual‐interfacial self‐leveling by redirecting plated Na at the anode into an in situ Na source for reconstruction of the cathode interphase, while simultaneously eliminating unsafe metallic Na accumulation on the anode. This coupling‐enabled strategy mitigates interfacial deterioration and markedly enhances the cycling stability of fast‐charging NIBs. More broadly, this work provides a mechanistically guided strategy for dynamic interface management and offers a practical route toward safer and more durable fast‐charging batteries.</w:t>
      </w:r>
    </w:p>
    <w:p>
      <w:pPr>
        <w:spacing w:before="120" w:after="120"/>
      </w:pPr>
      <w:r>
        <w:rPr>
          <w:sz w:val="18"/>
        </w:rPr>
        <w:t>——————————————————————————————————————————————————————————————————————</w:t>
      </w:r>
    </w:p>
    <w:p>
      <w:pPr>
        <w:spacing w:before="160" w:after="40" w:line="240" w:lineRule="auto"/>
      </w:pPr>
      <w:r>
        <w:rPr>
          <w:b/>
        </w:rPr>
        <w:t xml:space="preserve">[8] </w:t>
      </w:r>
      <w:hyperlink r:id="rId160">
        <w:r>
          <w:rPr>
            <w:color w:val="1155CC"/>
            <w:u w:val="single"/>
          </w:rPr>
          <w:t>通过协同表面活性剂调节和溶剂处理来工程化聚酰胺网络以实现高效离子分离</w:t>
        </w:r>
      </w:hyperlink>
    </w:p>
    <w:p>
      <w:pPr>
        <w:spacing w:before="0" w:after="80"/>
      </w:pPr>
      <w:r>
        <w:rPr>
          <w:i/>
          <w:sz w:val="20"/>
        </w:rPr>
        <w:t>EN: Engineering Polyamide Networks via Synergistic Surfactant Regulation and Solvent Treatment for Efficient Ion Separation</w:t>
      </w:r>
    </w:p>
    <w:p>
      <w:pPr>
        <w:spacing w:before="0" w:after="120"/>
      </w:pPr>
      <w:r>
        <w:rPr>
          <w:b/>
        </w:rPr>
        <w:t xml:space="preserve">Source: </w:t>
      </w:r>
      <w:r>
        <w:t>ACS Applied Materials &amp; Interfaces: Latest Articles (ACS Publications)</w:t>
      </w:r>
      <w:r>
        <w:t xml:space="preserve">    </w:t>
      </w:r>
      <w:r>
        <w:rPr>
          <w:b/>
        </w:rPr>
        <w:t xml:space="preserve">Pub date: </w:t>
      </w:r>
      <w:r>
        <w:t>2026-07-26 00:00:00+00:00</w:t>
      </w:r>
      <w:r>
        <w:t xml:space="preserve">    </w:t>
      </w:r>
      <w:r>
        <w:rPr>
          <w:b/>
        </w:rPr>
        <w:t xml:space="preserve">DOI: </w:t>
      </w:r>
      <w:hyperlink r:id="rId161">
        <w:r>
          <w:rPr>
            <w:color w:val="1155CC"/>
            <w:u w:val="single"/>
          </w:rPr>
          <w:t>10.1021/acsami.6c10656</w:t>
        </w:r>
      </w:hyperlink>
    </w:p>
    <w:p>
      <w:pPr>
        <w:spacing w:before="0" w:after="120"/>
      </w:pPr>
      <w:r>
        <w:rPr>
          <w:b/>
        </w:rPr>
        <w:t xml:space="preserve">Notes: </w:t>
      </w:r>
      <w:r>
        <w:t>abstract_source=pubmed</w:t>
      </w:r>
    </w:p>
    <w:p>
      <w:pPr>
        <w:spacing w:before="0" w:after="80" w:lineRule="auto" w:line="276"/>
      </w:pPr>
      <w:r>
        <w:rPr>
          <w:b/>
        </w:rPr>
        <w:t xml:space="preserve">摘要（ZH）: </w:t>
      </w:r>
      <w:r>
        <w:t>将单价离子与二价离子分离仍然是资源回收的主要挑战。虽然经典的聚（哌嗪酰胺）纳滤膜对二价阴离子表现出优异的截留率，但其在阳离子分离中的应用受到强负电荷表面和有限的尺寸筛分精度的限制。为了解决这一限制，我们提出了一种针对表面活性剂定制的聚酰胺网络的溶剂处理诱导的优化策略。表面活性剂辅助的界面聚合产生致密且均匀的新生聚酰胺网络，该网络可以承受溶剂处理，同时保留其交联结构。随后的溶剂处理选择性地去除网络中捕获的低聚物，从而改善聚酰胺网络结构。这种策略有利于形成更薄的聚酰胺选择性层，该层表现出减弱的表面负电荷和更均匀的孔径分布。优化后的膜实现了性能的双重增强，表现出高单价/二价离子选择性（Li+/Mg2+ 选择性为 96.1，Cl-/SO42- 选择性为 1351）以及 14.9 L m-2 h-1 bar-1 的高透水性。这项工作提供了一种简单有效的方法来改善聚酰胺网络的表面性质和内部结构，以实现有效的单/二价离子分离。</w:t>
      </w:r>
    </w:p>
    <w:p>
      <w:pPr>
        <w:spacing w:before="0" w:after="200" w:lineRule="auto" w:line="276"/>
      </w:pPr>
      <w:r>
        <w:rPr>
          <w:b/>
        </w:rPr>
        <w:t xml:space="preserve">Abstract (EN): </w:t>
      </w:r>
      <w:r>
        <w:t>Separating monovalent ions from divalent ions remains a central challenge in resource recovery. While the classic poly(piperazine-amide) nanofiltration membrane exhibits superior rejection of divalent anion, the application in cation separation is constrained by the strongly negatively charged surface and limited size-sieving precision. To address this limitation, we propose a solvent treatment-induced optimization strategy for surfactant-tailored polyamide networks. The surfactant-assisted interfacial polymerization yields a dense and uniform nascent polyamide network that can withstand solvent treatment while preserving its cross-linked structure. Subsequent solvent treatment selectively removes oligomers trapped within the network, thereby refining the polyamide network architecture. This strategy facilitates the formation of a thinner polyamide selective layer that exhibits an attenuated negative surface charge and a more uniform pore size distribution. The optimized membrane achieves a dual enhancement in performance, exhibiting high mono-/divalent ion selectivity (Li+/Mg2+ selectivity of 96.1 and Cl-/SO42- selectivity of 1351) coupled with a high water permeance of 14.9 L m-2 h-1 bar-1. This work provides a straightforward and effective method to refine surface properties and internal architecture of polyamide networks for efficient mono-/divalent ion separation.</w:t>
      </w:r>
    </w:p>
    <w:p>
      <w:pPr>
        <w:spacing w:before="120" w:after="120"/>
      </w:pPr>
      <w:r>
        <w:rPr>
          <w:sz w:val="18"/>
        </w:rPr>
        <w:t>——————————————————————————————————————————————————————————————————————</w:t>
      </w:r>
    </w:p>
    <w:p>
      <w:pPr>
        <w:spacing w:before="160" w:after="40" w:line="240" w:lineRule="auto"/>
      </w:pPr>
      <w:r>
        <w:rPr>
          <w:b/>
        </w:rPr>
        <w:t xml:space="preserve">[9] </w:t>
      </w:r>
      <w:hyperlink r:id="rId162">
        <w:r>
          <w:rPr>
            <w:color w:val="1155CC"/>
            <w:u w:val="single"/>
          </w:rPr>
          <w:t>与 SOC 无关的锂离子电池健康状态快速估计</w:t>
        </w:r>
      </w:hyperlink>
    </w:p>
    <w:p>
      <w:pPr>
        <w:spacing w:before="0" w:after="80"/>
      </w:pPr>
      <w:r>
        <w:rPr>
          <w:i/>
          <w:sz w:val="20"/>
        </w:rPr>
        <w:t>EN: SOC-agnostic rapid state-of-health estimation of lithium-ion batteries</w:t>
      </w:r>
    </w:p>
    <w:p>
      <w:pPr>
        <w:spacing w:before="0" w:after="120"/>
      </w:pPr>
      <w:r>
        <w:rPr>
          <w:b/>
        </w:rPr>
        <w:t xml:space="preserve">Source: </w:t>
      </w:r>
      <w:r>
        <w:t>ScienceDirect Publication: Applied Energy</w:t>
      </w:r>
      <w:r>
        <w:t xml:space="preserve">    </w:t>
      </w:r>
      <w:r>
        <w:rPr>
          <w:b/>
        </w:rPr>
        <w:t xml:space="preserve">Pub date: </w:t>
      </w:r>
      <w:r>
        <w:t>2026-07-26 00:00:00+00:00</w:t>
      </w:r>
      <w:r>
        <w:t xml:space="preserve">    </w:t>
      </w:r>
      <w:r>
        <w:rPr>
          <w:b/>
        </w:rPr>
        <w:t xml:space="preserve">DOI: </w:t>
      </w:r>
      <w:hyperlink r:id="rId163">
        <w:r>
          <w:rPr>
            <w:color w:val="1155CC"/>
            <w:u w:val="single"/>
          </w:rPr>
          <w:t>10.1016/j.apenergy.2026.128451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64">
        <w:r>
          <w:rPr>
            <w:color w:val="1155CC"/>
            <w:u w:val="single"/>
          </w:rPr>
          <w:t>通过阴极再合成进行闭环电池回收</w:t>
        </w:r>
      </w:hyperlink>
    </w:p>
    <w:p>
      <w:pPr>
        <w:spacing w:before="0" w:after="80"/>
      </w:pPr>
      <w:r>
        <w:rPr>
          <w:i/>
          <w:sz w:val="20"/>
        </w:rPr>
        <w:t>EN: Closed-loop battery recycling through cathode resynthesis</w:t>
      </w:r>
    </w:p>
    <w:p>
      <w:pPr>
        <w:spacing w:before="0" w:after="120"/>
      </w:pPr>
      <w:r>
        <w:rPr>
          <w:b/>
        </w:rPr>
        <w:t xml:space="preserve">Source: </w:t>
      </w:r>
      <w:r>
        <w:t>Nature Reviews Materials</w:t>
      </w:r>
      <w:r>
        <w:t xml:space="preserve">    </w:t>
      </w:r>
      <w:r>
        <w:rPr>
          <w:b/>
        </w:rPr>
        <w:t xml:space="preserve">Pub date: </w:t>
      </w:r>
      <w:r>
        <w:t>2026-07-27 00:00:00+00:00</w:t>
      </w:r>
      <w:r>
        <w:t xml:space="preserve">    </w:t>
      </w:r>
      <w:r>
        <w:rPr>
          <w:b/>
        </w:rPr>
        <w:t xml:space="preserve">DOI: </w:t>
      </w:r>
      <w:hyperlink r:id="rId165">
        <w:r>
          <w:rPr>
            <w:color w:val="1155CC"/>
            <w:u w:val="single"/>
          </w:rPr>
          <w:t>10.1038/s41578-026-00947-x</w:t>
        </w:r>
      </w:hyperlink>
    </w:p>
    <w:p>
      <w:pPr>
        <w:spacing w:before="0" w:after="120"/>
      </w:pPr>
      <w:r>
        <w:rPr>
          <w:b/>
        </w:rPr>
        <w:t xml:space="preserve">Notes: </w:t>
      </w:r>
      <w:r>
        <w:t>abstract_source=rss_nature</w:t>
      </w:r>
    </w:p>
    <w:p>
      <w:pPr>
        <w:spacing w:before="0" w:after="80" w:lineRule="auto" w:line="276"/>
      </w:pPr>
      <w:r>
        <w:rPr>
          <w:b/>
        </w:rPr>
        <w:t xml:space="preserve">摘要（ZH）: </w:t>
      </w:r>
      <w:r>
        <w:t>闭环电池回收取决于将可变的黑色物质转化为可与商业材料相匹配的阴极前体。本综述将渗滤液化学、前体杂质、化学计量和形态与再合成阴极性能联系起来，并概述了湿法冶金阴极再合成的设计原则。</w:t>
      </w:r>
    </w:p>
    <w:p>
      <w:pPr>
        <w:spacing w:before="0" w:after="200" w:lineRule="auto" w:line="276"/>
      </w:pPr>
      <w:r>
        <w:rPr>
          <w:b/>
        </w:rPr>
        <w:t xml:space="preserve">Abstract (EN): </w:t>
      </w:r>
      <w:r>
        <w:t>Closed-loop battery recycling depends on converting variable black mass into cathode precursors that can match commercial materials. This Review links leachate chemistry, precursor impurity, stoichiometry and morphology to resynthesized cathode performance, and outlines design principles for hydrometallurgical cathode resynthesis.</w:t>
      </w:r>
    </w:p>
    <w:p>
      <w:pPr>
        <w:spacing w:before="120" w:after="120"/>
      </w:pPr>
      <w:r>
        <w:rPr>
          <w:sz w:val="18"/>
        </w:rPr>
        <w:t>——————————————————————————————————————————————————————————————————————</w:t>
      </w:r>
    </w:p>
    <w:p>
      <w:pPr>
        <w:spacing w:before="160" w:after="40" w:line="240" w:lineRule="auto"/>
      </w:pPr>
      <w:r>
        <w:rPr>
          <w:b/>
        </w:rPr>
        <w:t xml:space="preserve">[11] </w:t>
      </w:r>
      <w:hyperlink r:id="rId166">
        <w:r>
          <w:rPr>
            <w:color w:val="1155CC"/>
            <w:u w:val="single"/>
          </w:rPr>
          <w:t>物理引导的语义无源适应快速充电电池退化预测</w:t>
        </w:r>
      </w:hyperlink>
    </w:p>
    <w:p>
      <w:pPr>
        <w:spacing w:before="0" w:after="80"/>
      </w:pPr>
      <w:r>
        <w:rPr>
          <w:i/>
          <w:sz w:val="20"/>
        </w:rPr>
        <w:t>EN: Physics-guided semantic source free adaptation for fast-charging batteries degradation prognosis</w:t>
      </w:r>
    </w:p>
    <w:p>
      <w:pPr>
        <w:spacing w:before="0" w:after="120"/>
      </w:pPr>
      <w:r>
        <w:rPr>
          <w:b/>
        </w:rPr>
        <w:t xml:space="preserve">Source: </w:t>
      </w:r>
      <w:r>
        <w:t>ScienceDirect Publication: Applied Energy</w:t>
      </w:r>
      <w:r>
        <w:t xml:space="preserve">    </w:t>
      </w:r>
      <w:r>
        <w:rPr>
          <w:b/>
        </w:rPr>
        <w:t xml:space="preserve">Pub date: </w:t>
      </w:r>
      <w:r>
        <w:t>2026-07-28 00:00:00+00:00</w:t>
      </w:r>
      <w:r>
        <w:t xml:space="preserve">    </w:t>
      </w:r>
      <w:r>
        <w:rPr>
          <w:b/>
        </w:rPr>
        <w:t xml:space="preserve">DOI: </w:t>
      </w:r>
      <w:hyperlink r:id="rId167">
        <w:r>
          <w:rPr>
            <w:color w:val="1155CC"/>
            <w:u w:val="single"/>
          </w:rPr>
          <w:t>10.1016/j.apenergy.2026.128504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113">
        <w:r>
          <w:rPr>
            <w:color w:val="1155CC"/>
            <w:u w:val="single"/>
          </w:rPr>
          <w:t>锂金属电池中的纤维素复合材料</w:t>
        </w:r>
      </w:hyperlink>
    </w:p>
    <w:p>
      <w:pPr>
        <w:spacing w:before="0" w:after="80"/>
      </w:pPr>
      <w:r>
        <w:rPr>
          <w:i/>
          <w:sz w:val="20"/>
        </w:rPr>
        <w:t>EN: Cellulosic Composites in Lithium Metal Batteries</w:t>
      </w:r>
    </w:p>
    <w:p>
      <w:pPr>
        <w:spacing w:before="0" w:after="120"/>
      </w:pPr>
      <w:r>
        <w:rPr>
          <w:b/>
        </w:rPr>
        <w:t xml:space="preserve">Source: </w:t>
      </w:r>
      <w:r>
        <w:t>Wiley: Advanced Materials: Table of Contents</w:t>
      </w:r>
      <w:r>
        <w:t xml:space="preserve">    </w:t>
      </w:r>
      <w:r>
        <w:rPr>
          <w:b/>
        </w:rPr>
        <w:t xml:space="preserve">Pub date: </w:t>
      </w:r>
      <w:r>
        <w:t>2026-07-28 10:19:23+00:00</w:t>
      </w:r>
      <w:r>
        <w:t xml:space="preserve">    </w:t>
      </w:r>
      <w:r>
        <w:rPr>
          <w:b/>
        </w:rPr>
        <w:t xml:space="preserve">DOI: </w:t>
      </w:r>
      <w:hyperlink r:id="rId114">
        <w:r>
          <w:rPr>
            <w:color w:val="1155CC"/>
            <w:u w:val="single"/>
          </w:rPr>
          <w:t>10.1002/adma.74314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金属电池（LMB）对于下一代高能量密度储能有着巨大的前景，但其实际部署却因锂枝晶生长、不稳定的固体电解质界面（SEI）、锂负极的无限体积膨胀和较差的热安全性而受到严重阻碍。作为一种丰富、可再生、可生物降解、低成本的生物质聚合物，纤维素及其衍生物具有突出的机械鲁棒性、可调的灵活性、丰富的表面羟基和可设计的分级微/纳米结构，这使得它们在解决LMB的关键瓶颈方面具有独特的优势。本综述重点关注纤维素基复合材料在提高 LMB 电化学和安全性能方面的多功能作用和潜在机制。纤维素凭借极性官能团和刚柔结合结构，可以有效均匀化Li</w:t>
      </w:r>
      <w:r>
        <w:t xml:space="preserve"> </w:t>
      </w:r>
      <w:r>
        <w:t>+</w:t>
      </w:r>
      <w:r>
        <w:t xml:space="preserve"> </w:t>
      </w:r>
      <w:r>
        <w:t>通量，引导均匀的锂沉积，抑制枝晶成核和扩展，并减轻循环过程中的体积波动。同时，纤维素基体显着提高了聚合物电解质和隔膜的机械强度、热稳定性、阻燃性和离子电导率。重点介绍了七种功能性纤维素复合材料在电解质、隔膜、3D 阳极主体、人工界面层和界面调节剂中的应用。最后，纤维素材料未来向高性能L方向发展</w:t>
      </w:r>
    </w:p>
    <w:p>
      <w:pPr>
        <w:spacing w:before="0" w:after="200" w:lineRule="auto" w:line="276"/>
      </w:pPr>
      <w:r>
        <w:rPr>
          <w:b/>
        </w:rPr>
        <w:t xml:space="preserve">Abstract (EN): </w:t>
      </w:r>
      <w:r>
        <w:t>Lithium metal batteries (LMBs) hold great promise for next‐generation high‐energy‐density energy storage, yet their practical deployment is severely hindered by lithium dendrite growth, unstable solid electrolyte interphase (SEI), infinite volume expansion of lithium anodes, and poor thermal safety. As an abundant, renewable, biodegradable, and low‐cost biomass polymer, cellulose and its derivatives feature outstanding mechanical robustness, tunable flexibility, rich surface hydroxyl groups, and designable hierarchical micro/nanostructures, which endow them with unique advantages in addressing critical bottlenecks of LMBs. This review focuses on the multifunctional roles and underlying mechanisms of cellulose‐based composites in boosting the electrochemical and safety performance of LMBs. By virtue of polar functional groups and rigid‐flexible integrated structures, cellulose can effectively homogenize Li</w:t>
      </w:r>
      <w:r>
        <w:t xml:space="preserve"> </w:t>
      </w:r>
      <w:r>
        <w:t>+</w:t>
      </w:r>
      <w:r>
        <w:t xml:space="preserve"> </w:t>
      </w:r>
      <w:r>
        <w:t>flux, guide uniform lithium deposition, suppress dendrite nucleation and propagation, and alleviate volume fluctuation during cycling. Meanwhile, cellulose‐based matrices significantly enhance the mechanical strength, thermal stability, flame retardancy, and ionic conductivity of polymer electrolytes and separators. Seven types of functional cellulose composites are highlighted regarding their applications in electrolytes, separators, 3D anode hosts, artificial interphase layers, and interface regulators. Finally, the future development of cellulose materials toward high‐performance LMBs is prospected from the aspects of precise molecular modification, biomimetic ordered ion transport, and scalable green fabrication. This review provides systematic insights into the performance enhancement mechanisms and application strategies of cellulose for high‐safety and long‐lifespan lithium metal batteries.</w:t>
      </w:r>
    </w:p>
    <w:p>
      <w:pPr>
        <w:spacing w:before="120" w:after="120"/>
      </w:pPr>
      <w:r>
        <w:rPr>
          <w:sz w:val="18"/>
        </w:rPr>
        <w:t>——————————————————————————————————————————————————————————————————————</w:t>
      </w:r>
    </w:p>
    <w:p>
      <w:pPr>
        <w:spacing w:before="160" w:after="40" w:line="240" w:lineRule="auto"/>
      </w:pPr>
      <w:r>
        <w:rPr>
          <w:b/>
        </w:rPr>
        <w:t xml:space="preserve">[13] </w:t>
      </w:r>
      <w:hyperlink r:id="rId115">
        <w:r>
          <w:rPr>
            <w:color w:val="1155CC"/>
            <w:u w:val="single"/>
          </w:rPr>
          <w:t>用于超过 1100 Wh L−1 的稳定柔性锂金属电池的电场自调节 3D 复合集电器</w:t>
        </w:r>
      </w:hyperlink>
    </w:p>
    <w:p>
      <w:pPr>
        <w:spacing w:before="0" w:after="80"/>
      </w:pPr>
      <w:r>
        <w:rPr>
          <w:i/>
          <w:sz w:val="20"/>
        </w:rPr>
        <w:t>EN: Electric‐field Self‐Regulating 3D Composite Current Collectors for Stable Flexible Lithium Metal Batteries Over 1100 Wh L−1</w:t>
      </w:r>
    </w:p>
    <w:p>
      <w:pPr>
        <w:spacing w:before="0" w:after="120"/>
      </w:pPr>
      <w:r>
        <w:rPr>
          <w:b/>
        </w:rPr>
        <w:t xml:space="preserve">Source: </w:t>
      </w:r>
      <w:r>
        <w:t>Wiley: Advanced Materials: Table of Contents</w:t>
      </w:r>
      <w:r>
        <w:t xml:space="preserve">    </w:t>
      </w:r>
      <w:r>
        <w:rPr>
          <w:b/>
        </w:rPr>
        <w:t xml:space="preserve">Pub date: </w:t>
      </w:r>
      <w:r>
        <w:t>2026-07-28 11:18:08+00:00</w:t>
      </w:r>
      <w:r>
        <w:t xml:space="preserve">    </w:t>
      </w:r>
      <w:r>
        <w:rPr>
          <w:b/>
        </w:rPr>
        <w:t xml:space="preserve">DOI: </w:t>
      </w:r>
      <w:hyperlink r:id="rId116">
        <w:r>
          <w:rPr>
            <w:color w:val="1155CC"/>
            <w:u w:val="single"/>
          </w:rPr>
          <w:t>10.1002/adma.74338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年来，高容量、灵活且稳定的锂金属电池因其在未来机器人、可穿戴电子产品和电动汽车中的高需求而受到前所未有的关注。然而，它们的发展在很大程度上受到了厚锂金属负极和铜（Cu）集流体（CC）的使用的阻碍，这不可避免地会引发枝晶形成、大量体积膨胀和变形下的机械故障。为了应对这些挑战，我们在此报告了一种多孔电场自调节复合 CC，它有助于形成异常致密、无枝晶且机械柔性的锂金属阳极。复合 CC 采用三维 (3D) 金属/铁电聚合物/金属夹层结构，可产生局部反向电场，以抵消枝晶形成的尖端效应。这种自我调节机制将锂金属的密集沉积限制在中间铁电聚合物框架内，从而消除了枝晶形态，同时赋予了显着的机械灵活性。与商用 NCM 搭配使用时</w:t>
      </w:r>
      <w:r>
        <w:rPr>
          <w:vertAlign w:val="subscript"/>
        </w:rPr>
        <w:t>811</w:t>
      </w:r>
      <w:r>
        <w:t>阴极，所得的全电池表现出超高的体积能量密度（1183 Wh L</w:t>
      </w:r>
      <w:r>
        <w:t xml:space="preserve"> </w:t>
      </w:r>
      <w:r>
        <w:t>−1</w:t>
      </w:r>
      <w:r>
        <w:t xml:space="preserve"> </w:t>
      </w:r>
      <w:r>
        <w:t>）和出色的容量保持率（每个周期 99.94%）。该电池还能承受 24000 次弯曲循环，容量没有明显衰减。这项工作展示了一种多功能的 CC 设计策略，为超高能和</w:t>
      </w:r>
    </w:p>
    <w:p>
      <w:pPr>
        <w:spacing w:before="0" w:after="200" w:lineRule="auto" w:line="276"/>
      </w:pPr>
      <w:r>
        <w:rPr>
          <w:b/>
        </w:rPr>
        <w:t xml:space="preserve">Abstract (EN): </w:t>
      </w:r>
      <w:r>
        <w:t>High volumetric energy, flexible, and stable lithium (Li) metal batteries have received unprecedented attention in recent years because of their high demand in future robotics, wearable electronics, and electric vehicles. However, their development has been largely hindered by the use of thick Li metal anode and copper (Cu) current collector (CC), which inevitably trigger dendrite formation, massive volume expansion, and mechanical failure under deformation. To address these challenges, we report here a porous, electric‐field self‐regulating composite CC that facilitates the formation of an exceptionally dense, dendrite‐free, yet mechanically flexible Li metal anode. Structured with a three‐dimensional (3D) metal/ferroelectric polymer/metal sandwich architecture, the composite CC generates localized reverse electric fields to counteract the tip effect of dendrite formation. This self‐regulation mechanism confines dense deposition of Li metal within the middle ferroelectric polymer framework, thereby eliminating dendritic morphology while imparting remarkable mechanical flexibility. When paired with a commercial NCM</w:t>
      </w:r>
      <w:r>
        <w:rPr>
          <w:vertAlign w:val="subscript"/>
        </w:rPr>
        <w:t>811</w:t>
      </w:r>
      <w:r>
        <w:t>cathode, the resulting full cells demonstrate an ultrahigh volumetric energy density (1183 Wh L</w:t>
      </w:r>
      <w:r>
        <w:t xml:space="preserve"> </w:t>
      </w:r>
      <w:r>
        <w:t>−1</w:t>
      </w:r>
      <w:r>
        <w:t xml:space="preserve"> </w:t>
      </w:r>
      <w:r>
        <w:t>) and outstanding capacity retention (99.94 % per cycle). The battery also sustains 24 000 bending cycles without obvious capacity decay. This work demonstrates a versatile CC design strategy, paving the way toward ultrahigh‐energy and flexible energy storage devices.</w:t>
      </w:r>
    </w:p>
    <w:p>
      <w:pPr>
        <w:spacing w:before="120" w:after="120"/>
      </w:pPr>
      <w:r>
        <w:rPr>
          <w:sz w:val="18"/>
        </w:rPr>
        <w:t>——————————————————————————————————————————————————————————————————————</w:t>
      </w:r>
    </w:p>
    <w:p>
      <w:pPr>
        <w:spacing w:before="160" w:after="40" w:line="240" w:lineRule="auto"/>
      </w:pPr>
      <w:r>
        <w:rPr>
          <w:b/>
        </w:rPr>
        <w:t xml:space="preserve">[14] </w:t>
      </w:r>
      <w:hyperlink r:id="rId80">
        <w:r>
          <w:rPr>
            <w:color w:val="1155CC"/>
            <w:u w:val="single"/>
          </w:rPr>
          <w:t>COF 和 CoO 的主客体协同作用可实现原位氧空位并调节高性能无阳极/少锂金属电池的 Li+ 行为</w:t>
        </w:r>
      </w:hyperlink>
    </w:p>
    <w:p>
      <w:pPr>
        <w:spacing w:before="0" w:after="80"/>
      </w:pPr>
      <w:r>
        <w:rPr>
          <w:i/>
          <w:sz w:val="20"/>
        </w:rPr>
        <w:t>EN: Host–Guest Synergy of COF and CoO Enables In Situ Oxygen Vacancies and Regulated Li+ Behavior for High‐Performance Anode‑Free/Less Li Metal Batteries</w:t>
      </w:r>
    </w:p>
    <w:p>
      <w:pPr>
        <w:spacing w:before="0" w:after="120"/>
      </w:pPr>
      <w:r>
        <w:rPr>
          <w:b/>
        </w:rPr>
        <w:t xml:space="preserve">Source: </w:t>
      </w:r>
      <w:r>
        <w:t>Wiley: Advanced Materials: Table of Contents</w:t>
      </w:r>
      <w:r>
        <w:t xml:space="preserve">    </w:t>
      </w:r>
      <w:r>
        <w:rPr>
          <w:b/>
        </w:rPr>
        <w:t xml:space="preserve">Pub date: </w:t>
      </w:r>
      <w:r>
        <w:t>2026-07-28 11:31:48+00:00</w:t>
      </w:r>
      <w:r>
        <w:t xml:space="preserve">    </w:t>
      </w:r>
      <w:r>
        <w:rPr>
          <w:b/>
        </w:rPr>
        <w:t xml:space="preserve">DOI: </w:t>
      </w:r>
      <w:hyperlink r:id="rId81">
        <w:r>
          <w:rPr>
            <w:color w:val="1155CC"/>
            <w:u w:val="single"/>
          </w:rPr>
          <w:t>10.1002/adma.74373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无阳极锂金属电池（AFLMB）因其高能量密度而成为电动汽车和低空飞机的绝佳候选者。然而，由于锂的可逆性较差，AFMBs的工业化仍然受到限制。</w:t>
      </w:r>
      <w:r>
        <w:t xml:space="preserve"> </w:t>
      </w:r>
      <w:r>
        <w:t>+</w:t>
      </w:r>
      <w:r>
        <w:t xml:space="preserve"> </w:t>
      </w:r>
      <w:r>
        <w:t>Cu 集流体 (CC) 上的沉积和剥离。在这项研究中，构建了一种集成共价有机骨架（COF）膜和CoO纳米颗粒的复合CC（TCMS@Cu）来应对这些挑战。 TCMS@Cu 通过外延生长在铜箔上形成致密的 COF 晶体膜，并掺入亲锂 CoO 纳米颗粒。 COF和CoO之间的主客体协同效应有效引导Li</w:t>
      </w:r>
      <w:r>
        <w:t xml:space="preserve"> </w:t>
      </w:r>
      <w:r>
        <w:t>+</w:t>
      </w:r>
      <w:r>
        <w:t xml:space="preserve"> </w:t>
      </w:r>
      <w:r>
        <w:t>迁移到COF空腔中，有效抑制枝晶形成和非活性锂的积累。在初始沉积过程中，CoO 与 Li 发生反应</w:t>
      </w:r>
      <w:r>
        <w:t xml:space="preserve"> </w:t>
      </w:r>
      <w:r>
        <w:t>+</w:t>
      </w:r>
      <w:r>
        <w:t xml:space="preserve"> </w:t>
      </w:r>
      <w:r>
        <w:t>产生氧空位，进一步增强TCMS膜的性能。用LiFePO组装的无阳极锂金属电池（ALLMB）</w:t>
      </w:r>
      <w:r>
        <w:rPr>
          <w:vertAlign w:val="subscript"/>
        </w:rPr>
        <w:t>4</w:t>
      </w:r>
      <w:r>
        <w:t>正极实现了 850 次循环的优异循环寿命和 5C 下 94.4% 的高倍率容量保持率。组装好的 AFLMB 软包电池可提供 288 Wh kg 的能量密度</w:t>
      </w:r>
      <w:r>
        <w:t xml:space="preserve"> </w:t>
      </w:r>
      <w:r>
        <w:t>−1</w:t>
      </w:r>
      <w:r>
        <w:t xml:space="preserve"> </w:t>
      </w:r>
      <w:r>
        <w:t>(LFP|CC) 和 452 Wh 千克</w:t>
      </w:r>
      <w:r>
        <w:t xml:space="preserve"> </w:t>
      </w:r>
      <w:r>
        <w:t>−1</w:t>
      </w:r>
      <w:r>
        <w:t xml:space="preserve"> </w:t>
      </w:r>
      <w:r>
        <w:t>(NCM811|CC)（没有单元罐和标签的情况下计算）。这项工作为设计高品质产品提供了有效的策略。</w:t>
      </w:r>
    </w:p>
    <w:p>
      <w:pPr>
        <w:spacing w:before="0" w:after="200" w:lineRule="auto" w:line="276"/>
      </w:pPr>
      <w:r>
        <w:rPr>
          <w:b/>
        </w:rPr>
        <w:t xml:space="preserve">Abstract (EN): </w:t>
      </w:r>
      <w:r>
        <w:t>Anode‐free Li metal batteries (AFLMBs) are excellent candidates for electric vehicles and low‐altitude aircrafts because of their high energy density. However, the industrialization of AFLMBs remains limited by the poor reversibility of Li</w:t>
      </w:r>
      <w:r>
        <w:t xml:space="preserve"> </w:t>
      </w:r>
      <w:r>
        <w:t>+</w:t>
      </w:r>
      <w:r>
        <w:t xml:space="preserve"> </w:t>
      </w:r>
      <w:r>
        <w:t>deposition and stripping on Cu current collectors (CCs). In this study, a composite CC (TCMS@Cu) integrating a covalent organic framework (COF) membrane and CoO nanoparticles is constructed to address these challenges. The TCMS@Cu forms a dense COF crystalline membrane on Cu foil via epitaxial growth and incorporates lithiophilic CoO nanoparticles. The host–guest synergistic effect between the COF and CoO effectively guides Li</w:t>
      </w:r>
      <w:r>
        <w:t xml:space="preserve"> </w:t>
      </w:r>
      <w:r>
        <w:t>+</w:t>
      </w:r>
      <w:r>
        <w:t xml:space="preserve"> </w:t>
      </w:r>
      <w:r>
        <w:t>migration into COF cavities, effectively suppressing dendrite formation and the accumulation of inactive Li. During the initial deposition process, CoO reacts with Li</w:t>
      </w:r>
      <w:r>
        <w:t xml:space="preserve"> </w:t>
      </w:r>
      <w:r>
        <w:t>+</w:t>
      </w:r>
      <w:r>
        <w:t xml:space="preserve"> </w:t>
      </w:r>
      <w:r>
        <w:t>to generate oxygen vacancies, further enhancing the performance of the TCMS membrane. The anode‐less Li metal batteries (ALLMBs) assembled with LiFePO</w:t>
      </w:r>
      <w:r>
        <w:rPr>
          <w:vertAlign w:val="subscript"/>
        </w:rPr>
        <w:t>4</w:t>
      </w:r>
      <w:r>
        <w:t>cathode achieve an exceptional cycle life of 850 cycles and a high‐rate capacity retention of 94.4% at 5C. The assembled AFLMB pouch cells deliver energy densities of 288 Wh kg</w:t>
      </w:r>
      <w:r>
        <w:t xml:space="preserve"> </w:t>
      </w:r>
      <w:r>
        <w:t>−1</w:t>
      </w:r>
      <w:r>
        <w:t xml:space="preserve"> </w:t>
      </w:r>
      <w:r>
        <w:t>(LFP|CC) and 452 Wh kg</w:t>
      </w:r>
      <w:r>
        <w:t xml:space="preserve"> </w:t>
      </w:r>
      <w:r>
        <w:t>−1</w:t>
      </w:r>
      <w:r>
        <w:t xml:space="preserve"> </w:t>
      </w:r>
      <w:r>
        <w:t>(NCM811|CC) (calculated without cell can and tabs). This work provides an effective strategy for designing high performance AFLMBs and promotes the development of next‐generation energy storage devices.</w:t>
      </w:r>
    </w:p>
    <w:p>
      <w:pPr>
        <w:spacing w:before="120" w:after="120"/>
      </w:pPr>
      <w:r>
        <w:rPr>
          <w:sz w:val="18"/>
        </w:rPr>
        <w:t>——————————————————————————————————————————————————————————————————————</w:t>
      </w:r>
    </w:p>
    <w:p>
      <w:pPr>
        <w:spacing w:before="160" w:after="40" w:line="240" w:lineRule="auto"/>
      </w:pPr>
      <w:r>
        <w:rPr>
          <w:b/>
        </w:rPr>
        <w:t xml:space="preserve">[15] </w:t>
      </w:r>
      <w:hyperlink r:id="rId168">
        <w:r>
          <w:rPr>
            <w:color w:val="1155CC"/>
            <w:u w:val="single"/>
          </w:rPr>
          <w:t>面向应用的锂离子电池单向二元多频电化学阻抗谱</w:t>
        </w:r>
      </w:hyperlink>
    </w:p>
    <w:p>
      <w:pPr>
        <w:spacing w:before="0" w:after="80"/>
      </w:pPr>
      <w:r>
        <w:rPr>
          <w:i/>
          <w:sz w:val="20"/>
        </w:rPr>
        <w:t>EN: Application-oriented unidirectional binary multi-frequency electrochemical impedance spectroscopy for lithium-ion batteries</w:t>
      </w:r>
    </w:p>
    <w:p>
      <w:pPr>
        <w:spacing w:before="0" w:after="120"/>
      </w:pPr>
      <w:r>
        <w:rPr>
          <w:b/>
        </w:rPr>
        <w:t xml:space="preserve">Source: </w:t>
      </w:r>
      <w:r>
        <w:t>ScienceDirect Publication: Applied Energy</w:t>
      </w:r>
      <w:r>
        <w:t xml:space="preserve">    </w:t>
      </w:r>
      <w:r>
        <w:rPr>
          <w:b/>
        </w:rPr>
        <w:t xml:space="preserve">Pub date: </w:t>
      </w:r>
      <w:r>
        <w:t>2026-07-29 00:00:00+00:00</w:t>
      </w:r>
      <w:r>
        <w:t xml:space="preserve">    </w:t>
      </w:r>
      <w:r>
        <w:rPr>
          <w:b/>
        </w:rPr>
        <w:t xml:space="preserve">DOI: </w:t>
      </w:r>
      <w:hyperlink r:id="rId169">
        <w:r>
          <w:rPr>
            <w:color w:val="1155CC"/>
            <w:u w:val="single"/>
          </w:rPr>
          <w:t>10.1016/j.apenergy.2026.128518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170">
        <w:r>
          <w:rPr>
            <w:color w:val="1155CC"/>
            <w:u w:val="single"/>
          </w:rPr>
          <w:t>阀门应变启用对 LiFePO4 储能电池过热引起的热失控进行阶段性预警</w:t>
        </w:r>
      </w:hyperlink>
    </w:p>
    <w:p>
      <w:pPr>
        <w:spacing w:before="0" w:after="80"/>
      </w:pPr>
      <w:r>
        <w:rPr>
          <w:i/>
          <w:sz w:val="20"/>
        </w:rPr>
        <w:t>EN: Valve-strain-enabled staged early warning of overheating-induced thermal runaway in LiFePO4 energy storage cells</w:t>
      </w:r>
    </w:p>
    <w:p>
      <w:pPr>
        <w:spacing w:before="0" w:after="120"/>
      </w:pPr>
      <w:r>
        <w:rPr>
          <w:b/>
        </w:rPr>
        <w:t xml:space="preserve">Source: </w:t>
      </w:r>
      <w:r>
        <w:t>ScienceDirect Publication: Applied Energy</w:t>
      </w:r>
      <w:r>
        <w:t xml:space="preserve">    </w:t>
      </w:r>
      <w:r>
        <w:rPr>
          <w:b/>
        </w:rPr>
        <w:t xml:space="preserve">Pub date: </w:t>
      </w:r>
      <w:r>
        <w:t>2026-07-29 00:00:00+00:00</w:t>
      </w:r>
      <w:r>
        <w:t xml:space="preserve">    </w:t>
      </w:r>
      <w:r>
        <w:rPr>
          <w:b/>
        </w:rPr>
        <w:t xml:space="preserve">DOI: </w:t>
      </w:r>
      <w:hyperlink r:id="rId171">
        <w:r>
          <w:rPr>
            <w:color w:val="1155CC"/>
            <w:u w:val="single"/>
          </w:rPr>
          <w:t>10.1016/j.apenergy.2026.128524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172">
        <w:r>
          <w:rPr>
            <w:color w:val="1155CC"/>
            <w:u w:val="single"/>
          </w:rPr>
          <w:t>通过激光激励超声波传感和变压器网络对多种锂离子电池进行操作状态监测</w:t>
        </w:r>
      </w:hyperlink>
    </w:p>
    <w:p>
      <w:pPr>
        <w:spacing w:before="0" w:after="80"/>
      </w:pPr>
      <w:r>
        <w:rPr>
          <w:i/>
          <w:sz w:val="20"/>
        </w:rPr>
        <w:t>EN: Operando state monitoring of diversified lithium-ion batteries via laser-excited ultrasonic sensing with transformer networks</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73">
        <w:r>
          <w:rPr>
            <w:color w:val="1155CC"/>
            <w:u w:val="single"/>
          </w:rPr>
          <w:t>10.1126/sciadv.aec5358</w:t>
        </w:r>
      </w:hyperlink>
    </w:p>
    <w:p>
      <w:pPr>
        <w:spacing w:before="0" w:after="120"/>
      </w:pPr>
      <w:r>
        <w:rPr>
          <w:b/>
        </w:rPr>
        <w:t xml:space="preserve">Notes: </w:t>
      </w:r>
      <w:r>
        <w:t>abstract_source=crossref</w:t>
      </w:r>
    </w:p>
    <w:p>
      <w:pPr>
        <w:spacing w:before="0" w:after="80" w:lineRule="auto" w:line="276"/>
      </w:pPr>
      <w:r>
        <w:rPr>
          <w:b/>
        </w:rPr>
        <w:t xml:space="preserve">摘要（ZH）: </w:t>
      </w:r>
      <w:r>
        <w:t>新兴的接触式和浸入式压电超声波技术在高速率操作下实现精确的电池状态监测面临着挑战，其中温度波动会扭曲超声波，耦合剂污染会影响实际适用性。在这里，我们提出了空气耦合（无耦合剂）、非接触式激光激发超声波传感（LEUS）和变压器网络，用于操作电池状态估计。独特的 LEUS 系统开创了双激光设计，使用环形脉冲激光和连续激光来生成和检测高质量超声波，其振幅增加 10 倍，信噪比达到 30 dB（比典型配置高 16 dB），从而能够精确跟踪与充电状态 (SoC) 和健康状态 (SoH) 相关的内部变化。通过将超声波信号转换为时频尺度图，变压器网络自动提取判别性特征，消除了手动特征工程，同时实现了准确预测，SoC 的平均误差低于 5.7%，SoH 的平均误差低于 2.1%。通过迁移学习，基本模型可以快速推广到看不见的化学物质、高速循环，从而用最少的超声波数据减少训练时间和成本。对来自 40 种商用电池（涵盖两种化学成分、三种容量和 13 种协议）的超过 100,000 个超声波信号进行了广泛验证，证明了该方法在操作电池状态监测方面的稳健性和可靠性，为下一代电池管理系统铺平了道路。</w:t>
      </w:r>
    </w:p>
    <w:p>
      <w:pPr>
        <w:spacing w:before="0" w:after="200" w:lineRule="auto" w:line="276"/>
      </w:pPr>
      <w:r>
        <w:rPr>
          <w:b/>
        </w:rPr>
        <w:t xml:space="preserve">Abstract (EN): </w:t>
      </w:r>
      <w:r>
        <w:t>Emerging contact-based and immersion-based piezoelectric ultrasonic techniques encounter challenges in achieving accurate battery state monitoring under high-rate operations, where temperature fluctuations distort ultrasound and couplant contamination compromises practical applicability. Here, we propose air-coupled (couplant-free), noncontact laser-excited ultrasonic sensing (LEUS) with transformer networks for operando battery state estimation. The unique LEUS system pioneers a dual-laser design that uses a ring-shaped pulsed laser and a continuous laser to generate and detect high-quality ultrasound with a 10-fold increase in amplitude and a signal-to-noise ratio of 30 dB (16 dB higher than typical configurations), thereby enabling precise tracking of internal changes associated with state of charge (SoC) and state of health (SoH). By transforming ultrasonic signals into time-frequency scalograms, transformer networks autonomously extract discriminative features, eliminating manual feature engineering while achieving accurate prediction with mean errors below 5.7% for SoC and 2.1% for SoH. Through transfer learning, the base model generalizes rapidly to unseen chemistries, high-rate cycling, reducing training time and cost with minimal ultrasonic data. Extensive validation on over 100,000 ultrasonic signals from 40 commercial batteries, spanning two chemistries, three capacities, and 13 protocols, demonstrates the method’s robustness and reliability for operando battery state monitoring, paving the way for next-generation battery-management systems.</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74">
        <w:r>
          <w:rPr>
            <w:color w:val="1155CC"/>
            <w:u w:val="single"/>
          </w:rPr>
          <w:t>氧化还原介导的铝空气燃料电池，可抑制析氢，实现持久发电（Adv. Energy Mater. 28/2026）</w:t>
        </w:r>
      </w:hyperlink>
    </w:p>
    <w:p>
      <w:pPr>
        <w:spacing w:before="0" w:after="80"/>
      </w:pPr>
      <w:r>
        <w:rPr>
          <w:i/>
          <w:sz w:val="20"/>
        </w:rPr>
        <w:t>EN: Redox‐Mediated Aluminum–Air Fuel Cells With Suppressed Hydrogen Evolution for Durable Power Generation (Adv. Energy Mater. 28/2026)</w:t>
      </w:r>
    </w:p>
    <w:p>
      <w:pPr>
        <w:spacing w:before="0" w:after="120"/>
      </w:pPr>
      <w:r>
        <w:rPr>
          <w:b/>
        </w:rPr>
        <w:t xml:space="preserve">Source: </w:t>
      </w:r>
      <w:r>
        <w:t>Wiley: Advanced Energy Materials: Table of Contents</w:t>
      </w:r>
      <w:r>
        <w:t xml:space="preserve">    </w:t>
      </w:r>
      <w:r>
        <w:rPr>
          <w:b/>
        </w:rPr>
        <w:t xml:space="preserve">Pub date: </w:t>
      </w:r>
      <w:r>
        <w:t>2026-07-24 07:00:00+00:00</w:t>
      </w:r>
      <w:r>
        <w:t xml:space="preserve">    </w:t>
      </w:r>
      <w:r>
        <w:rPr>
          <w:b/>
        </w:rPr>
        <w:t xml:space="preserve">DOI: </w:t>
      </w:r>
      <w:hyperlink r:id="rId175">
        <w:r>
          <w:rPr>
            <w:color w:val="1155CC"/>
            <w:u w:val="single"/>
          </w:rPr>
          <w:t>10.1002/aenm.71191</w:t>
        </w:r>
      </w:hyperlink>
    </w:p>
    <w:p>
      <w:pPr>
        <w:spacing w:before="0" w:after="120"/>
      </w:pPr>
      <w:r>
        <w:rPr>
          <w:b/>
        </w:rPr>
        <w:t xml:space="preserve">Notes: </w:t>
      </w:r>
      <w:r>
        <w:t>abstract_source=openalex</w:t>
      </w:r>
    </w:p>
    <w:p>
      <w:pPr>
        <w:spacing w:before="0" w:after="80" w:lineRule="auto" w:line="276"/>
      </w:pPr>
      <w:r>
        <w:rPr>
          <w:b/>
        </w:rPr>
        <w:t xml:space="preserve">摘要（ZH）: </w:t>
      </w:r>
      <w:r>
        <w:t>铝空气燃料电池 在文章编号 e71004 中，Hang Chang、Qing Wang 及其同事提出了一种氧化还原介导的铝空气燃料电池，该电池将铝氧化从电极释放到单独的燃料箱中，同时通过超快电子转移抑制析氢。通过将储能与发电分离，该系统可为无人机、机器人和其他移动应用提供快速可充电、长续航的电源。</w:t>
      </w:r>
    </w:p>
    <w:p>
      <w:pPr>
        <w:spacing w:before="0" w:after="200" w:lineRule="auto" w:line="276"/>
      </w:pPr>
      <w:r>
        <w:rPr>
          <w:b/>
        </w:rPr>
        <w:t xml:space="preserve">Abstract (EN): </w:t>
      </w:r>
      <w:r>
        <w:t>Aluminum–Air Fuel Cells In article number e71004, Hang Zhang, Qing Wang, and co-workers present a redox-mediated Al-air fuel cell that liberates aluminum oxidation from the electrode into a separate fuel tank while suppressing hydrogen evolution through ultrafast electron transfer. By decoupling energy storage from power generation, the system enables rapidly refuellable, long-endurance power sources for drones, robots, and other mobility applications.</w:t>
      </w:r>
    </w:p>
    <w:p>
      <w:pPr>
        <w:spacing w:before="120" w:after="120"/>
      </w:pPr>
      <w:r>
        <w:rPr>
          <w:sz w:val="18"/>
        </w:rPr>
        <w:t>——————————————————————————————————————————————————————————————————————</w:t>
      </w:r>
    </w:p>
    <w:p>
      <w:pPr>
        <w:spacing w:before="160" w:after="40" w:line="240" w:lineRule="auto"/>
      </w:pPr>
      <w:r>
        <w:rPr>
          <w:b/>
        </w:rPr>
        <w:t xml:space="preserve">[2] </w:t>
      </w:r>
      <w:hyperlink r:id="rId176">
        <w:r>
          <w:rPr>
            <w:color w:val="1155CC"/>
            <w:u w:val="single"/>
          </w:rPr>
          <w:t>将电子跃迁与电输出关联起来，揭示内壳电子电池中光子介导的能量转换机制</w:t>
        </w:r>
      </w:hyperlink>
    </w:p>
    <w:p>
      <w:pPr>
        <w:spacing w:before="0" w:after="80"/>
      </w:pPr>
      <w:r>
        <w:rPr>
          <w:i/>
          <w:sz w:val="20"/>
        </w:rPr>
        <w:t>EN: Correlating Electronic Transition With Electrical Output to Reveal Photon‐Mediated Energy Conversion Mechanism in Inner‐Shell Electron Battery</w:t>
      </w:r>
    </w:p>
    <w:p>
      <w:pPr>
        <w:spacing w:before="0" w:after="120"/>
      </w:pPr>
      <w:r>
        <w:rPr>
          <w:b/>
        </w:rPr>
        <w:t xml:space="preserve">Source: </w:t>
      </w:r>
      <w:r>
        <w:t>Wiley: Angewandte Chemie International Edition: Table of Contents</w:t>
      </w:r>
      <w:r>
        <w:t xml:space="preserve">    </w:t>
      </w:r>
      <w:r>
        <w:rPr>
          <w:b/>
        </w:rPr>
        <w:t xml:space="preserve">Pub date: </w:t>
      </w:r>
      <w:r>
        <w:t>2026-07-24 10:39:21+00:00</w:t>
      </w:r>
      <w:r>
        <w:t xml:space="preserve">    </w:t>
      </w:r>
      <w:r>
        <w:rPr>
          <w:b/>
        </w:rPr>
        <w:t xml:space="preserve">DOI: </w:t>
      </w:r>
      <w:hyperlink r:id="rId177">
        <w:r>
          <w:rPr>
            <w:color w:val="1155CC"/>
            <w:u w:val="single"/>
          </w:rPr>
          <w:t>10.1002/anie.8135011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内壳电子电池通过利用限制在内壳轨道内的势能，为超高密度能量存储提供了一条有前途的途径。虽然先前的努力已经证明了通过光伏（PV）模块将势能转换为电能，但内壳电子跃迁和由此产生的电输出之间的直接相关性仍然被干扰光子所掩盖。在这里，通过将电子跃迁行为的系统理论分析与基于窄带滤波器的实验装置相结合，我们展示了一种光子介导的能量转换框架，以 Mo 为例</w:t>
      </w:r>
      <w:r>
        <w:t xml:space="preserve"> </w:t>
      </w:r>
      <w:r>
        <w:t>15+</w:t>
      </w:r>
      <w:r>
        <w:t xml:space="preserve"> </w:t>
      </w:r>
      <w:r>
        <w:t>(370.81 nm)，钼</w:t>
      </w:r>
      <w:r>
        <w:t xml:space="preserve"> </w:t>
      </w:r>
      <w:r>
        <w:t>16+</w:t>
      </w:r>
      <w:r>
        <w:t xml:space="preserve"> </w:t>
      </w:r>
      <w:r>
        <w:t>(370.85 nm) 和 La</w:t>
      </w:r>
      <w:r>
        <w:t xml:space="preserve"> </w:t>
      </w:r>
      <w:r>
        <w:t>19+</w:t>
      </w:r>
      <w:r>
        <w:t xml:space="preserve"> </w:t>
      </w:r>
      <w:r>
        <w:t>（371.96 nm）作为在光伏模块峰值效率波长附近选择的高电荷离子（HCI），它直接将特定的电子跃迁与功率输出相关联。过滤掉不相关的波长后，我们获得了 2.3 × 10 的电流响应</w:t>
      </w:r>
      <w:r>
        <w:t xml:space="preserve"> </w:t>
      </w:r>
      <w:r>
        <w:t>−12</w:t>
      </w:r>
      <w:r>
        <w:t xml:space="preserve"> </w:t>
      </w:r>
      <w:r>
        <w:t>C 通过捕获 7 × 10</w:t>
      </w:r>
      <w:r>
        <w:rPr>
          <w:vertAlign w:val="subscript"/>
        </w:rPr>
        <w:t>7</w:t>
      </w:r>
      <w:r>
        <w:t>从 1 × 10 发射的光子</w:t>
      </w:r>
      <w:r>
        <w:rPr>
          <w:vertAlign w:val="subscript"/>
        </w:rPr>
        <w:t>6</w:t>
      </w:r>
      <w:r>
        <w:t>拉</w:t>
      </w:r>
      <w:r>
        <w:t xml:space="preserve"> </w:t>
      </w:r>
      <w:r>
        <w:t>19+</w:t>
      </w:r>
      <w:r>
        <w:t xml:space="preserve"> </w:t>
      </w:r>
      <w:r>
        <w:t>离子。此外，用红外滤光片替换窄带滤光片（365–375 nm）来收集 HCI 发出的所有光子，产生的能量密度为 1 × 10</w:t>
      </w:r>
      <w:r>
        <w:rPr>
          <w:vertAlign w:val="subscript"/>
        </w:rPr>
        <w:t>4</w:t>
      </w:r>
      <w:r>
        <w:t>瓦时公斤</w:t>
      </w:r>
      <w:r>
        <w:t xml:space="preserve"> </w:t>
      </w:r>
      <w:r>
        <w:t>−1</w:t>
      </w:r>
    </w:p>
    <w:p>
      <w:pPr>
        <w:spacing w:before="0" w:after="200" w:lineRule="auto" w:line="276"/>
      </w:pPr>
      <w:r>
        <w:rPr>
          <w:b/>
        </w:rPr>
        <w:t xml:space="preserve">Abstract (EN): </w:t>
      </w:r>
      <w:r>
        <w:t>Inner‐shell electron batteries present a promising route to ultrahigh‐density energy storage by harnessing the potential energy confined within inner‐shell orbitals. While prior efforts have demonstrated the conversion of potential energy into electricity with photovoltaic (PV) modules, a direct correlation between inner‐shell electron transition and the resulting electrical output remains obscured by interfering photons. Here, by integrating systematic theoretical analysis of electron transition behaviors with a narrowband‐filter‐based experimental setup, we demonstrate a photon‐mediated energy‐conversion framework, exemplified by Mo</w:t>
      </w:r>
      <w:r>
        <w:t xml:space="preserve"> </w:t>
      </w:r>
      <w:r>
        <w:t>15+</w:t>
      </w:r>
      <w:r>
        <w:t xml:space="preserve"> </w:t>
      </w:r>
      <w:r>
        <w:t>(370.81 nm), Mo</w:t>
      </w:r>
      <w:r>
        <w:t xml:space="preserve"> </w:t>
      </w:r>
      <w:r>
        <w:t>16+</w:t>
      </w:r>
      <w:r>
        <w:t xml:space="preserve"> </w:t>
      </w:r>
      <w:r>
        <w:t>(370.85 nm), and La</w:t>
      </w:r>
      <w:r>
        <w:t xml:space="preserve"> </w:t>
      </w:r>
      <w:r>
        <w:t>19+</w:t>
      </w:r>
      <w:r>
        <w:t xml:space="preserve"> </w:t>
      </w:r>
      <w:r>
        <w:t>(371.96 nm) as highly charged ions (HCIs) selected near the peak efficiency wavelength of the PV module, which directly correlates specific electronic transition with power output. After filtering out unrelated wavelengths, we achieve a current response of 2.3 × 10</w:t>
      </w:r>
      <w:r>
        <w:t xml:space="preserve"> </w:t>
      </w:r>
      <w:r>
        <w:t>−12</w:t>
      </w:r>
      <w:r>
        <w:t xml:space="preserve"> </w:t>
      </w:r>
      <w:r>
        <w:t>C by capturing 7 × 10</w:t>
      </w:r>
      <w:r>
        <w:rPr>
          <w:vertAlign w:val="subscript"/>
        </w:rPr>
        <w:t>7</w:t>
      </w:r>
      <w:r>
        <w:t>photons emitted from 1 × 10</w:t>
      </w:r>
      <w:r>
        <w:rPr>
          <w:vertAlign w:val="subscript"/>
        </w:rPr>
        <w:t>6</w:t>
      </w:r>
      <w:r>
        <w:t>La</w:t>
      </w:r>
      <w:r>
        <w:t xml:space="preserve"> </w:t>
      </w:r>
      <w:r>
        <w:t>19+</w:t>
      </w:r>
      <w:r>
        <w:t xml:space="preserve"> </w:t>
      </w:r>
      <w:r>
        <w:t>ions. Furthermore, the replacement of the narrowband filter (365–375 nm) with an infrared filter to collect all emitted photons from HCIs yields an energy density of 1 × 10</w:t>
      </w:r>
      <w:r>
        <w:rPr>
          <w:vertAlign w:val="subscript"/>
        </w:rPr>
        <w:t>4</w:t>
      </w:r>
      <w:r>
        <w:t>Wh kg</w:t>
      </w:r>
      <w:r>
        <w:t xml:space="preserve"> </w:t>
      </w:r>
      <w:r>
        <w:t>−1</w:t>
      </w:r>
      <w:r>
        <w:t xml:space="preserve"> </w:t>
      </w:r>
      <w:r>
        <w:t>based on the mass of 1 × 10</w:t>
      </w:r>
      <w:r>
        <w:rPr>
          <w:vertAlign w:val="subscript"/>
        </w:rPr>
        <w:t>6</w:t>
      </w:r>
      <w:r>
        <w:t>La</w:t>
      </w:r>
      <w:r>
        <w:t xml:space="preserve"> </w:t>
      </w:r>
      <w:r>
        <w:t>19+</w:t>
      </w:r>
      <w:r>
        <w:t xml:space="preserve"> </w:t>
      </w:r>
      <w:r>
        <w:t>ions, thereby holding great promise for future ultrahigh‐density energy storage applications.</w:t>
      </w:r>
    </w:p>
    <w:p>
      <w:pPr>
        <w:spacing w:before="120" w:after="120"/>
      </w:pPr>
      <w:r>
        <w:rPr>
          <w:sz w:val="18"/>
        </w:rPr>
        <w:t>——————————————————————————————————————————————————————————————————————</w:t>
      </w:r>
    </w:p>
    <w:p>
      <w:pPr>
        <w:spacing w:before="160" w:after="40" w:line="240" w:lineRule="auto"/>
      </w:pPr>
      <w:r>
        <w:rPr>
          <w:b/>
        </w:rPr>
        <w:t xml:space="preserve">[3] </w:t>
      </w:r>
      <w:hyperlink r:id="rId178">
        <w:r>
          <w:rPr>
            <w:color w:val="1155CC"/>
            <w:u w:val="single"/>
          </w:rPr>
          <w:t>具有超高电流的喷雾摩擦纳米发电机用于制氢</w:t>
        </w:r>
      </w:hyperlink>
    </w:p>
    <w:p>
      <w:pPr>
        <w:spacing w:before="0" w:after="80"/>
      </w:pPr>
      <w:r>
        <w:rPr>
          <w:i/>
          <w:sz w:val="20"/>
        </w:rPr>
        <w:t>EN: Spray‐Based Triboelectric Nanogenerator With Ultra‐High Current for Hydrogen Generation</w:t>
      </w:r>
    </w:p>
    <w:p>
      <w:pPr>
        <w:spacing w:before="0" w:after="120"/>
      </w:pPr>
      <w:r>
        <w:rPr>
          <w:b/>
        </w:rPr>
        <w:t xml:space="preserve">Source: </w:t>
      </w:r>
      <w:r>
        <w:t>Wiley: Advanced Materials: Table of Contents</w:t>
      </w:r>
      <w:r>
        <w:t xml:space="preserve">    </w:t>
      </w:r>
      <w:r>
        <w:rPr>
          <w:b/>
        </w:rPr>
        <w:t xml:space="preserve">Pub date: </w:t>
      </w:r>
      <w:r>
        <w:t>2026-07-24 12:42:51+00:00</w:t>
      </w:r>
      <w:r>
        <w:t xml:space="preserve">    </w:t>
      </w:r>
      <w:r>
        <w:rPr>
          <w:b/>
        </w:rPr>
        <w:t xml:space="preserve">DOI: </w:t>
      </w:r>
      <w:hyperlink r:id="rId179">
        <w:r>
          <w:rPr>
            <w:color w:val="1155CC"/>
            <w:u w:val="single"/>
          </w:rPr>
          <w:t>10.1002/adma.74302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固液摩擦纳米发电机（SL-TENG）在蓝色能量收集方面取得了显着进展；然而，它们的实际部署仍然受到普遍较低且不连续的电流输出的限制。在这里，我们报告了一种基于喷雾的 TENG (S-TENG)，它引入了专用的火花放电装置 (SDD)，用于主动电荷积累和受控释放。该设计将放电过程从传统的被动随机击穿转变为主动、周期性火花放电方式。因此，S‑TENG 可提供突破性的 665 mA 瞬时短路电流和 900 V 开路电压，在 122 Hz 下连续运行，与典型 SL‑TENG 相比，电流幅度和频率均提高了两个数量级以上。基于这种高功率输出，S-TENG 可以直接照亮 110 W 白炽灯或同时驱动 4000 个商用 LED。当与电源管理电路集成时，它可以进一步实现水电解制氢，效率高达 55.8%。这项工作不仅将SL-TENG的电流输出推向毫安范围，而且还提供了一种通过结构解耦和主动放电调节来提高TENG功率密度的新策略，为其在海洋能量收集和电化学合成中的应用铺平了道路。</w:t>
      </w:r>
    </w:p>
    <w:p>
      <w:pPr>
        <w:spacing w:before="0" w:after="200" w:lineRule="auto" w:line="276"/>
      </w:pPr>
      <w:r>
        <w:rPr>
          <w:b/>
        </w:rPr>
        <w:t xml:space="preserve">Abstract (EN): </w:t>
      </w:r>
      <w:r>
        <w:t>Solid–liquid triboelectric nanogenerators (SL‑TENGs) have achieved notable progress in blue energy harvesting; however, their practical deployment is still limited by generally low and discontinuous current output. Here, we report a spray‑based TENG (S‑TENG) that introduces a dedicated spark discharge device (SDD) for active charge accumulation and controlled release. This design shifts the discharge process from the conventional passive and stochastic breakdown to an active, periodic spark‑discharge regime. Consequently, the S‑TENG delivers a breakthrough instantaneous short‑circuit current of 665 mA and an open‑circuit voltage of 900 V, operating continuously at 122 Hz, representing an improvement of over two orders of magnitude in both current amplitude and frequency compared to typical SL‑TENGs. Based on this high‑power output, the S‑TENG can directly illuminate a 110 W incandescent lamp or simultaneously drive 4000 commercial LEDs. When integrated with a power‑management circuit, it further enables water electrolysis for hydrogen production with an efficiency of 55.8%. This work not only pushes the current output of SL‑TENGs into the milliampere range but also provides a new strategy—through structural decoupling and active discharge regulation—to enhance the power density of TENGs, paving the way for their application in marine energy harvesting and electrochemical synthesis.</w:t>
      </w:r>
    </w:p>
    <w:p>
      <w:pPr>
        <w:spacing w:before="120" w:after="120"/>
      </w:pPr>
      <w:r>
        <w:rPr>
          <w:sz w:val="18"/>
        </w:rPr>
        <w:t>——————————————————————————————————————————————————————————————————————</w:t>
      </w:r>
    </w:p>
    <w:p>
      <w:pPr>
        <w:spacing w:before="160" w:after="40" w:line="240" w:lineRule="auto"/>
      </w:pPr>
      <w:r>
        <w:rPr>
          <w:b/>
        </w:rPr>
        <w:t xml:space="preserve">[4] </w:t>
      </w:r>
      <w:hyperlink r:id="rId180">
        <w:r>
          <w:rPr>
            <w:color w:val="1155CC"/>
            <w:u w:val="single"/>
          </w:rPr>
          <w:t>用于高效能量收集和自供电可穿戴传感器的铁电电荷转移共晶的可拉伸压电膜</w:t>
        </w:r>
      </w:hyperlink>
    </w:p>
    <w:p>
      <w:pPr>
        <w:spacing w:before="0" w:after="80"/>
      </w:pPr>
      <w:r>
        <w:rPr>
          <w:i/>
          <w:sz w:val="20"/>
        </w:rPr>
        <w:t>EN: Stretchable Piezoelectric Membrane of Ferroelectric Charge‐Transfer Cocrystals for Efficient Energy Harvesting and Self‐Powered Wearable Sensors</w:t>
      </w:r>
    </w:p>
    <w:p>
      <w:pPr>
        <w:spacing w:before="0" w:after="120"/>
      </w:pPr>
      <w:r>
        <w:rPr>
          <w:b/>
        </w:rPr>
        <w:t xml:space="preserve">Source: </w:t>
      </w:r>
      <w:r>
        <w:t>Wiley: Advanced Materials: Table of Contents</w:t>
      </w:r>
      <w:r>
        <w:t xml:space="preserve">    </w:t>
      </w:r>
      <w:r>
        <w:rPr>
          <w:b/>
        </w:rPr>
        <w:t xml:space="preserve">Pub date: </w:t>
      </w:r>
      <w:r>
        <w:t>2026-07-24 12:48:39+00:00</w:t>
      </w:r>
      <w:r>
        <w:t xml:space="preserve">    </w:t>
      </w:r>
      <w:r>
        <w:rPr>
          <w:b/>
        </w:rPr>
        <w:t xml:space="preserve">DOI: </w:t>
      </w:r>
      <w:hyperlink r:id="rId181">
        <w:r>
          <w:rPr>
            <w:color w:val="1155CC"/>
            <w:u w:val="single"/>
          </w:rPr>
          <w:t>10.1002/adma.74274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自感知和智能驱动功能的智能光纤执行器激发了人们在感知环境变化和响应实时运动方面的巨大努力，在人机交互和物联网方面展现出了巨大的前景。有机铁电物质在柔性机械执行器中呈现出诱人的前景，但在智能光纤执行器中却很少得到开发。在此，我们提出了一种由7H-二苯并[</w:t>
      </w:r>
      <w:r>
        <w:t xml:space="preserve"> </w:t>
      </w:r>
      <w:r>
        <w:t>克,克</w:t>
      </w:r>
      <w:r>
        <w:t xml:space="preserve"> </w:t>
      </w:r>
      <w:r>
        <w:t>]咔唑和四氰基醌二甲烷，证明了非中心对称排列</w:t>
      </w:r>
      <w:r>
        <w:t xml:space="preserve"> </w:t>
      </w:r>
      <w:r>
        <w:t>磷</w:t>
      </w:r>
      <w:r>
        <w:t xml:space="preserve"> </w:t>
      </w:r>
      <w:r>
        <w:t>c 空间群，具有 500 V/cm 的低矫顽场。此外，在静电纺丝过程中，在聚偏二氟乙烯（PVDF）基体中进行铁电共晶的定位自组装，获得了压电系数为0.6744 nm/V的可扩展压电纳米纤维。值得注意的是，这些制备的纳米纤维被有目的地用于形成柔性压电纳米发电机，在 200 N 下产生 60 V 的瞬时峰值电压输出，压力灵敏度为 0.3060 V/N。我们预见到准确检测生理信号（例如手指弯曲和呼吸）的应用可能性。这项工作为具有成本效益的铁电共晶的精彩光电应用开辟了途径。</w:t>
      </w:r>
    </w:p>
    <w:p>
      <w:pPr>
        <w:spacing w:before="0" w:after="200" w:lineRule="auto" w:line="276"/>
      </w:pPr>
      <w:r>
        <w:rPr>
          <w:b/>
        </w:rPr>
        <w:t xml:space="preserve">Abstract (EN): </w:t>
      </w:r>
      <w:r>
        <w:t>Smart fiber actuators with self‐sensing and intelligent actuation have inspired great efforts toward perceiving environmental changes and responding real‐time movements, showing great promise in the man‐machine interaction and the Internet of Things. Organic ferroelectric species present an enticing prospect in flexible mechanical actuators, yet are rarely developed in smart fiber actuators. Herein, we proposed an organic charge‐transfer ferroelectric cocrystal composed of 7H‐Dibenzo[</w:t>
      </w:r>
      <w:r>
        <w:t xml:space="preserve"> </w:t>
      </w:r>
      <w:r>
        <w:t>c,g</w:t>
      </w:r>
      <w:r>
        <w:t xml:space="preserve"> </w:t>
      </w:r>
      <w:r>
        <w:t>]carbazole and tetracyanoquinodimethane, which demonstrated a non‐centrosymmetric alignment of</w:t>
      </w:r>
      <w:r>
        <w:t xml:space="preserve"> </w:t>
      </w:r>
      <w:r>
        <w:t>P</w:t>
      </w:r>
      <w:r>
        <w:t xml:space="preserve"> </w:t>
      </w:r>
      <w:r>
        <w:t>c space group with a low coercive field of 500 V/cm. Furthermore, the scalable piezoelectric nanofibers with a piezoelectric coefficient of 0.6744 nm/V were achieved after undergoing the location self‐assembly of ferroelectric cocrystal in polyvinylidene fluoride (PVDF) matrix during electrospinning process. Significantly, these prepared nanofibers were purposefully employed to form the flexible piezoelectric nanogenerator, yielding an instantaneous peak voltage output of 60 V under 200 N, and a pressure sensitivity of 0.3060 V/N. We foresee application possibilities in accurately detecting physiological signals, such as finger bending and respiration. This work opens up avenues to the wonderful optoelectronic application for the cost‐effective ferroelectric cocrystal.</w:t>
      </w:r>
    </w:p>
    <w:p>
      <w:pPr>
        <w:spacing w:before="120" w:after="120"/>
      </w:pPr>
      <w:r>
        <w:rPr>
          <w:sz w:val="18"/>
        </w:rPr>
        <w:t>——————————————————————————————————————————————————————————————————————</w:t>
      </w:r>
    </w:p>
    <w:p>
      <w:pPr>
        <w:spacing w:before="160" w:after="40" w:line="240" w:lineRule="auto"/>
      </w:pPr>
      <w:r>
        <w:rPr>
          <w:b/>
        </w:rPr>
        <w:t xml:space="preserve">[5] </w:t>
      </w:r>
      <w:hyperlink r:id="rId182">
        <w:r>
          <w:rPr>
            <w:color w:val="1155CC"/>
            <w:u w:val="single"/>
          </w:rPr>
          <w:t>利用共晶锂化学的高压无膜锂有机混合液流电池</w:t>
        </w:r>
      </w:hyperlink>
    </w:p>
    <w:p>
      <w:pPr>
        <w:spacing w:before="0" w:after="80"/>
      </w:pPr>
      <w:r>
        <w:rPr>
          <w:i/>
          <w:sz w:val="20"/>
        </w:rPr>
        <w:t>EN: A High‐Voltage Membrane‐Free Li–Organic Hybrid Flow Battery Using Eutectic Lithium Chemistry</w:t>
      </w:r>
    </w:p>
    <w:p>
      <w:pPr>
        <w:spacing w:before="0" w:after="120"/>
      </w:pPr>
      <w:r>
        <w:rPr>
          <w:b/>
        </w:rPr>
        <w:t xml:space="preserve">Source: </w:t>
      </w:r>
      <w:r>
        <w:t>Wiley: Angewandte Chemie International Edition: Table of Contents</w:t>
      </w:r>
      <w:r>
        <w:t xml:space="preserve">    </w:t>
      </w:r>
      <w:r>
        <w:rPr>
          <w:b/>
        </w:rPr>
        <w:t xml:space="preserve">Pub date: </w:t>
      </w:r>
      <w:r>
        <w:t>2026-07-25 04:03:34+00:00</w:t>
      </w:r>
      <w:r>
        <w:t xml:space="preserve">    </w:t>
      </w:r>
      <w:r>
        <w:rPr>
          <w:b/>
        </w:rPr>
        <w:t xml:space="preserve">DOI: </w:t>
      </w:r>
      <w:hyperlink r:id="rId183">
        <w:r>
          <w:rPr>
            <w:color w:val="1155CC"/>
            <w:u w:val="single"/>
          </w:rPr>
          <w:t>10.1002/anie.8407735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膜氧化还原液流电池简化了设计并降低了成本，但其电化学性能仍然有限。这里，使用双相电解质构建了高压非水无膜锂有机混合液流电池。底相阳极电解液是由六氟磷酸锂和2,2,2-三氟乙酰胺形成的低共熔溶剂，具有4.81 V的宽电化学稳定性窗口、13.8 cP的低粘度、8.59 mS·cm的高离子电导率</w:t>
      </w:r>
      <w:r>
        <w:t xml:space="preserve"> </w:t>
      </w:r>
      <w:r>
        <w:t>−1</w:t>
      </w:r>
      <w:r>
        <w:t xml:space="preserve"> </w:t>
      </w:r>
      <w:r>
        <w:t>，与锂金属的相容性稳定。顶相阴极电解液是含有长烷基链吩噻嗪衍生物的二氯甲烷，其在上相中表现出优异的氧化还原可逆性和严格的限制。双相系统的开路电压约为 3.6 V，在 0.5 M 浓度下稳定运行，100 次循环后保留了 85.6% 的理论容量，库仑效率为 97.6%。在流动配置中，0.5 M 电池在连续循环 10 天后仍保持超过 92% 的容量，且自放电极小。初步成本估算为 134.8 千瓦时</w:t>
      </w:r>
      <w:r>
        <w:t xml:space="preserve"> </w:t>
      </w:r>
      <w:r>
        <w:t>−1</w:t>
      </w:r>
      <w:r>
        <w:t xml:space="preserve"> </w:t>
      </w:r>
      <w:r>
        <w:t>，低于钒氧化还原液流电池，并且两种电解质相都表现出很强的阻燃性。这项研究提供了一种可行的设计策略，通过利用共晶锂化学和不混溶溶剂界面来实现无膜非水锂有机混合液流电池。</w:t>
      </w:r>
    </w:p>
    <w:p>
      <w:pPr>
        <w:spacing w:before="0" w:after="200" w:lineRule="auto" w:line="276"/>
      </w:pPr>
      <w:r>
        <w:rPr>
          <w:b/>
        </w:rPr>
        <w:t xml:space="preserve">Abstract (EN): </w:t>
      </w:r>
      <w:r>
        <w:t>Membrane‐free redox flow batteries offer simplified design and reduced cost, but their electrochemical performance remains limited. Here, a high‐voltage nonaqueous membrane‐free Li–organic hybrid flow battery was constructed using a biphasic electrolyte. The bottom‐phase anolyte is a deep eutectic solvent formed by lithium hexafluorophosphate and 2,2,2‐trifluoroacetamide, which provides a wide electrochemical stability window of 4.81 V, low viscosity of 13.8 cP, high ionic conductivity of 8.59 mS·cm</w:t>
      </w:r>
      <w:r>
        <w:t xml:space="preserve"> </w:t>
      </w:r>
      <w:r>
        <w:t>−1</w:t>
      </w:r>
      <w:r>
        <w:t xml:space="preserve"> </w:t>
      </w:r>
      <w:r>
        <w:t>, and stable compatibility with lithium metal. The top‐phase catholyte is dichloromethane containing a long‐alkyl‐chain phenothiazine derivative, which exhibits excellent redox reversibility and strict confinement in the upper phase. The biphasic system achieved an open‐circuit voltage of approximately 3.6 V and stable operation at 0.5 M concentration, retaining 85.6% of theoretical capacity with a Coulombic efficiency of 97.6% after 100 cycles. In flow configuration, the 0.5 M battery maintained over 92% capacity after 10 days of continuous cycling with minimal self‐discharge. A preliminary cost estimation yielded $134.8 kWh</w:t>
      </w:r>
      <w:r>
        <w:t xml:space="preserve"> </w:t>
      </w:r>
      <w:r>
        <w:t>−1</w:t>
      </w:r>
      <w:r>
        <w:t xml:space="preserve"> </w:t>
      </w:r>
      <w:r>
        <w:t>, which is lower than vanadium redox flow batteries, and both electrolyte phases displayed strong flame resistance. This study provides a viable design strategy to enable membrane‐free nonaqueous Li–organic hybrid flow battery by leveraging eutectic lithium chemistry and immiscible solvent interfaces.</w:t>
      </w:r>
    </w:p>
    <w:p>
      <w:pPr>
        <w:spacing w:before="120" w:after="120"/>
      </w:pPr>
      <w:r>
        <w:rPr>
          <w:sz w:val="18"/>
        </w:rPr>
        <w:t>——————————————————————————————————————————————————————————————————————</w:t>
      </w:r>
    </w:p>
    <w:p>
      <w:pPr>
        <w:spacing w:before="160" w:after="40" w:line="240" w:lineRule="auto"/>
      </w:pPr>
      <w:r>
        <w:rPr>
          <w:b/>
        </w:rPr>
        <w:t xml:space="preserve">[6] </w:t>
      </w:r>
      <w:hyperlink r:id="rId184">
        <w:r>
          <w:rPr>
            <w:color w:val="1155CC"/>
            <w:u w:val="single"/>
          </w:rPr>
          <w:t>诱导二氧化碳部分还原使锂二氧化碳电池正极的运行时间超过一年</w:t>
        </w:r>
      </w:hyperlink>
    </w:p>
    <w:p>
      <w:pPr>
        <w:spacing w:before="0" w:after="80"/>
      </w:pPr>
      <w:r>
        <w:rPr>
          <w:i/>
          <w:sz w:val="20"/>
        </w:rPr>
        <w:t>EN: Inducing CO2 Partial Reduction Enables Operation of Li‐CO2 Battery Cathode Longer than One Year</w:t>
      </w:r>
    </w:p>
    <w:p>
      <w:pPr>
        <w:spacing w:before="0" w:after="120"/>
      </w:pPr>
      <w:r>
        <w:rPr>
          <w:b/>
        </w:rPr>
        <w:t xml:space="preserve">Source: </w:t>
      </w:r>
      <w:r>
        <w:t>Wiley: Advanced Energy Materials: Table of Contents</w:t>
      </w:r>
      <w:r>
        <w:t xml:space="preserve">    </w:t>
      </w:r>
      <w:r>
        <w:rPr>
          <w:b/>
        </w:rPr>
        <w:t xml:space="preserve">Pub date: </w:t>
      </w:r>
      <w:r>
        <w:t>2026-07-25 14:23:31+00:00</w:t>
      </w:r>
      <w:r>
        <w:t xml:space="preserve">    </w:t>
      </w:r>
      <w:r>
        <w:rPr>
          <w:b/>
        </w:rPr>
        <w:t xml:space="preserve">DOI: </w:t>
      </w:r>
      <w:hyperlink r:id="rId185">
        <w:r>
          <w:rPr>
            <w:color w:val="1155CC"/>
            <w:u w:val="single"/>
          </w:rPr>
          <w:t>10.1002/aenm.71355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当一氧化碳</w:t>
      </w:r>
      <w:r>
        <w:rPr>
          <w:vertAlign w:val="subscript"/>
        </w:rPr>
        <w:t>2</w:t>
      </w:r>
      <w:r>
        <w:t>Li-CO放电过程中发生双电子部分还原</w:t>
      </w:r>
      <w:r>
        <w:rPr>
          <w:vertAlign w:val="subscript"/>
        </w:rPr>
        <w:t>2</w:t>
      </w:r>
      <w:r>
        <w:t>电池，它产生热力学活性的锂</w:t>
      </w:r>
      <w:r>
        <w:rPr>
          <w:vertAlign w:val="subscript"/>
        </w:rPr>
        <w:t>2</w:t>
      </w:r>
      <w:r>
        <w:t>C</w:t>
      </w:r>
      <w:r>
        <w:rPr>
          <w:vertAlign w:val="subscript"/>
        </w:rPr>
        <w:t>2</w:t>
      </w:r>
      <w:r>
        <w:t>氧</w:t>
      </w:r>
      <w:r>
        <w:rPr>
          <w:vertAlign w:val="subscript"/>
        </w:rPr>
        <w:t>4</w:t>
      </w:r>
      <w:r>
        <w:t>，在随后的充电过程中很容易分解。这为减轻大的充电过电势和增强电池的循环稳定性提供了一个有希望的机会。但作为中间人，李</w:t>
      </w:r>
      <w:r>
        <w:rPr>
          <w:vertAlign w:val="subscript"/>
        </w:rPr>
        <w:t>2</w:t>
      </w:r>
      <w:r>
        <w:t>C</w:t>
      </w:r>
      <w:r>
        <w:rPr>
          <w:vertAlign w:val="subscript"/>
        </w:rPr>
        <w:t>2</w:t>
      </w:r>
      <w:r>
        <w:t>氧</w:t>
      </w:r>
      <w:r>
        <w:rPr>
          <w:vertAlign w:val="subscript"/>
        </w:rPr>
        <w:t>4</w:t>
      </w:r>
      <w:r>
        <w:t>倾向于转变为惰性Li</w:t>
      </w:r>
      <w:r>
        <w:rPr>
          <w:vertAlign w:val="subscript"/>
        </w:rPr>
        <w:t>2</w:t>
      </w:r>
      <w:r>
        <w:t>一氧化碳</w:t>
      </w:r>
      <w:r>
        <w:rPr>
          <w:vertAlign w:val="subscript"/>
        </w:rPr>
        <w:t>3</w:t>
      </w:r>
      <w:r>
        <w:t>很容易。在这项工作中，我们报告了一种具有超小型 RuO 的高性能阴极催化剂</w:t>
      </w:r>
      <w:r>
        <w:rPr>
          <w:vertAlign w:val="subscript"/>
        </w:rPr>
        <w:t>2</w:t>
      </w:r>
      <w:r>
        <w:t>和 BiOCl 均匀地共同装饰在 MXene 基底上（RuO</w:t>
      </w:r>
      <w:r>
        <w:rPr>
          <w:vertAlign w:val="subscript"/>
        </w:rPr>
        <w:t>2</w:t>
      </w:r>
      <w:r>
        <w:t>‐BiOCl）。它有效地稳定了Li</w:t>
      </w:r>
      <w:r>
        <w:rPr>
          <w:vertAlign w:val="subscript"/>
        </w:rPr>
        <w:t>2</w:t>
      </w:r>
      <w:r>
        <w:t>C</w:t>
      </w:r>
      <w:r>
        <w:rPr>
          <w:vertAlign w:val="subscript"/>
        </w:rPr>
        <w:t>2</w:t>
      </w:r>
      <w:r>
        <w:t>氧</w:t>
      </w:r>
      <w:r>
        <w:rPr>
          <w:vertAlign w:val="subscript"/>
        </w:rPr>
        <w:t>4</w:t>
      </w:r>
      <w:r>
        <w:t>放电过程中，促进CO的双电子部分还原</w:t>
      </w:r>
      <w:r>
        <w:rPr>
          <w:vertAlign w:val="subscript"/>
        </w:rPr>
        <w:t>2</w:t>
      </w:r>
      <w:r>
        <w:t>;同时，它还可以调节放电产物的形貌，从而在绝缘放电产物和电催化剂之间形成紧密且广泛的固-固界面。这一起</w:t>
      </w:r>
    </w:p>
    <w:p>
      <w:pPr>
        <w:spacing w:before="0" w:after="200" w:lineRule="auto" w:line="276"/>
      </w:pPr>
      <w:r>
        <w:rPr>
          <w:b/>
        </w:rPr>
        <w:t xml:space="preserve">Abstract (EN): </w:t>
      </w:r>
      <w:r>
        <w:t>When CO</w:t>
      </w:r>
      <w:r>
        <w:rPr>
          <w:vertAlign w:val="subscript"/>
        </w:rPr>
        <w:t>2</w:t>
      </w:r>
      <w:r>
        <w:t>undergoes a two‐electron partial reduction during the discharging process of Li‐CO</w:t>
      </w:r>
      <w:r>
        <w:rPr>
          <w:vertAlign w:val="subscript"/>
        </w:rPr>
        <w:t>2</w:t>
      </w:r>
      <w:r>
        <w:t>batteries, it produces thermodynamically active Li</w:t>
      </w:r>
      <w:r>
        <w:rPr>
          <w:vertAlign w:val="subscript"/>
        </w:rPr>
        <w:t>2</w:t>
      </w:r>
      <w:r>
        <w:t>C</w:t>
      </w:r>
      <w:r>
        <w:rPr>
          <w:vertAlign w:val="subscript"/>
        </w:rPr>
        <w:t>2</w:t>
      </w:r>
      <w:r>
        <w:t>O</w:t>
      </w:r>
      <w:r>
        <w:rPr>
          <w:vertAlign w:val="subscript"/>
        </w:rPr>
        <w:t>4</w:t>
      </w:r>
      <w:r>
        <w:t>, which readily decomposes during subsequent charging. This offers a promising opportunity to mitigate the large charging overpotential and enhance the battery's cycling stability. However, as an intermediate, Li</w:t>
      </w:r>
      <w:r>
        <w:rPr>
          <w:vertAlign w:val="subscript"/>
        </w:rPr>
        <w:t>2</w:t>
      </w:r>
      <w:r>
        <w:t>C</w:t>
      </w:r>
      <w:r>
        <w:rPr>
          <w:vertAlign w:val="subscript"/>
        </w:rPr>
        <w:t>2</w:t>
      </w:r>
      <w:r>
        <w:t>O</w:t>
      </w:r>
      <w:r>
        <w:rPr>
          <w:vertAlign w:val="subscript"/>
        </w:rPr>
        <w:t>4</w:t>
      </w:r>
      <w:r>
        <w:t>tends to transform to the inert Li</w:t>
      </w:r>
      <w:r>
        <w:rPr>
          <w:vertAlign w:val="subscript"/>
        </w:rPr>
        <w:t>2</w:t>
      </w:r>
      <w:r>
        <w:t>CO</w:t>
      </w:r>
      <w:r>
        <w:rPr>
          <w:vertAlign w:val="subscript"/>
        </w:rPr>
        <w:t>3</w:t>
      </w:r>
      <w:r>
        <w:t>readily. In this work, we report a high‐performance cathode catalyst featuring ultrasmall RuO</w:t>
      </w:r>
      <w:r>
        <w:rPr>
          <w:vertAlign w:val="subscript"/>
        </w:rPr>
        <w:t>2</w:t>
      </w:r>
      <w:r>
        <w:t>and BiOCl uniformly co‐decorated on an MXene substrate (RuO</w:t>
      </w:r>
      <w:r>
        <w:rPr>
          <w:vertAlign w:val="subscript"/>
        </w:rPr>
        <w:t>2</w:t>
      </w:r>
      <w:r>
        <w:t>‐BiOCl). It effectively stabilizes Li</w:t>
      </w:r>
      <w:r>
        <w:rPr>
          <w:vertAlign w:val="subscript"/>
        </w:rPr>
        <w:t>2</w:t>
      </w:r>
      <w:r>
        <w:t>C</w:t>
      </w:r>
      <w:r>
        <w:rPr>
          <w:vertAlign w:val="subscript"/>
        </w:rPr>
        <w:t>2</w:t>
      </w:r>
      <w:r>
        <w:t>O</w:t>
      </w:r>
      <w:r>
        <w:rPr>
          <w:vertAlign w:val="subscript"/>
        </w:rPr>
        <w:t>4</w:t>
      </w:r>
      <w:r>
        <w:t>during discharge, facilitating the two‐electron partial reduction of CO</w:t>
      </w:r>
      <w:r>
        <w:rPr>
          <w:vertAlign w:val="subscript"/>
        </w:rPr>
        <w:t>2</w:t>
      </w:r>
      <w:r>
        <w:t>; meanwhile, it can also modulate the morphology of discharge products, resulting in an intimate and extensive solid–solid interface between the insulating discharging product and the electrocatalyst. This together avoids accumulation of bulky, highly inertial and insulating Li</w:t>
      </w:r>
      <w:r>
        <w:rPr>
          <w:vertAlign w:val="subscript"/>
        </w:rPr>
        <w:t>2</w:t>
      </w:r>
      <w:r>
        <w:t>CO</w:t>
      </w:r>
      <w:r>
        <w:rPr>
          <w:vertAlign w:val="subscript"/>
        </w:rPr>
        <w:t>3</w:t>
      </w:r>
      <w:r>
        <w:t>in the cathode during cycling, which decreases the charging polarization and prolongs the Li‐CO</w:t>
      </w:r>
      <w:r>
        <w:rPr>
          <w:vertAlign w:val="subscript"/>
        </w:rPr>
        <w:t>2</w:t>
      </w:r>
      <w:r>
        <w:t>battery life span. The optimal Li‐CO</w:t>
      </w:r>
      <w:r>
        <w:rPr>
          <w:vertAlign w:val="subscript"/>
        </w:rPr>
        <w:t>2</w:t>
      </w:r>
      <w:r>
        <w:t>battery delivers a high discharge capacity of 10.33 mAh cm</w:t>
      </w:r>
      <w:r>
        <w:t xml:space="preserve"> </w:t>
      </w:r>
      <w:r>
        <w:t>−2</w:t>
      </w:r>
      <w:r>
        <w:t xml:space="preserve"> </w:t>
      </w:r>
      <w:r>
        <w:t>during the first full cycle, and extraordinary durability, sustaining over 10 000 h of operation with a fixed areal capacity of 0.10 mAh cm</w:t>
      </w:r>
      <w:r>
        <w:t xml:space="preserve"> </w:t>
      </w:r>
      <w:r>
        <w:t>−2</w:t>
      </w:r>
      <w:r>
        <w:t xml:space="preserve"> </w:t>
      </w:r>
      <w:r>
        <w:t>at 0.02 mA cm</w:t>
      </w:r>
      <w:r>
        <w:t xml:space="preserve"> </w:t>
      </w:r>
      <w:r>
        <w:t>−2</w:t>
      </w:r>
      <w:r>
        <w:t xml:space="preserve"> </w:t>
      </w:r>
      <w:r>
        <w:t>. By tuning the CO</w:t>
      </w:r>
      <w:r>
        <w:rPr>
          <w:vertAlign w:val="subscript"/>
        </w:rPr>
        <w:t>2</w:t>
      </w:r>
      <w:r>
        <w:t>reduction path, this work offers a novel approach for building high‐performance, practically workable Li‐CO</w:t>
      </w:r>
      <w:r>
        <w:rPr>
          <w:vertAlign w:val="subscript"/>
        </w:rPr>
        <w:t>2</w:t>
      </w:r>
      <w:r>
        <w:t>batteries.</w:t>
      </w:r>
    </w:p>
    <w:p>
      <w:pPr>
        <w:spacing w:before="120" w:after="120"/>
      </w:pPr>
      <w:r>
        <w:rPr>
          <w:sz w:val="18"/>
        </w:rPr>
        <w:t>——————————————————————————————————————————————————————————————————————</w:t>
      </w:r>
    </w:p>
    <w:p>
      <w:pPr>
        <w:spacing w:before="160" w:after="40" w:line="240" w:lineRule="auto"/>
      </w:pPr>
      <w:r>
        <w:rPr>
          <w:b/>
        </w:rPr>
        <w:t xml:space="preserve">[7] </w:t>
      </w:r>
      <w:hyperlink r:id="rId186">
        <w:r>
          <w:rPr>
            <w:color w:val="1155CC"/>
            <w:u w:val="single"/>
          </w:rPr>
          <w:t>用于非接触式生物力学和雨滴能量收集的高熵陶瓷增强可变形摩擦纳米发电机</w:t>
        </w:r>
      </w:hyperlink>
    </w:p>
    <w:p>
      <w:pPr>
        <w:spacing w:before="0" w:after="80"/>
      </w:pPr>
      <w:r>
        <w:rPr>
          <w:i/>
          <w:sz w:val="20"/>
        </w:rPr>
        <w:t>EN: High‐Entropy Ceramic‐Enhanced Deformable Triboelectric Nanogenerator for Noncontact Biomechanical and Raindrop Energy Harvesting</w:t>
      </w:r>
    </w:p>
    <w:p>
      <w:pPr>
        <w:spacing w:before="0" w:after="120"/>
      </w:pPr>
      <w:r>
        <w:rPr>
          <w:b/>
        </w:rPr>
        <w:t xml:space="preserve">Source: </w:t>
      </w:r>
      <w:r>
        <w:t>Wiley: Advanced Materials: Table of Contents</w:t>
      </w:r>
      <w:r>
        <w:t xml:space="preserve">    </w:t>
      </w:r>
      <w:r>
        <w:rPr>
          <w:b/>
        </w:rPr>
        <w:t xml:space="preserve">Pub date: </w:t>
      </w:r>
      <w:r>
        <w:t>2026-07-25 14:56:48+00:00</w:t>
      </w:r>
      <w:r>
        <w:t xml:space="preserve">    </w:t>
      </w:r>
      <w:r>
        <w:rPr>
          <w:b/>
        </w:rPr>
        <w:t xml:space="preserve">DOI: </w:t>
      </w:r>
      <w:hyperlink r:id="rId187">
        <w:r>
          <w:rPr>
            <w:color w:val="1155CC"/>
            <w:u w:val="single"/>
          </w:rPr>
          <w:t>10.1002/adma.74157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为了解决摩擦纳米发电机 (TENG) 中与物理接触分离相关的界面摩擦损失，最近开发了非接触或液固接触 TENG。然而，非接触式TENG的有限性能阻碍了其进一步发展。这项研究提出了一种大面积可变形高熵陶瓷 (HEC) 增强型非接触式 TENG (HEC-TENG)，通过将掺杂 HEC 的有机硅摩擦电层与电荷存储石墨织物和可拉伸炭黑电极集成在一起。该策略建立了全面的摩擦电荷调节机制，包括电荷生成、捕获、传输和保留，从而产生 90 V 和 450 µA m 的非接触输出</w:t>
      </w:r>
      <w:r>
        <w:t xml:space="preserve"> </w:t>
      </w:r>
      <w:r>
        <w:t>−2</w:t>
      </w:r>
      <w:r>
        <w:t xml:space="preserve"> </w:t>
      </w:r>
      <w:r>
        <w:t>间隔距离为 1 毫米，同时保持超过 230% 的拉伸性。值得注意的是，通过利用 HEC 掺杂和三层复合结构的协同效应，HEC-TENG 实现了基于液滴的能量收集的最大电压为 466 V。此外，还演示了 HEC-TENG 支持的可穿戴电源和大面积雨水收集系统。总体而言，这项工作验证了 HEC 在非接触式和液固接触式 TENG 中用作摩擦电层时的普遍增强效果，为基于 HEC 的可穿戴 TENG 的开发建立了代表性范例。这些发现为未来可穿戴自供电电子设备和分布式能量收集系统提供了新的见解。</w:t>
      </w:r>
    </w:p>
    <w:p>
      <w:pPr>
        <w:spacing w:before="0" w:after="200" w:lineRule="auto" w:line="276"/>
      </w:pPr>
      <w:r>
        <w:rPr>
          <w:b/>
        </w:rPr>
        <w:t xml:space="preserve">Abstract (EN): </w:t>
      </w:r>
      <w:r>
        <w:t>To address interfacial friction losses associated with physical contact separation in triboelectric nanogenerators (TENGs), noncontact or liquid‐solid‐contact TENGs have recently been developed. However, the limited performance of noncontact TENGs has hindered their further advancement. This study proposed a large‐area deformable high‐entropy ceramic (HEC)‐enhanced noncontact TENG (HEC‐TENG) by integrating an HEC‐doped silicone triboelectric layer with a charge‐storage graphitic textile and a stretchable carbon black electrode. This strategy establishes a comprehensive tribo‐charge regulation mechanism, including charge generation, capture, transport, and retention, resulting in a noncontact output of 90 V and 450 µA m</w:t>
      </w:r>
      <w:r>
        <w:t xml:space="preserve"> </w:t>
      </w:r>
      <w:r>
        <w:t>−2</w:t>
      </w:r>
      <w:r>
        <w:t xml:space="preserve"> </w:t>
      </w:r>
      <w:r>
        <w:t>at a separation distance of 1 mm, while maintaining a stretchability exceeding 230%. Notably, by leveraging the synergistic effects of HEC doping and the trilayer composite configuration, the HEC‐TENG achieved a maximum voltage of 466 V for droplet‐based energy harvesting. Furthermore, wearable power sources and large‐area rainwater‐harvesting systems enabled by HEC‐TENGs were demonstrated. Overall, this work validates the universal enhancement effect of HECs when employed as triboelectric layers in both noncontact and liquid‐solid contact TENGs, establishing a representative paradigm for the development of wearable HEC‐based TENGs. These findings provide new insights into future wearable self‐powered electronics and distributed energy‐harvesting systems.</w:t>
      </w:r>
    </w:p>
    <w:p>
      <w:pPr>
        <w:spacing w:before="120" w:after="120"/>
      </w:pPr>
      <w:r>
        <w:rPr>
          <w:sz w:val="18"/>
        </w:rPr>
        <w:t>——————————————————————————————————————————————————————————————————————</w:t>
      </w:r>
    </w:p>
    <w:p>
      <w:pPr>
        <w:spacing w:before="160" w:after="40" w:line="240" w:lineRule="auto"/>
      </w:pPr>
      <w:r>
        <w:rPr>
          <w:b/>
        </w:rPr>
        <w:t xml:space="preserve">[8] </w:t>
      </w:r>
      <w:hyperlink r:id="rId188">
        <w:r>
          <w:rPr>
            <w:color w:val="1155CC"/>
            <w:u w:val="single"/>
          </w:rPr>
          <w:t>用于二维电子学的高κ和超宽带隙单晶硼酸铍电介质的集成</w:t>
        </w:r>
      </w:hyperlink>
    </w:p>
    <w:p>
      <w:pPr>
        <w:spacing w:before="0" w:after="80"/>
      </w:pPr>
      <w:r>
        <w:rPr>
          <w:i/>
          <w:sz w:val="20"/>
        </w:rPr>
        <w:t>EN: Integration of High‐κ and Ultrawide Bandgap Single‐Crystalline Beryllium Borate Dielectric for 2D Electronics</w:t>
      </w:r>
    </w:p>
    <w:p>
      <w:pPr>
        <w:spacing w:before="0" w:after="120"/>
      </w:pPr>
      <w:r>
        <w:rPr>
          <w:b/>
        </w:rPr>
        <w:t xml:space="preserve">Source: </w:t>
      </w:r>
      <w:r>
        <w:t>Wiley: Advanced Materials: Table of Contents</w:t>
      </w:r>
      <w:r>
        <w:t xml:space="preserve">    </w:t>
      </w:r>
      <w:r>
        <w:rPr>
          <w:b/>
        </w:rPr>
        <w:t xml:space="preserve">Pub date: </w:t>
      </w:r>
      <w:r>
        <w:t>2026-07-25 21:26:29+00:00</w:t>
      </w:r>
      <w:r>
        <w:t xml:space="preserve">    </w:t>
      </w:r>
      <w:r>
        <w:rPr>
          <w:b/>
        </w:rPr>
        <w:t xml:space="preserve">DOI: </w:t>
      </w:r>
      <w:hyperlink r:id="rId189">
        <w:r>
          <w:rPr>
            <w:color w:val="1155CC"/>
            <w:u w:val="single"/>
          </w:rPr>
          <w:t>10.1002/adma.74329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具有高介电常数和宽带隙的范德华（vdW）介电材料对于推进二维（2D）晶体管的实际应用至关重要。然而，目前的电介质往往仅在这两方面之一表现出优势，这限制了晶体管性能的进一步提升。这项研究展示了理想的电介质 NH</w:t>
      </w:r>
      <w:r>
        <w:rPr>
          <w:vertAlign w:val="subscript"/>
        </w:rPr>
        <w:t>4</w:t>
      </w:r>
      <w:r>
        <w:t>是</w:t>
      </w:r>
      <w:r>
        <w:rPr>
          <w:vertAlign w:val="subscript"/>
        </w:rPr>
        <w:t>2</w:t>
      </w:r>
      <w:r>
        <w:t>博</w:t>
      </w:r>
      <w:r>
        <w:rPr>
          <w:vertAlign w:val="subscript"/>
        </w:rPr>
        <w:t>3</w:t>
      </w:r>
      <w:r>
        <w:t>F</w:t>
      </w:r>
      <w:r>
        <w:rPr>
          <w:vertAlign w:val="subscript"/>
        </w:rPr>
        <w:t>2</w:t>
      </w:r>
      <w:r>
        <w:t>(ABBF) 用于二维电子器件，其介电常数高达 39，宽带隙为 8.1 eV。介电性能测试表明其具有超低漏电流密度（≈10</w:t>
      </w:r>
      <w:r>
        <w:t xml:space="preserve"> </w:t>
      </w:r>
      <w:r>
        <w:t>−8</w:t>
      </w:r>
      <w:r>
        <w:t xml:space="preserve"> </w:t>
      </w:r>
      <w:r>
        <w:t>一厘米</w:t>
      </w:r>
      <w:r>
        <w:t xml:space="preserve"> </w:t>
      </w:r>
      <w:r>
        <w:t>−2</w:t>
      </w:r>
      <w:r>
        <w:t xml:space="preserve"> </w:t>
      </w:r>
      <w:r>
        <w:t>）和强大的击穿场（12.6 MV cm</w:t>
      </w:r>
      <w:r>
        <w:t xml:space="preserve"> </w:t>
      </w:r>
      <w:r>
        <w:t>−1</w:t>
      </w:r>
      <w:r>
        <w:t xml:space="preserve"> </w:t>
      </w:r>
      <w:r>
        <w:t>）。二硫化钼</w:t>
      </w:r>
      <w:r>
        <w:rPr>
          <w:vertAlign w:val="subscript"/>
        </w:rPr>
        <w:t>2</w:t>
      </w:r>
      <w:r>
        <w:t>由 ABBF 选通的场效应晶体管 (FET) 可实现 2 × 10 的高开/关比</w:t>
      </w:r>
      <w:r>
        <w:rPr>
          <w:vertAlign w:val="subscript"/>
        </w:rPr>
        <w:t>9</w:t>
      </w:r>
      <w:r>
        <w:t>，近玻尔兹曼极限亚阈值摆幅（60 mV dec</w:t>
      </w:r>
      <w:r>
        <w:t xml:space="preserve"> </w:t>
      </w:r>
      <w:r>
        <w:t>−1</w:t>
      </w:r>
      <w:r>
        <w:t xml:space="preserve"> </w:t>
      </w:r>
      <w:r>
        <w:t>），以及可忽略不计的 2.7 mV 滞后。得益于其惰性 vdW 表面，ABBF 形成了高质量的 MoS2</w:t>
      </w:r>
      <w:r>
        <w:rPr>
          <w:vertAlign w:val="subscript"/>
        </w:rPr>
        <w:t>2</w:t>
      </w:r>
      <w:r>
        <w:t>/ABBF 界面具有极低的陷阱态密度（</w:t>
      </w:r>
      <w:r>
        <w:t xml:space="preserve"> </w:t>
      </w:r>
      <w:r>
        <w:t>D</w:t>
      </w:r>
      <w:r>
        <w:t xml:space="preserve"> </w:t>
      </w:r>
      <w:r>
        <w:t>它</w:t>
      </w:r>
      <w:r>
        <w:t xml:space="preserve"> </w:t>
      </w:r>
      <w:r>
        <w:t>约4.6×10</w:t>
      </w:r>
      <w:r>
        <w:rPr>
          <w:vertAlign w:val="subscript"/>
        </w:rPr>
        <w:t>10</w:t>
      </w:r>
    </w:p>
    <w:p>
      <w:pPr>
        <w:spacing w:before="0" w:after="200" w:lineRule="auto" w:line="276"/>
      </w:pPr>
      <w:r>
        <w:rPr>
          <w:b/>
        </w:rPr>
        <w:t xml:space="preserve">Abstract (EN): </w:t>
      </w:r>
      <w:r>
        <w:t>The development of van der Waals (vdW) dielectric materials with high dielectric constants and wide bandgaps is crucial for advancing the practical application of two‐dimensional (2D) transistors. However, current dielectrics often exhibit advantages in only one of these two aspects, which limits the further improvement of transistor performance. This study demonstrates an ideal dielectric NH</w:t>
      </w:r>
      <w:r>
        <w:rPr>
          <w:vertAlign w:val="subscript"/>
        </w:rPr>
        <w:t>4</w:t>
      </w:r>
      <w:r>
        <w:t>Be</w:t>
      </w:r>
      <w:r>
        <w:rPr>
          <w:vertAlign w:val="subscript"/>
        </w:rPr>
        <w:t>2</w:t>
      </w:r>
      <w:r>
        <w:t>BO</w:t>
      </w:r>
      <w:r>
        <w:rPr>
          <w:vertAlign w:val="subscript"/>
        </w:rPr>
        <w:t>3</w:t>
      </w:r>
      <w:r>
        <w:t>F</w:t>
      </w:r>
      <w:r>
        <w:rPr>
          <w:vertAlign w:val="subscript"/>
        </w:rPr>
        <w:t>2</w:t>
      </w:r>
      <w:r>
        <w:t>(ABBF) for 2D electronic devices, which exhibit a high dielectric constant up to 39 and a wide bandgap of 8.1 eV. Dielectric performance tests show that it has an ultralow leakage current density (≈ 10</w:t>
      </w:r>
      <w:r>
        <w:t xml:space="preserve"> </w:t>
      </w:r>
      <w:r>
        <w:t>−8</w:t>
      </w:r>
      <w:r>
        <w:t xml:space="preserve"> </w:t>
      </w:r>
      <w:r>
        <w:t>A cm</w:t>
      </w:r>
      <w:r>
        <w:t xml:space="preserve"> </w:t>
      </w:r>
      <w:r>
        <w:t>−2</w:t>
      </w:r>
      <w:r>
        <w:t xml:space="preserve"> </w:t>
      </w:r>
      <w:r>
        <w:t>) and a robust breakdown field (12.6 MV cm</w:t>
      </w:r>
      <w:r>
        <w:t xml:space="preserve"> </w:t>
      </w:r>
      <w:r>
        <w:t>−1</w:t>
      </w:r>
      <w:r>
        <w:t xml:space="preserve"> </w:t>
      </w:r>
      <w:r>
        <w:t>). The MoS</w:t>
      </w:r>
      <w:r>
        <w:rPr>
          <w:vertAlign w:val="subscript"/>
        </w:rPr>
        <w:t>2</w:t>
      </w:r>
      <w:r>
        <w:t>field‐effect transistors (FETs) gated by ABBF achieve a high on/off ratio of 2 × 10</w:t>
      </w:r>
      <w:r>
        <w:rPr>
          <w:vertAlign w:val="subscript"/>
        </w:rPr>
        <w:t>9</w:t>
      </w:r>
      <w:r>
        <w:t>, near‐Boltzmann‐limit subthreshold swing (60 mV dec</w:t>
      </w:r>
      <w:r>
        <w:t xml:space="preserve"> </w:t>
      </w:r>
      <w:r>
        <w:t>−1</w:t>
      </w:r>
      <w:r>
        <w:t xml:space="preserve"> </w:t>
      </w:r>
      <w:r>
        <w:t>), and negligible hysteresis of 2.7 mV. Benefiting from its inert vdW surface, ABBF forms a high‐quality MoS</w:t>
      </w:r>
      <w:r>
        <w:rPr>
          <w:vertAlign w:val="subscript"/>
        </w:rPr>
        <w:t>2</w:t>
      </w:r>
      <w:r>
        <w:t>/ABBF interface with an extremely low density of trap states (</w:t>
      </w:r>
      <w:r>
        <w:t xml:space="preserve"> </w:t>
      </w:r>
      <w:r>
        <w:t>D</w:t>
      </w:r>
      <w:r>
        <w:t xml:space="preserve"> </w:t>
      </w:r>
      <w:r>
        <w:t>it</w:t>
      </w:r>
      <w:r>
        <w:t xml:space="preserve"> </w:t>
      </w:r>
      <w:r>
        <w:t>≈ 4.6 × 10</w:t>
      </w:r>
      <w:r>
        <w:rPr>
          <w:vertAlign w:val="subscript"/>
        </w:rPr>
        <w:t>10</w:t>
      </w:r>
      <w:r>
        <w:t>cm</w:t>
      </w:r>
      <w:r>
        <w:t xml:space="preserve"> </w:t>
      </w:r>
      <w:r>
        <w:t>−2</w:t>
      </w:r>
      <w:r>
        <w:t xml:space="preserve"> </w:t>
      </w:r>
      <w:r>
        <w:t>eV</w:t>
      </w:r>
      <w:r>
        <w:t xml:space="preserve"> </w:t>
      </w:r>
      <w:r>
        <w:t>−1</w:t>
      </w:r>
      <w:r>
        <w:t xml:space="preserve"> </w:t>
      </w:r>
      <w:r>
        <w:t>). In addition, high‐κ ABBF dielectrics were also applied for fabricating short‐channel MoS</w:t>
      </w:r>
      <w:r>
        <w:rPr>
          <w:vertAlign w:val="subscript"/>
        </w:rPr>
        <w:t>2</w:t>
      </w:r>
      <w:r>
        <w:t>FETs and high‐gain logic inverters. This research enlarges the pool of dielectric candidates and unlocks new possibilities for advancing low‐power electronics and integrated circuits.</w:t>
      </w:r>
    </w:p>
    <w:p>
      <w:pPr>
        <w:spacing w:before="120" w:after="120"/>
      </w:pPr>
      <w:r>
        <w:rPr>
          <w:sz w:val="18"/>
        </w:rPr>
        <w:t>——————————————————————————————————————————————————————————————————————</w:t>
      </w:r>
    </w:p>
    <w:p>
      <w:pPr>
        <w:spacing w:before="160" w:after="40" w:line="240" w:lineRule="auto"/>
      </w:pPr>
      <w:r>
        <w:rPr>
          <w:b/>
        </w:rPr>
        <w:t xml:space="preserve">[9] </w:t>
      </w:r>
      <w:hyperlink r:id="rId190">
        <w:r>
          <w:rPr>
            <w:color w:val="1155CC"/>
            <w:u w:val="single"/>
          </w:rPr>
          <w:t>协同设计策略打破无铅电介质的储能权衡</w:t>
        </w:r>
      </w:hyperlink>
    </w:p>
    <w:p>
      <w:pPr>
        <w:spacing w:before="0" w:after="80"/>
      </w:pPr>
      <w:r>
        <w:rPr>
          <w:i/>
          <w:sz w:val="20"/>
        </w:rPr>
        <w:t>EN: Synergistic Design Strategies Breaking the Energy Storage Trade‐Off in Lead‐Free Dielectrics</w:t>
      </w:r>
    </w:p>
    <w:p>
      <w:pPr>
        <w:spacing w:before="0" w:after="120"/>
      </w:pPr>
      <w:r>
        <w:rPr>
          <w:b/>
        </w:rPr>
        <w:t xml:space="preserve">Source: </w:t>
      </w:r>
      <w:r>
        <w:t>Wiley: Advanced Materials: Table of Contents</w:t>
      </w:r>
      <w:r>
        <w:t xml:space="preserve">    </w:t>
      </w:r>
      <w:r>
        <w:rPr>
          <w:b/>
        </w:rPr>
        <w:t xml:space="preserve">Pub date: </w:t>
      </w:r>
      <w:r>
        <w:t>2026-07-25 21:42:01+00:00</w:t>
      </w:r>
      <w:r>
        <w:t xml:space="preserve">    </w:t>
      </w:r>
      <w:r>
        <w:rPr>
          <w:b/>
        </w:rPr>
        <w:t xml:space="preserve">DOI: </w:t>
      </w:r>
      <w:hyperlink r:id="rId191">
        <w:r>
          <w:rPr>
            <w:color w:val="1155CC"/>
            <w:u w:val="single"/>
          </w:rPr>
          <w:t>10.1002/adma.74343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开发同时具有高可恢复能量存储（ES）密度的无铅介电电容器（</w:t>
      </w:r>
      <w:r>
        <w:t xml:space="preserve"> </w:t>
      </w:r>
      <w:r>
        <w:t>瓦</w:t>
      </w:r>
      <w:r>
        <w:t xml:space="preserve"> </w:t>
      </w:r>
      <w:r>
        <w:t>记录</w:t>
      </w:r>
      <w:r>
        <w:t xml:space="preserve"> </w:t>
      </w:r>
      <w:r>
        <w:t>）和击穿强度（</w:t>
      </w:r>
      <w:r>
        <w:t xml:space="preserve"> </w:t>
      </w:r>
      <w:r>
        <w:t>乙</w:t>
      </w:r>
      <w:r>
        <w:t xml:space="preserve"> </w:t>
      </w:r>
      <w:r>
        <w:t>乙</w:t>
      </w:r>
      <w:r>
        <w:t xml:space="preserve"> </w:t>
      </w:r>
      <w:r>
        <w:t>)受到基本限制的阻碍；虽然高</w:t>
      </w:r>
      <w:r>
        <w:t xml:space="preserve"> </w:t>
      </w:r>
      <w:r>
        <w:t>乙</w:t>
      </w:r>
      <w:r>
        <w:t xml:space="preserve"> </w:t>
      </w:r>
      <w:r>
        <w:t>乙</w:t>
      </w:r>
      <w:r>
        <w:t xml:space="preserve"> </w:t>
      </w:r>
      <w:r>
        <w:t>允许大电场，传统铁电体遭受过早极化饱和，限制了进一步增强</w:t>
      </w:r>
      <w:r>
        <w:t xml:space="preserve"> </w:t>
      </w:r>
      <w:r>
        <w:t>瓦</w:t>
      </w:r>
      <w:r>
        <w:t xml:space="preserve"> </w:t>
      </w:r>
      <w:r>
        <w:t>记录</w:t>
      </w:r>
      <w:r>
        <w:t xml:space="preserve"> </w:t>
      </w:r>
      <w:r>
        <w:t>。我们展示了 Bi 的机制引导策略</w:t>
      </w:r>
      <w:r>
        <w:t xml:space="preserve"> </w:t>
      </w:r>
      <w:r>
        <w:t>0.5</w:t>
      </w:r>
      <w:r>
        <w:t xml:space="preserve"> </w:t>
      </w:r>
      <w:r>
        <w:t>钠</w:t>
      </w:r>
      <w:r>
        <w:t xml:space="preserve"> </w:t>
      </w:r>
      <w:r>
        <w:t>0.5</w:t>
      </w:r>
      <w:r>
        <w:t xml:space="preserve"> </w:t>
      </w:r>
      <w:r>
        <w:t>二氧化钛</w:t>
      </w:r>
      <w:r>
        <w:rPr>
          <w:vertAlign w:val="subscript"/>
        </w:rPr>
        <w:t>3</w:t>
      </w:r>
      <w:r>
        <w:t>（BNT）基驰豫铁电陶瓷，以优化的极性纳米区（PNR）响应和延迟极化饱和为中心。相场模拟表明，具有适当尺寸和动态响应能力的互连菱形/四方（R/T）相关 PNR 可以在电场下逐渐激活，从而实现延迟极化饱和、持续 Δ</w:t>
      </w:r>
      <w:r>
        <w:t xml:space="preserve"> </w:t>
      </w:r>
      <w:r>
        <w:t>磷</w:t>
      </w:r>
      <w:r>
        <w:t xml:space="preserve"> </w:t>
      </w:r>
      <w:r>
        <w:t>增长和低磁滞损耗。在此机制的指导下，组合紊乱、R/T 阶段共存被集成到基于 BNT 的系统中，以构建优化的 PNR 景观。优化的多层陶瓷电容器具有创纪录的 ES 潜力（</w:t>
      </w:r>
      <w:r>
        <w:t xml:space="preserve"> </w:t>
      </w:r>
      <w:r>
        <w:t>Ψ</w:t>
      </w:r>
      <w:r>
        <w:t xml:space="preserve"> </w:t>
      </w:r>
      <w:r>
        <w:t>=</w:t>
      </w:r>
      <w:r>
        <w:t xml:space="preserve"> </w:t>
      </w:r>
      <w:r>
        <w:t>瓦</w:t>
      </w:r>
    </w:p>
    <w:p>
      <w:pPr>
        <w:spacing w:before="0" w:after="200" w:lineRule="auto" w:line="276"/>
      </w:pPr>
      <w:r>
        <w:rPr>
          <w:b/>
        </w:rPr>
        <w:t xml:space="preserve">Abstract (EN): </w:t>
      </w:r>
      <w:r>
        <w:t>Development of lead‐free dielectric capacitors with simultaneously high recoverable energy‐storage (ES) density (</w:t>
      </w:r>
      <w:r>
        <w:t xml:space="preserve"> </w:t>
      </w:r>
      <w:r>
        <w:t>W</w:t>
      </w:r>
      <w:r>
        <w:t xml:space="preserve"> </w:t>
      </w:r>
      <w:r>
        <w:t>rec</w:t>
      </w:r>
      <w:r>
        <w:t xml:space="preserve"> </w:t>
      </w:r>
      <w:r>
        <w:t>) and breakdown strength (</w:t>
      </w:r>
      <w:r>
        <w:t xml:space="preserve"> </w:t>
      </w:r>
      <w:r>
        <w:t>E</w:t>
      </w:r>
      <w:r>
        <w:t xml:space="preserve"> </w:t>
      </w:r>
      <w:r>
        <w:t>b</w:t>
      </w:r>
      <w:r>
        <w:t xml:space="preserve"> </w:t>
      </w:r>
      <w:r>
        <w:t>) is hindered by a fundamental constraint; although high</w:t>
      </w:r>
      <w:r>
        <w:t xml:space="preserve"> </w:t>
      </w:r>
      <w:r>
        <w:t>E</w:t>
      </w:r>
      <w:r>
        <w:t xml:space="preserve"> </w:t>
      </w:r>
      <w:r>
        <w:t>b</w:t>
      </w:r>
      <w:r>
        <w:t xml:space="preserve"> </w:t>
      </w:r>
      <w:r>
        <w:t>permits large electric fields, conventional ferroelectrics suffer from premature polarization saturation, limiting further enhancement of</w:t>
      </w:r>
      <w:r>
        <w:t xml:space="preserve"> </w:t>
      </w:r>
      <w:r>
        <w:t>W</w:t>
      </w:r>
      <w:r>
        <w:t xml:space="preserve"> </w:t>
      </w:r>
      <w:r>
        <w:t>rec</w:t>
      </w:r>
      <w:r>
        <w:t xml:space="preserve"> </w:t>
      </w:r>
      <w:r>
        <w:t>. We demonstrate a mechanism‐guided strategy for Bi</w:t>
      </w:r>
      <w:r>
        <w:t xml:space="preserve"> </w:t>
      </w:r>
      <w:r>
        <w:t>0.5</w:t>
      </w:r>
      <w:r>
        <w:t xml:space="preserve"> </w:t>
      </w:r>
      <w:r>
        <w:t>Na</w:t>
      </w:r>
      <w:r>
        <w:t xml:space="preserve"> </w:t>
      </w:r>
      <w:r>
        <w:t>0.5</w:t>
      </w:r>
      <w:r>
        <w:t xml:space="preserve"> </w:t>
      </w:r>
      <w:r>
        <w:t>TiO</w:t>
      </w:r>
      <w:r>
        <w:rPr>
          <w:vertAlign w:val="subscript"/>
        </w:rPr>
        <w:t>3</w:t>
      </w:r>
      <w:r>
        <w:t>(BNT)‐based relaxor ferroelectric ceramics, centered on optimized polar nanoregion (PNR) responses and delayed polarization saturation. Phase‐field simulations show that interconnected rhombohedral/tetragonal (R/T)‐related PNRs with appropriate size and dynamic responsiveness can be progressively activated under electric fields, enabling delayed polarization saturation, sustained Δ</w:t>
      </w:r>
      <w:r>
        <w:t xml:space="preserve"> </w:t>
      </w:r>
      <w:r>
        <w:t>P</w:t>
      </w:r>
      <w:r>
        <w:t xml:space="preserve"> </w:t>
      </w:r>
      <w:r>
        <w:t>growth, and low hysteresis loss. Guided by this mechanism, compositional disorder, R/T phase coexistence are integrated in the BNT‐based system to construct an optimized PNR landscape. The optimized multilayer ceramic capacitors deliver a record ES potential (</w:t>
      </w:r>
      <w:r>
        <w:t xml:space="preserve"> </w:t>
      </w:r>
      <w:r>
        <w:t>ξ</w:t>
      </w:r>
      <w:r>
        <w:t xml:space="preserve"> </w:t>
      </w:r>
      <w:r>
        <w:t>=</w:t>
      </w:r>
      <w:r>
        <w:t xml:space="preserve"> </w:t>
      </w:r>
      <w:r>
        <w:t>W</w:t>
      </w:r>
      <w:r>
        <w:t xml:space="preserve"> </w:t>
      </w:r>
      <w:r>
        <w:t>rec</w:t>
      </w:r>
      <w:r>
        <w:t xml:space="preserve"> </w:t>
      </w:r>
      <w:r>
        <w:t>/</w:t>
      </w:r>
      <w:r>
        <w:t>E</w:t>
      </w:r>
      <w:r>
        <w:t xml:space="preserve"> </w:t>
      </w:r>
      <w:r>
        <w:t>b</w:t>
      </w:r>
      <w:r>
        <w:t xml:space="preserve"> </w:t>
      </w:r>
      <w:r>
        <w:t>) of 278 J kV</w:t>
      </w:r>
      <w:r>
        <w:t xml:space="preserve"> </w:t>
      </w:r>
      <w:r>
        <w:t>−1</w:t>
      </w:r>
      <w:r>
        <w:t xml:space="preserve"> </w:t>
      </w:r>
      <w:r>
        <w:t>m</w:t>
      </w:r>
      <w:r>
        <w:t xml:space="preserve"> </w:t>
      </w:r>
      <w:r>
        <w:t>−2</w:t>
      </w:r>
      <w:r>
        <w:t xml:space="preserve"> </w:t>
      </w:r>
      <w:r>
        <w:t>, together with a high</w:t>
      </w:r>
      <w:r>
        <w:t xml:space="preserve"> </w:t>
      </w:r>
      <w:r>
        <w:t>W</w:t>
      </w:r>
      <w:r>
        <w:t xml:space="preserve"> </w:t>
      </w:r>
      <w:r>
        <w:t>rec</w:t>
      </w:r>
      <w:r>
        <w:t xml:space="preserve"> </w:t>
      </w:r>
      <w:r>
        <w:t>of 26.4 J cm</w:t>
      </w:r>
      <w:r>
        <w:t xml:space="preserve"> </w:t>
      </w:r>
      <w:r>
        <w:t>−3</w:t>
      </w:r>
      <w:r>
        <w:t xml:space="preserve"> </w:t>
      </w:r>
      <w:r>
        <w:t>at 950 kV cm</w:t>
      </w:r>
      <w:r>
        <w:t xml:space="preserve"> </w:t>
      </w:r>
      <w:r>
        <w:t>−1</w:t>
      </w:r>
      <w:r>
        <w:t xml:space="preserve"> </w:t>
      </w:r>
      <w:r>
        <w:t>and 89% ES efficiency. Atomic‐resolution microscopy confirms pronounced local chemical heterogeneity and coexisting R/T‐related PNRs, consistent with the optimized PNR response predicted by phase‐field simulations. These results establish a generalizable framework for overcoming the intrinsic</w:t>
      </w:r>
      <w:r>
        <w:t xml:space="preserve"> </w:t>
      </w:r>
      <w:r>
        <w:t>ξ</w:t>
      </w:r>
      <w:r>
        <w:t xml:space="preserve"> </w:t>
      </w:r>
      <w:r>
        <w:t>–</w:t>
      </w:r>
      <w:r>
        <w:t xml:space="preserve"> </w:t>
      </w:r>
      <w:r>
        <w:t>E</w:t>
      </w:r>
      <w:r>
        <w:t xml:space="preserve"> </w:t>
      </w:r>
      <w:r>
        <w:t>b</w:t>
      </w:r>
      <w:r>
        <w:t xml:space="preserve"> </w:t>
      </w:r>
      <w:r>
        <w:t>trade‐off and advancing next‐generation high‐</w:t>
      </w:r>
      <w:r>
        <w:t xml:space="preserve"> </w:t>
      </w:r>
      <w:r>
        <w:t>W</w:t>
      </w:r>
      <w:r>
        <w:t xml:space="preserve"> </w:t>
      </w:r>
      <w:r>
        <w:t>rec</w:t>
      </w:r>
      <w:r>
        <w:t xml:space="preserve"> </w:t>
      </w:r>
      <w:r>
        <w:t>dielectric capacitors for ES and pulsed‐power applications.</w:t>
      </w:r>
    </w:p>
    <w:p>
      <w:pPr>
        <w:spacing w:before="120" w:after="120"/>
      </w:pPr>
      <w:r>
        <w:rPr>
          <w:sz w:val="18"/>
        </w:rPr>
        <w:t>——————————————————————————————————————————————————————————————————————</w:t>
      </w:r>
    </w:p>
    <w:p>
      <w:pPr>
        <w:spacing w:before="160" w:after="40" w:line="240" w:lineRule="auto"/>
      </w:pPr>
      <w:r>
        <w:rPr>
          <w:b/>
        </w:rPr>
        <w:t xml:space="preserve">[10] </w:t>
      </w:r>
      <w:hyperlink r:id="rId32">
        <w:r>
          <w:rPr>
            <w:color w:val="1155CC"/>
            <w:u w:val="single"/>
          </w:rPr>
          <w:t>通过同种分子结构实现无添加剂、高效且稳定的全聚合物太阳能电池，用于集成太阳能存储应用</w:t>
        </w:r>
      </w:hyperlink>
    </w:p>
    <w:p>
      <w:pPr>
        <w:spacing w:before="0" w:after="80"/>
      </w:pPr>
      <w:r>
        <w:rPr>
          <w:i/>
          <w:sz w:val="20"/>
        </w:rPr>
        <w:t>EN: Additive‐Free, Efficient, and Stable All‐Polymer Solar Cells Enabled by Congeneric Molecule Construction for Integrated Solar‐Storage Applications</w:t>
      </w:r>
    </w:p>
    <w:p>
      <w:pPr>
        <w:spacing w:before="0" w:after="120"/>
      </w:pPr>
      <w:r>
        <w:rPr>
          <w:b/>
        </w:rPr>
        <w:t xml:space="preserve">Source: </w:t>
      </w:r>
      <w:r>
        <w:t>Wiley: Angewandte Chemie International Edition: Table of Contents</w:t>
      </w:r>
      <w:r>
        <w:t xml:space="preserve">    </w:t>
      </w:r>
      <w:r>
        <w:rPr>
          <w:b/>
        </w:rPr>
        <w:t xml:space="preserve">Pub date: </w:t>
      </w:r>
      <w:r>
        <w:t>2026-07-26 17:59:17+00:00</w:t>
      </w:r>
      <w:r>
        <w:t xml:space="preserve">    </w:t>
      </w:r>
      <w:r>
        <w:rPr>
          <w:b/>
        </w:rPr>
        <w:t xml:space="preserve">DOI: </w:t>
      </w:r>
      <w:hyperlink r:id="rId33">
        <w:r>
          <w:rPr>
            <w:color w:val="1155CC"/>
            <w:u w:val="single"/>
          </w:rPr>
          <w:t>10.1002/anie.6171732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太阳能电池对可穿戴电子产品很有吸引力，特别是全聚合物太阳能电池（全PSC）具有卓越的内在稳定性和更高的输出电压，能够与能量存储和转换系统直接匹配。然而，全PSC通常存在形态无序和供体-受体相容性差的问题，需要使用损害长期稳定性的加工添加剂。在这里，我们引入了一种结构同源策略，使用共享相同联噻吩酰亚胺结构单元的供体和受体聚合物，以消除对添加剂的需求。这种设计增强了分子间相互作用，增强了分子有序性，并抑制了能量损失，产生了 0.94 V 的开路电压，比基准 PM6:Y6 系统提高了 12%。化学同源性还降低了弗洛里-哈金斯相互作用参数并提高了供体-受体相容性，使活性层能够自发形成理想的纳米级纤维状互穿网络。由此产生的无添加剂全 PSC 实现了 19.12% 的创纪录功率转换效率，以及卓越的热稳定性（</w:t>
      </w:r>
      <w:r>
        <w:t xml:space="preserve"> </w:t>
      </w:r>
      <w:r>
        <w:t>时间</w:t>
      </w:r>
      <w:r>
        <w:rPr>
          <w:vertAlign w:val="subscript"/>
        </w:rPr>
        <w:t>80</w:t>
      </w:r>
      <w:r>
        <w:t>=  1128 h), 光稳定性 (</w:t>
      </w:r>
      <w:r>
        <w:t xml:space="preserve"> </w:t>
      </w:r>
      <w:r>
        <w:t>时间</w:t>
      </w:r>
      <w:r>
        <w:rPr>
          <w:vertAlign w:val="subscript"/>
        </w:rPr>
        <w:t>80</w:t>
      </w:r>
      <w:r>
        <w:t>= 756 h) 和机械强度。通过整合 70 厘米</w:t>
      </w:r>
      <w:r>
        <w:rPr>
          <w:vertAlign w:val="subscript"/>
        </w:rPr>
        <w:t>2</w:t>
      </w:r>
      <w:r>
        <w:t>带有串联锌空气电池的大面积全聚合物模块，我们展示了一种自我维持的太阳能可充电系统</w:t>
      </w:r>
    </w:p>
    <w:p>
      <w:pPr>
        <w:spacing w:before="0" w:after="200" w:lineRule="auto" w:line="276"/>
      </w:pPr>
      <w:r>
        <w:rPr>
          <w:b/>
        </w:rPr>
        <w:t xml:space="preserve">Abstract (EN): </w:t>
      </w:r>
      <w:r>
        <w:t>Organic solar cells are attractive for wearable electronics, in particular, all‐polymer solar cells (all‐PSCs) offer superior intrinsic stability and higher output voltage, enabling direct matching with the energy storage and conversion systems. However, all‐PSCs typically suffer from disordered morphology and poor donor–acceptor compatibility, requiring processing additives that compromise long‐term stability. Here, we introduce a structural homology strategy, using donor and acceptor polymers that share the same bithiophene imide building block, to eliminate the need for additives. This design strengthens intermolecular interactions, enhances molecular ordering, and suppresses energy loss, yielding an open‐circuit voltage of 0.94 V, a 12% improvement over the benchmark PM6:Y6 system. The chemical homology also reduces the Flory–Huggins interaction parameter and improves donor–acceptor compatibility, allowing the active layer to spontaneously form an ideal nanoscale fibrillar interpenetrating network. The resulting additive‐free all‐PSCs achieve a record power conversion efficiency of 19.12%, together with exceptional thermal stability (</w:t>
      </w:r>
      <w:r>
        <w:t xml:space="preserve"> </w:t>
      </w:r>
      <w:r>
        <w:t>T</w:t>
      </w:r>
      <w:r>
        <w:rPr>
          <w:vertAlign w:val="subscript"/>
        </w:rPr>
        <w:t>80</w:t>
      </w:r>
      <w:r>
        <w:t>=  1128 h), photostability (</w:t>
      </w:r>
      <w:r>
        <w:t xml:space="preserve"> </w:t>
      </w:r>
      <w:r>
        <w:t>T</w:t>
      </w:r>
      <w:r>
        <w:rPr>
          <w:vertAlign w:val="subscript"/>
        </w:rPr>
        <w:t>80</w:t>
      </w:r>
      <w:r>
        <w:t>= 756 h), and mechanical robustness. By integrating a 70 cm</w:t>
      </w:r>
      <w:r>
        <w:rPr>
          <w:vertAlign w:val="subscript"/>
        </w:rPr>
        <w:t>2</w:t>
      </w:r>
      <w:r>
        <w:t>large‐area all‐polymer module with series‐connected zinc–air batteries, we demonstrate a self‐sustaining, solar‐rechargeable system that delivers continuous power under both illumination and darkness, offering a practical pathway for next‐generation flexible and wearable electronics.</w:t>
      </w:r>
    </w:p>
    <w:p>
      <w:pPr>
        <w:spacing w:before="120" w:after="120"/>
      </w:pPr>
      <w:r>
        <w:rPr>
          <w:sz w:val="18"/>
        </w:rPr>
        <w:t>——————————————————————————————————————————————————————————————————————</w:t>
      </w:r>
    </w:p>
    <w:p>
      <w:pPr>
        <w:spacing w:before="160" w:after="40" w:line="240" w:lineRule="auto"/>
      </w:pPr>
      <w:r>
        <w:rPr>
          <w:b/>
        </w:rPr>
        <w:t xml:space="preserve">[11] </w:t>
      </w:r>
      <w:hyperlink r:id="rId192">
        <w:r>
          <w:rPr>
            <w:color w:val="1155CC"/>
            <w:u w:val="single"/>
          </w:rPr>
          <w:t>垂直微棒中的准弹道离子传输可实现高效的蒸发驱动发电</w:t>
        </w:r>
      </w:hyperlink>
    </w:p>
    <w:p>
      <w:pPr>
        <w:spacing w:before="0" w:after="80"/>
      </w:pPr>
      <w:r>
        <w:rPr>
          <w:i/>
          <w:sz w:val="20"/>
        </w:rPr>
        <w:t>EN: Quasi-ballistic ion transport in a vertical microrod enabling efficient evaporation-driven power generation</w:t>
      </w:r>
    </w:p>
    <w:p>
      <w:pPr>
        <w:spacing w:before="0" w:after="120"/>
      </w:pPr>
      <w:r>
        <w:rPr>
          <w:b/>
        </w:rPr>
        <w:t xml:space="preserve">Source: </w:t>
      </w:r>
      <w:r>
        <w:t>Nature Energy</w:t>
      </w:r>
      <w:r>
        <w:t xml:space="preserve">    </w:t>
      </w:r>
      <w:r>
        <w:rPr>
          <w:b/>
        </w:rPr>
        <w:t xml:space="preserve">Pub date: </w:t>
      </w:r>
      <w:r>
        <w:t>2026-07-27 00:00:00+00:00</w:t>
      </w:r>
      <w:r>
        <w:t xml:space="preserve">    </w:t>
      </w:r>
      <w:r>
        <w:rPr>
          <w:b/>
        </w:rPr>
        <w:t xml:space="preserve">DOI: </w:t>
      </w:r>
      <w:hyperlink r:id="rId193">
        <w:r>
          <w:rPr>
            <w:color w:val="1155CC"/>
            <w:u w:val="single"/>
          </w:rPr>
          <w:t>10.1038/s41560-026-02117-3</w:t>
        </w:r>
      </w:hyperlink>
    </w:p>
    <w:p>
      <w:pPr>
        <w:spacing w:before="0" w:after="120"/>
      </w:pPr>
      <w:r>
        <w:rPr>
          <w:b/>
        </w:rPr>
        <w:t xml:space="preserve">Notes: </w:t>
      </w:r>
      <w:r>
        <w:t>abstract_source=rss_nature</w:t>
      </w:r>
    </w:p>
    <w:p>
      <w:pPr>
        <w:spacing w:before="0" w:after="80" w:lineRule="auto" w:line="276"/>
      </w:pPr>
      <w:r>
        <w:rPr>
          <w:b/>
        </w:rPr>
        <w:t xml:space="preserve">摘要（ZH）: </w:t>
      </w:r>
      <w:r>
        <w:t>蒸发驱动发电机通常受到非定向流体流动的限制，这降低了其效率。在机器学习的指导下，Wu 等人。开发了一种立式微棒发生器，可改善离子传输，提高效率和功率密度。</w:t>
      </w:r>
    </w:p>
    <w:p>
      <w:pPr>
        <w:spacing w:before="0" w:after="200" w:lineRule="auto" w:line="276"/>
      </w:pPr>
      <w:r>
        <w:rPr>
          <w:b/>
        </w:rPr>
        <w:t xml:space="preserve">Abstract (EN): </w:t>
      </w:r>
      <w:r>
        <w:t>Evaporation-driven power generators are often limited by non-directional fluid flow, which reduces their efficiency. Guided by machine learning, Wu et al. developed a vertical microrod generator that improves ion transport, increasing efficiency and power density.</w:t>
      </w:r>
    </w:p>
    <w:p>
      <w:pPr>
        <w:spacing w:before="120" w:after="120"/>
      </w:pPr>
      <w:r>
        <w:rPr>
          <w:sz w:val="18"/>
        </w:rPr>
        <w:t>——————————————————————————————————————————————————————————————————————</w:t>
      </w:r>
    </w:p>
    <w:p>
      <w:pPr>
        <w:spacing w:before="160" w:after="40" w:line="240" w:lineRule="auto"/>
      </w:pPr>
      <w:r>
        <w:rPr>
          <w:b/>
        </w:rPr>
        <w:t xml:space="preserve">[12] </w:t>
      </w:r>
      <w:hyperlink r:id="rId194">
        <w:r>
          <w:rPr>
            <w:color w:val="1155CC"/>
            <w:u w:val="single"/>
          </w:rPr>
          <w:t>由变形液态金属电容器实现的微流体脉冲振荡器</w:t>
        </w:r>
      </w:hyperlink>
    </w:p>
    <w:p>
      <w:pPr>
        <w:spacing w:before="0" w:after="80"/>
      </w:pPr>
      <w:r>
        <w:rPr>
          <w:i/>
          <w:sz w:val="20"/>
        </w:rPr>
        <w:t>EN: Microfluidic pulse oscillator enabled by a shapeshifting liquid metal capacitor</w:t>
      </w:r>
    </w:p>
    <w:p>
      <w:pPr>
        <w:spacing w:before="0" w:after="120"/>
      </w:pPr>
      <w:r>
        <w:rPr>
          <w:b/>
        </w:rPr>
        <w:t xml:space="preserve">Source: </w:t>
      </w:r>
      <w:r>
        <w:t>Physical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与电感电容振荡器电路类似，微流控振荡器采用逻辑流体网络来生成级联和振荡流，将流控制的高级功能引入片上实验室平台。尽管取得了显着的进步，但当前的微流控振荡器主要局限于固定的多层结构，不能满足灵活性、可重构性和快速响应特性的要求。在此，我们开发了一种单层微流体脉冲振荡器，带有可变形液态金属（LM）电容器，用于实时控制振荡流。该流体脉冲振荡器利用LM电容储能与周围Marangoni流之间的相互作用，将存储的界面能量转换为流体脉冲运动，并在交流场中实现流体振荡。开发了考虑流体阻力、电容和电感的理论模型来解释流体流动行为。此外，我们采用粒子追踪来跟踪瞬态流场变化，并采用数值模拟来表征流动动力学。结果表明，靠近LM电容器的近场区域出现涡流，而远离LM电容器的远场区域则出现脉冲振荡流，并占据了大部分微通道。振荡流利用轴向振荡和横向升力引起的累积位移来实现频率可调的颗粒聚焦和分离。利用电子电路原理，微流体</w:t>
      </w:r>
    </w:p>
    <w:p>
      <w:pPr>
        <w:spacing w:before="0" w:after="200" w:lineRule="auto" w:line="276"/>
      </w:pPr>
      <w:r>
        <w:rPr>
          <w:b/>
        </w:rPr>
        <w:t xml:space="preserve">Abstract (EN): </w:t>
      </w:r>
      <w:r>
        <w:t>Analogous to an inductor-capacitor oscillator circuit, the microfluidic oscillator employs a logic fluidic network to generate cascading and oscillatory flows, bringing the advanced function of flow control to the lab-on-chip platform. Despite notable advancements, current microfluidic oscillators are predominantly limited to fixed multilayer structures and cannot satisfy the requirements for flexibility, reconfigurability, and rapid-response characteristics. Herein, we developed a monolayer microfluidic pulse oscillator with a shapeshifting liquid metal (LM) capacitor for real-time control of oscillatory flows. This fluidic pulse oscillator exploits the interplay between LM capacitive energy storage and the surrounding Marangoni flow to convert stored interfacial energy into fluidic pulsed motion and realize fluid oscillation in alternating current fields. A theoretical model considering fluidic resistance, capacitance, and inductance is developed to decipher the fluid flow behavior. Furthermore, we employed both particle tracing to track transient flow field changes and numerical simulations to characterize the flow dynamics. The results reveal that vortex flow emerges in the near-field region adjacent to the LM capacitor, while pulse oscillatory flow prevails in the far-field region distant from the LM capacitor and occupies most of the microchannel. Axial oscillation and lateral lift-induced cumulative displacement are employed by oscillatory flow for frequency-tunable particle focusing and separation. By leveraging the principles of electronic circuits, the microfluidic pulse oscillator enables the advanced control of liquids and suspended particles for more lab-on-a-chip applications.</w:t>
      </w:r>
    </w:p>
    <w:p>
      <w:pPr>
        <w:spacing w:before="120" w:after="120"/>
      </w:pPr>
      <w:r>
        <w:rPr>
          <w:sz w:val="18"/>
        </w:rPr>
        <w:t>——————————————————————————————————————————————————————————————————————</w:t>
      </w:r>
    </w:p>
    <w:p>
      <w:pPr>
        <w:spacing w:before="160" w:after="40" w:line="240" w:lineRule="auto"/>
      </w:pPr>
      <w:r>
        <w:rPr>
          <w:b/>
        </w:rPr>
        <w:t xml:space="preserve">[13] </w:t>
      </w:r>
      <w:hyperlink r:id="rId195">
        <w:r>
          <w:rPr>
            <w:color w:val="1155CC"/>
            <w:u w:val="single"/>
          </w:rPr>
          <w:t>柔性有机薄膜晶体管，通过无机-有机异质电介质实现一体化视网膜加速</w:t>
        </w:r>
      </w:hyperlink>
    </w:p>
    <w:p>
      <w:pPr>
        <w:spacing w:before="0" w:after="80"/>
      </w:pPr>
      <w:r>
        <w:rPr>
          <w:i/>
          <w:sz w:val="20"/>
        </w:rPr>
        <w:t>EN: Flexible organic thin-film transistors for all-in-one retinomorphic acceleration enabled by inorganic-organic heterogeneous dielectrics</w:t>
      </w:r>
    </w:p>
    <w:p>
      <w:pPr>
        <w:spacing w:before="0" w:after="120"/>
      </w:pPr>
      <w:r>
        <w:rPr>
          <w:b/>
        </w:rPr>
        <w:t xml:space="preserve">Source: </w:t>
      </w:r>
      <w:r>
        <w:t>Physical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有机神经形态视觉传感器有望克服传统图像传感器的局限性，但高效电荷传输和电荷捕获之间的权衡阻碍了结合高效光学传感和非易失性存储器的接口的开发。在这里，我们展示了通过低温等离子体增强原子层沉积和旋涂制造的无机-有机异质电介质（Al2O3/PAA），可以实现具有集成传感存储处理功能的柔性薄膜晶体管。该器件的平均迁移率为 22.65 cm2 V−1 s−1，对 450 nm 光的光学响应为 30 µs，电荷保持时间超过 10 年，写入/擦除耐久性超过 104 个周期，电响应低至 130 ns，并可在 10 µs 内实现稳定的多级编程。它们模拟突触可塑性，识别准确率达到 99.49%（手势）、94.78%（数字）和 92.56%（面部）。当与卷积神经网络加速器集成时，该系统展示了实时、抗干扰的人脸检测，凸显了这种介电架构在灵活的神经形态视觉系统中的潜力。</w:t>
      </w:r>
    </w:p>
    <w:p>
      <w:pPr>
        <w:spacing w:before="0" w:after="200" w:lineRule="auto" w:line="276"/>
      </w:pPr>
      <w:r>
        <w:rPr>
          <w:b/>
        </w:rPr>
        <w:t xml:space="preserve">Abstract (EN): </w:t>
      </w:r>
      <w:r>
        <w:t>Organic neuromorphic visual sensors promise to overcome the limitations of conventional image sensors, but a trade-off between efficient charge transport and charge trapping has hindered the development of interfaces that combine efficient optical sensing and non-volatile memory. Here we show that an inorganic-organic heterogeneous dielectric (Al2O3/PAA), fabricated by low-temperature plasma-enhanced atomic layer deposition and spin-coating, enables flexible thin-film transistors with integrated sensing-memory-processing functions. The devices exhibit an average mobility of 22.65 cm2 V−1 s−1, a 30 µs optical response to 450 nm light, charge retention exceeding ten years, write/erase endurance over 104 cycles, an electrical response down to 130 ns, and stable multilevel programming at 10 µs. They emulate synaptic plasticity and achieve recognition accuracies of 99.49% (gesture), 94.78% (digit) and 92.56% (face). When integrated with a convolutional neural network accelerator, the system demonstrates real-time, interference-resistant face detection, highlighting the potential of this dielectric architecture for flexible neuromorphic vision systems.</w:t>
      </w:r>
    </w:p>
    <w:p>
      <w:pPr>
        <w:spacing w:before="120" w:after="120"/>
      </w:pPr>
      <w:r>
        <w:rPr>
          <w:sz w:val="18"/>
        </w:rPr>
        <w:t>——————————————————————————————————————————————————————————————————————</w:t>
      </w:r>
    </w:p>
    <w:p>
      <w:pPr>
        <w:spacing w:before="160" w:after="40" w:line="240" w:lineRule="auto"/>
      </w:pPr>
      <w:r>
        <w:rPr>
          <w:b/>
        </w:rPr>
        <w:t xml:space="preserve">[14] </w:t>
      </w:r>
      <w:hyperlink r:id="rId196">
        <w:r>
          <w:rPr>
            <w:color w:val="1155CC"/>
            <w:u w:val="single"/>
          </w:rPr>
          <w:t>通过双约束工程引导连续 MoS2 中的 Mo 4d–S 3p 轨道杂化以实现高效赝电容存储</w:t>
        </w:r>
      </w:hyperlink>
    </w:p>
    <w:p>
      <w:pPr>
        <w:spacing w:before="0" w:after="80"/>
      </w:pPr>
      <w:r>
        <w:rPr>
          <w:i/>
          <w:sz w:val="20"/>
        </w:rPr>
        <w:t>EN: Guiding Successive Mo 4d–S 3p Orbital Hybridization in MoS2 via Dual‐Confinement Engineering for Efficient Pseudocapacitive Storage</w:t>
      </w:r>
    </w:p>
    <w:p>
      <w:pPr>
        <w:spacing w:before="0" w:after="120"/>
      </w:pPr>
      <w:r>
        <w:rPr>
          <w:b/>
        </w:rPr>
        <w:t xml:space="preserve">Source: </w:t>
      </w:r>
      <w:r>
        <w:t>Wiley: Advanced Energy Materials: Table of Contents</w:t>
      </w:r>
      <w:r>
        <w:t xml:space="preserve">    </w:t>
      </w:r>
      <w:r>
        <w:rPr>
          <w:b/>
        </w:rPr>
        <w:t xml:space="preserve">Pub date: </w:t>
      </w:r>
      <w:r>
        <w:t>2026-07-27 11:39:28+00:00</w:t>
      </w:r>
      <w:r>
        <w:t xml:space="preserve">    </w:t>
      </w:r>
      <w:r>
        <w:rPr>
          <w:b/>
        </w:rPr>
        <w:t xml:space="preserve">DOI: </w:t>
      </w:r>
      <w:hyperlink r:id="rId197">
        <w:r>
          <w:rPr>
            <w:color w:val="1155CC"/>
            <w:u w:val="single"/>
          </w:rPr>
          <w:t>10.1002/aenm.71344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MoS2的赝电容性能</w:t>
      </w:r>
      <w:r>
        <w:rPr>
          <w:vertAlign w:val="subscript"/>
        </w:rPr>
        <w:t>2</w:t>
      </w:r>
      <w:r>
        <w:t>其本质上受到其较差的电子传导性和惰性基面的阻碍，这主要是由于弱 Mo 4</w:t>
      </w:r>
      <w:r>
        <w:t xml:space="preserve"> </w:t>
      </w:r>
      <w:r>
        <w:t>d</w:t>
      </w:r>
      <w:r>
        <w:t xml:space="preserve"> </w:t>
      </w:r>
      <w:r>
        <w:t>–S 3</w:t>
      </w:r>
      <w:r>
        <w:t xml:space="preserve"> </w:t>
      </w:r>
      <w:r>
        <w:t>p</w:t>
      </w:r>
      <w:r>
        <w:t xml:space="preserve"> </w:t>
      </w:r>
      <w:r>
        <w:t>轨道杂交。在此，我们提出了一种双限制策略，通过晶格限制的Mn掺杂和层间限制的乙二醇（EG）同时调节轨道杂化，产生Mn和EG共同设计的MoS</w:t>
      </w:r>
      <w:r>
        <w:rPr>
          <w:vertAlign w:val="subscript"/>
        </w:rPr>
        <w:t>2</w:t>
      </w:r>
      <w:r>
        <w:t>结构（表示为 Mn-EG-MoS</w:t>
      </w:r>
      <w:r>
        <w:rPr>
          <w:vertAlign w:val="subscript"/>
        </w:rPr>
        <w:t>2</w:t>
      </w:r>
      <w:r>
        <w:t>）。微观表征和理论计算表明，Mn 取代重建了局部 Mo-S 配位，增强了 Mo 4</w:t>
      </w:r>
      <w:r>
        <w:t xml:space="preserve"> </w:t>
      </w:r>
      <w:r>
        <w:t>d</w:t>
      </w:r>
      <w:r>
        <w:t xml:space="preserve"> </w:t>
      </w:r>
      <w:r>
        <w:t>–S 3</w:t>
      </w:r>
      <w:r>
        <w:t xml:space="preserve"> </w:t>
      </w:r>
      <w:r>
        <w:t>p</w:t>
      </w:r>
      <w:r>
        <w:t xml:space="preserve"> </w:t>
      </w:r>
      <w:r>
        <w:t>和锰 3</w:t>
      </w:r>
      <w:r>
        <w:t xml:space="preserve"> </w:t>
      </w:r>
      <w:r>
        <w:t>d</w:t>
      </w:r>
      <w:r>
        <w:t xml:space="preserve"> </w:t>
      </w:r>
      <w:r>
        <w:t>–S 3</w:t>
      </w:r>
      <w:r>
        <w:t xml:space="preserve"> </w:t>
      </w:r>
      <w:r>
        <w:t>p</w:t>
      </w:r>
      <w:r>
        <w:t xml:space="preserve"> </w:t>
      </w:r>
      <w:r>
        <w:t>杂化，从而激活基底平面位点并增强 Mn-EG-MoS 中的 Mo-S-Mn 键合</w:t>
      </w:r>
      <w:r>
        <w:rPr>
          <w:vertAlign w:val="subscript"/>
        </w:rPr>
        <w:t>2</w:t>
      </w:r>
      <w:r>
        <w:t>。同时，EG的掺入扩大了层间距并促进了层间动态轨道耦合，有效增强了电子-离子传输动力学。因此，Mn-EG-MoS</w:t>
      </w:r>
      <w:r>
        <w:rPr>
          <w:vertAlign w:val="subscript"/>
        </w:rPr>
        <w:t>2</w:t>
      </w:r>
      <w:r>
        <w:t>电极提供 757.5 mF cm 的高面积电容</w:t>
      </w:r>
      <w:r>
        <w:t xml:space="preserve"> </w:t>
      </w:r>
      <w:r>
        <w:t>−2</w:t>
      </w:r>
      <w:r>
        <w:t xml:space="preserve"> </w:t>
      </w:r>
      <w:r>
        <w:t>5 mA cm 时</w:t>
      </w:r>
      <w:r>
        <w:t xml:space="preserve"> </w:t>
      </w:r>
      <w:r>
        <w:t>−2</w:t>
      </w:r>
      <w:r>
        <w:t xml:space="preserve"> </w:t>
      </w:r>
      <w:r>
        <w:t>和良好的循环稳定性</w:t>
      </w:r>
    </w:p>
    <w:p>
      <w:pPr>
        <w:spacing w:before="0" w:after="200" w:lineRule="auto" w:line="276"/>
      </w:pPr>
      <w:r>
        <w:rPr>
          <w:b/>
        </w:rPr>
        <w:t xml:space="preserve">Abstract (EN): </w:t>
      </w:r>
      <w:r>
        <w:t>The pseudocapacitive performance of MoS</w:t>
      </w:r>
      <w:r>
        <w:rPr>
          <w:vertAlign w:val="subscript"/>
        </w:rPr>
        <w:t>2</w:t>
      </w:r>
      <w:r>
        <w:t>is intrinsically hampered by its poor electronic conductivity and inert basal planes, primarily arising from weak Mo 4</w:t>
      </w:r>
      <w:r>
        <w:t xml:space="preserve"> </w:t>
      </w:r>
      <w:r>
        <w:t>d</w:t>
      </w:r>
      <w:r>
        <w:t xml:space="preserve"> </w:t>
      </w:r>
      <w:r>
        <w:t>–S 3</w:t>
      </w:r>
      <w:r>
        <w:t xml:space="preserve"> </w:t>
      </w:r>
      <w:r>
        <w:t>p</w:t>
      </w:r>
      <w:r>
        <w:t xml:space="preserve"> </w:t>
      </w:r>
      <w:r>
        <w:t>orbital hybridization. Herein, we present a dual‐confinement strategy that simultaneously modulates orbital hybridization via lattice‐confined Mn doping and interlayer‐confined ethylene glycol (EG), yielding a Mn‐ and EG‐co‐engineered MoS</w:t>
      </w:r>
      <w:r>
        <w:rPr>
          <w:vertAlign w:val="subscript"/>
        </w:rPr>
        <w:t>2</w:t>
      </w:r>
      <w:r>
        <w:t>architecture (denoted as Mn‐EG‐MoS</w:t>
      </w:r>
      <w:r>
        <w:rPr>
          <w:vertAlign w:val="subscript"/>
        </w:rPr>
        <w:t>2</w:t>
      </w:r>
      <w:r>
        <w:t>). Microscopic characterization and theoretical calculations reveal that Mn substitution reconstructs the local Mo–S coordination, enhancing both Mo 4</w:t>
      </w:r>
      <w:r>
        <w:t xml:space="preserve"> </w:t>
      </w:r>
      <w:r>
        <w:t>d</w:t>
      </w:r>
      <w:r>
        <w:t xml:space="preserve"> </w:t>
      </w:r>
      <w:r>
        <w:t>–S 3</w:t>
      </w:r>
      <w:r>
        <w:t xml:space="preserve"> </w:t>
      </w:r>
      <w:r>
        <w:t>p</w:t>
      </w:r>
      <w:r>
        <w:t xml:space="preserve"> </w:t>
      </w:r>
      <w:r>
        <w:t>and Mn 3</w:t>
      </w:r>
      <w:r>
        <w:t xml:space="preserve"> </w:t>
      </w:r>
      <w:r>
        <w:t>d</w:t>
      </w:r>
      <w:r>
        <w:t xml:space="preserve"> </w:t>
      </w:r>
      <w:r>
        <w:t>–S 3</w:t>
      </w:r>
      <w:r>
        <w:t xml:space="preserve"> </w:t>
      </w:r>
      <w:r>
        <w:t>p</w:t>
      </w:r>
      <w:r>
        <w:t xml:space="preserve"> </w:t>
      </w:r>
      <w:r>
        <w:t>hybridization, thereby activating the basal plane sites and reinforcing Mo–S–Mn bonding in Mn‐EG‐MoS</w:t>
      </w:r>
      <w:r>
        <w:rPr>
          <w:vertAlign w:val="subscript"/>
        </w:rPr>
        <w:t>2</w:t>
      </w:r>
      <w:r>
        <w:t>. Simultaneously, EG incorporation expands the interlayer spacing and promotes dynamic orbital coupling across layers, effectively enhancing electron‐ion transport kinetics. Consequently, the Mn‐EG‐MoS</w:t>
      </w:r>
      <w:r>
        <w:rPr>
          <w:vertAlign w:val="subscript"/>
        </w:rPr>
        <w:t>2</w:t>
      </w:r>
      <w:r>
        <w:t>electrode delivers a high areal capacitance of 757.5 mF cm</w:t>
      </w:r>
      <w:r>
        <w:t xml:space="preserve"> </w:t>
      </w:r>
      <w:r>
        <w:t>−2</w:t>
      </w:r>
      <w:r>
        <w:t xml:space="preserve"> </w:t>
      </w:r>
      <w:r>
        <w:t>at 5 mA cm</w:t>
      </w:r>
      <w:r>
        <w:t xml:space="preserve"> </w:t>
      </w:r>
      <w:r>
        <w:t>−2</w:t>
      </w:r>
      <w:r>
        <w:t xml:space="preserve"> </w:t>
      </w:r>
      <w:r>
        <w:t>and good cycling stability. Furthermore, asymmetric supercapacitors assembled with a PVP‐MnO</w:t>
      </w:r>
      <w:r>
        <w:rPr>
          <w:vertAlign w:val="subscript"/>
        </w:rPr>
        <w:t>2</w:t>
      </w:r>
      <w:r>
        <w:t>cathode achieve a high energy density of 164.00 µWh cm</w:t>
      </w:r>
      <w:r>
        <w:t xml:space="preserve"> </w:t>
      </w:r>
      <w:r>
        <w:t>−2</w:t>
      </w:r>
      <w:r>
        <w:t xml:space="preserve"> </w:t>
      </w:r>
      <w:r>
        <w:t>at 9.77 mW cm</w:t>
      </w:r>
      <w:r>
        <w:t xml:space="preserve"> </w:t>
      </w:r>
      <w:r>
        <w:t>−2</w:t>
      </w:r>
      <w:r>
        <w:t xml:space="preserve"> </w:t>
      </w:r>
      <w:r>
        <w:t>, superior cycling stability retaining 90.06% of their initial capacitance after 5000 cycles at 30 mA cm</w:t>
      </w:r>
      <w:r>
        <w:t xml:space="preserve"> </w:t>
      </w:r>
      <w:r>
        <w:t>−2</w:t>
      </w:r>
      <w:r>
        <w:t xml:space="preserve"> </w:t>
      </w:r>
      <w:r>
        <w:t>, and robust mechanical flexibility. This work establishes an effective design strategy by tuning orbital‐level interactions via dual‐confinement engineering for developing high‐performance layer‐structured materials.</w:t>
      </w:r>
    </w:p>
    <w:p>
      <w:pPr>
        <w:spacing w:before="120" w:after="120"/>
      </w:pPr>
      <w:r>
        <w:rPr>
          <w:sz w:val="18"/>
        </w:rPr>
        <w:t>——————————————————————————————————————————————————————————————————————</w:t>
      </w:r>
    </w:p>
    <w:p>
      <w:pPr>
        <w:spacing w:before="160" w:after="40" w:line="240" w:lineRule="auto"/>
      </w:pPr>
      <w:r>
        <w:rPr>
          <w:b/>
        </w:rPr>
        <w:t xml:space="preserve">[15] </w:t>
      </w:r>
      <w:hyperlink r:id="rId198">
        <w:r>
          <w:rPr>
            <w:color w:val="1155CC"/>
            <w:u w:val="single"/>
          </w:rPr>
          <w:t>嵌入共价有机框架中的单原子钌的光诱导交替催化用于高性能光辅助锂氧电池</w:t>
        </w:r>
      </w:hyperlink>
    </w:p>
    <w:p>
      <w:pPr>
        <w:spacing w:before="0" w:after="80"/>
      </w:pPr>
      <w:r>
        <w:rPr>
          <w:i/>
          <w:sz w:val="20"/>
        </w:rPr>
        <w:t>EN: Light‐Induced Alternating Catalysis on Single‐Atom Ruthenium Embedded in Covalent Organic Frameworks for High‐Performance Photo‐Assisted Li–O2 Batteries</w:t>
      </w:r>
    </w:p>
    <w:p>
      <w:pPr>
        <w:spacing w:before="0" w:after="120"/>
      </w:pPr>
      <w:r>
        <w:rPr>
          <w:b/>
        </w:rPr>
        <w:t xml:space="preserve">Source: </w:t>
      </w:r>
      <w:r>
        <w:t>Wiley: Angewandte Chemie International Edition: Table of Contents</w:t>
      </w:r>
      <w:r>
        <w:t xml:space="preserve">    </w:t>
      </w:r>
      <w:r>
        <w:rPr>
          <w:b/>
        </w:rPr>
        <w:t xml:space="preserve">Pub date: </w:t>
      </w:r>
      <w:r>
        <w:t>2026-07-28 18:41:38+00:00</w:t>
      </w:r>
      <w:r>
        <w:t xml:space="preserve">    </w:t>
      </w:r>
      <w:r>
        <w:rPr>
          <w:b/>
        </w:rPr>
        <w:t xml:space="preserve">DOI: </w:t>
      </w:r>
      <w:hyperlink r:id="rId199">
        <w:r>
          <w:rPr>
            <w:color w:val="1155CC"/>
            <w:u w:val="single"/>
          </w:rPr>
          <w:t>10.1002/anie.8705276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高效阴极催化剂的开发对于推进光辅助非水锂氧（Li-O</w:t>
      </w:r>
      <w:r>
        <w:rPr>
          <w:vertAlign w:val="subscript"/>
        </w:rPr>
        <w:t>2</w:t>
      </w:r>
      <w:r>
        <w:t>）电池，利用太阳能来降低驱动氧还原和析出过程的高过电势。然而，最先进的光阴极催化剂通常缺乏调节Li-O中复杂活性位点和活性氧相关中间体之间相互作用的多步转化途径。</w:t>
      </w:r>
      <w:r>
        <w:rPr>
          <w:vertAlign w:val="subscript"/>
        </w:rPr>
        <w:t>2</w:t>
      </w:r>
      <w:r>
        <w:t>电池系统。在此，我们报告了一种新的光诱导交替催化机制，该机制基于由三嗪核心C3对称节点和π扩展苝二酰亚胺连接体（T-PDI）组装的单原子Ru嵌入共价有机框架，生成有序共轭Ru/T-PDI网络，该网络可用作Li-O的高性能光阴极</w:t>
      </w:r>
      <w:r>
        <w:rPr>
          <w:vertAlign w:val="subscript"/>
        </w:rPr>
        <w:t>2</w:t>
      </w:r>
      <w:r>
        <w:t>电池。与通过单中心活性运行的传统光辅助催化剂不同，Ru/T-PDI 电极能够实现活性氧在多个选择性位点之间的催化位点之间的动态迁移和高效转化。该机制协调了 Li-O 内的多步转化过程</w:t>
      </w:r>
      <w:r>
        <w:rPr>
          <w:vertAlign w:val="subscript"/>
        </w:rPr>
        <w:t>2</w:t>
      </w:r>
      <w:r>
        <w:t>电池，显着提高活性位点的催化效率，促进锂的形成和分解</w:t>
      </w:r>
      <w:r>
        <w:rPr>
          <w:vertAlign w:val="subscript"/>
        </w:rPr>
        <w:t>2</w:t>
      </w:r>
      <w:r>
        <w:t>氧</w:t>
      </w:r>
      <w:r>
        <w:rPr>
          <w:vertAlign w:val="subscript"/>
        </w:rPr>
        <w:t>2</w:t>
      </w:r>
      <w:r>
        <w:t>产品。</w:t>
      </w:r>
    </w:p>
    <w:p>
      <w:pPr>
        <w:spacing w:before="0" w:after="200" w:lineRule="auto" w:line="276"/>
      </w:pPr>
      <w:r>
        <w:rPr>
          <w:b/>
        </w:rPr>
        <w:t xml:space="preserve">Abstract (EN): </w:t>
      </w:r>
      <w:r>
        <w:t>The development of high‐efficiency cathode catalysts is crucial for advancing photo‐assisted non‐aqueous lithium–oxygen (Li–O</w:t>
      </w:r>
      <w:r>
        <w:rPr>
          <w:vertAlign w:val="subscript"/>
        </w:rPr>
        <w:t>2</w:t>
      </w:r>
      <w:r>
        <w:t>) batteries, which leverage solar energy to reduce the high overpotential for driving oxygen reduction and evolution processes. However, the state‐of‐the‐art photo‐cathode catalysts often lack multi‐step conversion pathways that regulate interactions between complex active sites and reactive oxygen‐related intermediates within Li–O</w:t>
      </w:r>
      <w:r>
        <w:rPr>
          <w:vertAlign w:val="subscript"/>
        </w:rPr>
        <w:t>2</w:t>
      </w:r>
      <w:r>
        <w:t>battery systems. Herein, we report a new light‐induced alternating catalytic mechanism based on a single‐atom Ru‐embedded covalent organic framework assembled from a triazine‐core C3‐symmetric node and π‐extended perylene‐diimide linkers (T‐PDI), generating an ordered conjugated Ru/T‐PDI network that functions as a high‐performance photo cathode of the Li–O</w:t>
      </w:r>
      <w:r>
        <w:rPr>
          <w:vertAlign w:val="subscript"/>
        </w:rPr>
        <w:t>2</w:t>
      </w:r>
      <w:r>
        <w:t>battery. Unlike conventional photo‐assisted catalysts that operate through the single‐site activity, the Ru/T‐PDI electrode enables dynamic migration and efficient conversion of reactive oxygen species between catalytic sites across multiple selective sites. This mechanism orchestrates the multi‐step transformation process within Li–O</w:t>
      </w:r>
      <w:r>
        <w:rPr>
          <w:vertAlign w:val="subscript"/>
        </w:rPr>
        <w:t>2</w:t>
      </w:r>
      <w:r>
        <w:t>batteries, significantly enhancing catalytic efficiency of active sites and facilitating both the formation and decomposition of Li</w:t>
      </w:r>
      <w:r>
        <w:rPr>
          <w:vertAlign w:val="subscript"/>
        </w:rPr>
        <w:t>2</w:t>
      </w:r>
      <w:r>
        <w:t>O</w:t>
      </w:r>
      <w:r>
        <w:rPr>
          <w:vertAlign w:val="subscript"/>
        </w:rPr>
        <w:t>2</w:t>
      </w:r>
      <w:r>
        <w:t>products. As a result, the photo‐assisted Li–O</w:t>
      </w:r>
      <w:r>
        <w:rPr>
          <w:vertAlign w:val="subscript"/>
        </w:rPr>
        <w:t>2</w:t>
      </w:r>
      <w:r>
        <w:t>battery employing the Ru/T‐PDI cathode achieves a quite low overpotential, outstanding cycling stability and excellent rate performance. This work provides crucial insights for reaction mechanism studies and catalyst design for next‐generation light‐driven metal–oxygen batteries.</w:t>
      </w:r>
    </w:p>
    <w:p>
      <w:pPr>
        <w:spacing w:before="120" w:after="120"/>
      </w:pPr>
      <w:r>
        <w:rPr>
          <w:sz w:val="18"/>
        </w:rPr>
        <w:t>——————————————————————————————————————————————————————————————————————</w:t>
      </w:r>
    </w:p>
    <w:p>
      <w:pPr>
        <w:spacing w:before="160" w:after="40" w:line="240" w:lineRule="auto"/>
      </w:pPr>
      <w:r>
        <w:rPr>
          <w:b/>
        </w:rPr>
        <w:t xml:space="preserve">[16] </w:t>
      </w:r>
      <w:hyperlink r:id="rId200">
        <w:r>
          <w:rPr>
            <w:color w:val="1155CC"/>
            <w:u w:val="single"/>
          </w:rPr>
          <w:t>电偶极子在铁电薄膜中横向移动</w:t>
        </w:r>
      </w:hyperlink>
    </w:p>
    <w:p>
      <w:pPr>
        <w:spacing w:before="0" w:after="80"/>
      </w:pPr>
      <w:r>
        <w:rPr>
          <w:i/>
          <w:sz w:val="20"/>
        </w:rPr>
        <w:t>EN: Electric dipoles go sideways in thin ferroelectric film</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201">
        <w:r>
          <w:rPr>
            <w:color w:val="1155CC"/>
            <w:u w:val="single"/>
          </w:rPr>
          <w:t>10.1038/d41586-026-02127-x</w:t>
        </w:r>
      </w:hyperlink>
    </w:p>
    <w:p>
      <w:pPr>
        <w:spacing w:before="0" w:after="120"/>
      </w:pPr>
      <w:r>
        <w:rPr>
          <w:b/>
        </w:rPr>
        <w:t xml:space="preserve">Notes: </w:t>
      </w:r>
      <w:r>
        <w:t>abstract_source=rss_nature</w:t>
      </w:r>
    </w:p>
    <w:p>
      <w:pPr>
        <w:spacing w:before="0" w:after="80" w:lineRule="auto" w:line="276"/>
      </w:pPr>
      <w:r>
        <w:rPr>
          <w:b/>
        </w:rPr>
        <w:t xml:space="preserve">摘要（ZH）: </w:t>
      </w:r>
      <w:r>
        <w:t>水平和垂直电极化之间的耦合使得能够使用标准器件几何形状来控制非常规铁电材料。</w:t>
      </w:r>
    </w:p>
    <w:p>
      <w:pPr>
        <w:spacing w:before="0" w:after="200" w:lineRule="auto" w:line="276"/>
      </w:pPr>
      <w:r>
        <w:rPr>
          <w:b/>
        </w:rPr>
        <w:t xml:space="preserve">Abstract (EN): </w:t>
      </w:r>
      <w:r>
        <w:t>Coupling between horizontal and vertical electric polarization enables an unconventional ferroelectric material to be controlled using standard device geometry.</w:t>
      </w:r>
    </w:p>
    <w:p>
      <w:pPr>
        <w:spacing w:before="120" w:after="120"/>
      </w:pPr>
      <w:r>
        <w:rPr>
          <w:sz w:val="18"/>
        </w:rPr>
        <w:t>——————————————————————————————————————————————————————————————————————</w:t>
      </w:r>
    </w:p>
    <w:p>
      <w:pPr>
        <w:spacing w:before="160" w:after="40" w:line="240" w:lineRule="auto"/>
      </w:pPr>
      <w:r>
        <w:rPr>
          <w:b/>
        </w:rPr>
        <w:t xml:space="preserve">[17] </w:t>
      </w:r>
      <w:hyperlink r:id="rId202">
        <w:r>
          <w:rPr>
            <w:color w:val="1155CC"/>
            <w:u w:val="single"/>
          </w:rPr>
          <w:t>层状铁电体中极化的垂直切换</w:t>
        </w:r>
      </w:hyperlink>
    </w:p>
    <w:p>
      <w:pPr>
        <w:spacing w:before="0" w:after="80"/>
      </w:pPr>
      <w:r>
        <w:rPr>
          <w:i/>
          <w:sz w:val="20"/>
        </w:rPr>
        <w:t>EN: Perpendicular switching of polarization in layered ferroelectrics</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203">
        <w:r>
          <w:rPr>
            <w:color w:val="1155CC"/>
            <w:u w:val="single"/>
          </w:rPr>
          <w:t>10.1038/s41586-026-10839-3</w:t>
        </w:r>
      </w:hyperlink>
    </w:p>
    <w:p>
      <w:pPr>
        <w:spacing w:before="0" w:after="120"/>
      </w:pPr>
      <w:r>
        <w:rPr>
          <w:b/>
        </w:rPr>
        <w:t xml:space="preserve">Notes: </w:t>
      </w:r>
      <w:r>
        <w:t>abstract_source=pubmed</w:t>
      </w:r>
    </w:p>
    <w:p>
      <w:pPr>
        <w:spacing w:before="0" w:after="80" w:lineRule="auto" w:line="276"/>
      </w:pPr>
      <w:r>
        <w:rPr>
          <w:b/>
        </w:rPr>
        <w:t xml:space="preserve">摘要（ZH）: </w:t>
      </w:r>
      <w:r>
        <w:t>铁电材料表现出可通过电场逆转的自发电极化1，这是非易失性存储器2、3、传感器4和执行器5、6的核心特性。在大多数传统铁电体中，极化源于极性模式的软化7。沿给定方向的模式振幅与沿同一方向施加的场耦合8。以面内极化为主的铁电体很难在标准器件几何形状中使用，因此该领域主要集中在面外铁电体。因此，开发能够利用面外场操纵面内偏振分量的方法将为设备设计和功能提供新的机会。在这里，我们发现，面内和面外偏振之间的三线性耦合，通过层状铁电 Bi4Ti3O12 中的八面体倾斜和旋转来介导，自然地解决了这一挑战，并实现了偏振态的垂直切换。在其块体单斜晶相中，该材料具有由适当的铁电不稳定性驱动的大面内极化（约 50 μC cm-2），以及由氧八面体畸变引起的来源不当的较小面外极化（约 5 μC cm-2）。我们证明，在 c 轴取向外延膜中，面内偏振在面外电场下确定性地切换。正交偏振分量之间的这种交叉耦合为铁氧体的横向操纵提供了一条途径。</w:t>
      </w:r>
    </w:p>
    <w:p>
      <w:pPr>
        <w:spacing w:before="0" w:after="200" w:lineRule="auto" w:line="276"/>
      </w:pPr>
      <w:r>
        <w:rPr>
          <w:b/>
        </w:rPr>
        <w:t xml:space="preserve">Abstract (EN): </w:t>
      </w:r>
      <w:r>
        <w:t>Ferroelectric materials exhibit a spontaneous electric polarization that can be reversed by an electric field1, a property central to non-volatile memories2,3, sensors4 and actuators5,6. In most conventional ferroelectrics, the polarization originates from a softening of a polar mode7. The amplitude of the mode along a given direction couples with the applied field along the same direction8. Ferroelectrics with a predominant in-plane polarization are harder to use in standard device geometries and therefore the field has mostly focused on out-of-plane ferroelectrics. Developing approaches that enable manipulation of the in-plane polarization component with an out-of-plane field would therefore provide new opportunities for device design and functionality. Here we have discovered that a trilinear coupling between the in-plane and out-of-plane polarization, mediated by means of the octahedral tilts and rotations in the layered ferroelectric Bi4Ti3O12, naturally fulfils this challenge and enables perpendicular switching of the polarization state. In its bulk monoclinic phase, this material hosts a large in-plane polarization (about 50 μC cm-2) driven by a proper ferroelectric instability, together with smaller out-of-plane polarization (about 5 μC cm-2) of improper origin, induced by oxygen octahedral distortions. We demonstrate that, in c-axis-oriented epitaxial films, the in-plane polarization switches deterministically under an out-of-plane electric field. This cross-coupling between orthogonal polarization components provides a route to transverse manipulation of ferroic order parameters and establishes layered ferroelectrics as a platform for capacitive computing concepts.</w:t>
      </w:r>
    </w:p>
    <w:p>
      <w:pPr>
        <w:spacing w:before="120" w:after="120"/>
      </w:pPr>
      <w:r>
        <w:rPr>
          <w:sz w:val="18"/>
        </w:rPr>
        <w:t>——————————————————————————————————————————————————————————————————————</w:t>
      </w:r>
    </w:p>
    <w:p>
      <w:pPr>
        <w:spacing w:before="160" w:after="40" w:line="240" w:lineRule="auto"/>
      </w:pPr>
      <w:r>
        <w:rPr>
          <w:b/>
        </w:rPr>
        <w:t xml:space="preserve">[18] </w:t>
      </w:r>
      <w:hyperlink r:id="rId204">
        <w:r>
          <w:rPr>
            <w:color w:val="1155CC"/>
            <w:u w:val="single"/>
          </w:rPr>
          <w:t>打破水卤电池向耐用储能系统的穿梭限制</w:t>
        </w:r>
      </w:hyperlink>
    </w:p>
    <w:p>
      <w:pPr>
        <w:spacing w:before="0" w:after="80"/>
      </w:pPr>
      <w:r>
        <w:rPr>
          <w:i/>
          <w:sz w:val="20"/>
        </w:rPr>
        <w:t>EN: Breaking the shuttle limitation in aqueous halogen batteries toward durable energy storage systems</w:t>
      </w:r>
    </w:p>
    <w:p>
      <w:pPr>
        <w:spacing w:before="0" w:after="120"/>
      </w:pPr>
      <w:r>
        <w:rPr>
          <w:b/>
        </w:rPr>
        <w:t xml:space="preserve">Source: </w:t>
      </w:r>
      <w:r>
        <w:t>National Science Review Advance Access</w:t>
      </w:r>
      <w:r>
        <w:t xml:space="preserve">    </w:t>
      </w:r>
      <w:r>
        <w:rPr>
          <w:b/>
        </w:rPr>
        <w:t xml:space="preserve">Pub date: </w:t>
      </w:r>
      <w:r>
        <w:t>2026-07-29 00:00:00+00:00</w:t>
      </w:r>
      <w:r>
        <w:t xml:space="preserve">    </w:t>
      </w:r>
      <w:r>
        <w:rPr>
          <w:b/>
        </w:rPr>
        <w:t xml:space="preserve">DOI: </w:t>
      </w:r>
      <w:hyperlink r:id="rId205">
        <w:r>
          <w:rPr>
            <w:color w:val="1155CC"/>
            <w:u w:val="single"/>
          </w:rPr>
          <w:t>10.1093/nsr/nwag459</w:t>
        </w:r>
      </w:hyperlink>
    </w:p>
    <w:p>
      <w:pPr>
        <w:spacing w:before="0" w:after="120"/>
      </w:pPr>
      <w:r>
        <w:rPr>
          <w:b/>
        </w:rPr>
        <w:t xml:space="preserve">Notes: </w:t>
      </w:r>
      <w:r>
        <w:t>abstract_source=openalex</w:t>
      </w:r>
    </w:p>
    <w:p>
      <w:pPr>
        <w:spacing w:before="0" w:after="80" w:lineRule="auto" w:line="276"/>
      </w:pPr>
      <w:r>
        <w:rPr>
          <w:b/>
        </w:rPr>
        <w:t xml:space="preserve">摘要（ZH）: </w:t>
      </w:r>
      <w:r>
        <w:t>Fulong Zhu, Zhehao Zhang, Fanxing Bu, Dongliang Chao; Breaking the shuttle limitation in aqueous halogen batteries toward durable energy storage systems, N</w:t>
      </w:r>
    </w:p>
    <w:p>
      <w:pPr>
        <w:spacing w:before="0" w:after="200" w:lineRule="auto" w:line="276"/>
      </w:pPr>
      <w:r>
        <w:rPr>
          <w:b/>
        </w:rPr>
        <w:t xml:space="preserve">Abstract (EN): </w:t>
      </w:r>
      <w:r>
        <w:t>Fulong Zhu, Zhehao Zhang, Fanxing Bu, Dongliang Chao; Breaking the shuttle limitation in aqueous halogen batteries toward durable energy storage systems, N</w:t>
      </w:r>
    </w:p>
    <w:p>
      <w:pPr>
        <w:spacing w:before="120" w:after="120"/>
      </w:pPr>
      <w:r>
        <w:rPr>
          <w:sz w:val="18"/>
        </w:rPr>
        <w:t>——————————————————————————————————————————————————————————————————————</w:t>
      </w:r>
    </w:p>
    <w:p>
      <w:pPr>
        <w:spacing w:before="160" w:after="40" w:line="240" w:lineRule="auto"/>
      </w:pPr>
      <w:r>
        <w:rPr>
          <w:b/>
        </w:rPr>
        <w:t xml:space="preserve">[19] </w:t>
      </w:r>
      <w:hyperlink r:id="rId147">
        <w:r>
          <w:rPr>
            <w:color w:val="1155CC"/>
            <w:u w:val="single"/>
          </w:rPr>
          <w:t>用于储能和电致变色能源器件的聚合物电解质：从设计策略到多功能应用</w:t>
        </w:r>
      </w:hyperlink>
    </w:p>
    <w:p>
      <w:pPr>
        <w:spacing w:before="0" w:after="80"/>
      </w:pPr>
      <w:r>
        <w:rPr>
          <w:i/>
          <w:sz w:val="20"/>
        </w:rPr>
        <w:t>EN: Polymer Electrolytes for Energy Storage and Electrochromic Energy Devices: From Design Strategy to Multifunctional Applications</w:t>
      </w:r>
    </w:p>
    <w:p>
      <w:pPr>
        <w:spacing w:before="0" w:after="120"/>
      </w:pPr>
      <w:r>
        <w:rPr>
          <w:b/>
        </w:rPr>
        <w:t xml:space="preserve">Source: </w:t>
      </w:r>
      <w:r>
        <w:t>Wiley: Advanced Energy Materials: Table of Contents</w:t>
      </w:r>
      <w:r>
        <w:t xml:space="preserve">    </w:t>
      </w:r>
      <w:r>
        <w:rPr>
          <w:b/>
        </w:rPr>
        <w:t xml:space="preserve">Pub date: </w:t>
      </w:r>
      <w:r>
        <w:t>2026-07-29 06:01:11+00:00</w:t>
      </w:r>
      <w:r>
        <w:t xml:space="preserve">    </w:t>
      </w:r>
      <w:r>
        <w:rPr>
          <w:b/>
        </w:rPr>
        <w:t xml:space="preserve">DOI: </w:t>
      </w:r>
      <w:hyperlink r:id="rId148">
        <w:r>
          <w:rPr>
            <w:color w:val="1155CC"/>
            <w:u w:val="single"/>
          </w:rPr>
          <w:t>10.1002/aenm.71332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合物电解质是先进储能和电光器件的关键使能材料，因为它们在单一平台内将离子传输与界面稳定性、机械顺应性和操作安全性结合起来。虽然它们在电池和超级电容器中的作用已得到充分证实，但最近的进展已将其重要性扩展到多功能电致变色系统，包括电致变色超级电容器、电致变色电池和智能窗户，其中电化学操作与可逆光学调制直接耦合。这些系统施加了更严格的设计限制，需要同时控制离子电导率、电化学稳定性、光学透明度、切换均匀性、可加工性和环境耐久性。本综述通过定义聚合物电解质的核心功能、主要类别和控制设计变量，建立了传统储能装置中聚合物电解质的总体设计逻辑。代表性系统分为水凝胶、有机凝胶/离子凝胶和独立式固体或半固体电解质，强调聚合物化学、盐-溶剂相互作用、网络架构和处理策略如何控制器件级行为。本综述讨论了在电化学和光学耦合需求下如何在多功能电致变色系统中重新权衡这些变量。通过将电解质分类与设备相关的设计标准联系起来，这篇综述为聚合物电解质设计提供了一个可移植的框架</w:t>
      </w:r>
    </w:p>
    <w:p>
      <w:pPr>
        <w:spacing w:before="0" w:after="200" w:lineRule="auto" w:line="276"/>
      </w:pPr>
      <w:r>
        <w:rPr>
          <w:b/>
        </w:rPr>
        <w:t xml:space="preserve">Abstract (EN): </w:t>
      </w:r>
      <w:r>
        <w:t>Polymer electrolytes are key enabling materials for advanced energy‐storage and electro‐optical devices because they couple ion transport with interfacial stabilization, mechanical compliance, and operational safety within a single platform. While their roles in batteries and supercapacitors are well established, recent advances have extended their importance to multifunctional electrochromic systems, including electrochromic supercapacitors, electrochromic batteries, and smart windows, where electrochemical operation is directly coupled with reversible optical modulation. These systems impose tighter design constraints, requiring simultaneous control of ionic conductivity, electrochemical stability, optical transparency, switching uniformity, processability, and environmental durability. This review establishes the general design logic of polymer electrolytes in conventional energy‐storage devices by defining their core functions, major classes, and governing design variables. Representative systems are organized into hydrogels, organogels/ionogels, and free‐standing solid or semi‐solid electrolytes, highlighting how polymer chemistry, salt–solvent interactions, network architecture, and processing strategy govern device‐level behavior. This review discusses how these variables are reweighted in multifunctional electrochromic systems under coupled electrochemical and optical demands. By linking electrolyte classification with device‐dependent design criteria, this review provides a transferable framework for polymer‐electrolyte design across both conventional energy‐storage technologies and next‐generation electro‐optical systems.</w:t>
      </w:r>
    </w:p>
    <w:p>
      <w:pPr>
        <w:spacing w:before="120" w:after="120"/>
      </w:pPr>
      <w:r>
        <w:rPr>
          <w:sz w:val="18"/>
        </w:rPr>
        <w:t>——————————————————————————————————————————————————————————————————————</w:t>
      </w:r>
    </w:p>
    <w:p>
      <w:pPr>
        <w:spacing w:before="160" w:after="40" w:line="240" w:lineRule="auto"/>
      </w:pPr>
      <w:r>
        <w:rPr>
          <w:b/>
        </w:rPr>
        <w:t xml:space="preserve">[20] </w:t>
      </w:r>
      <w:hyperlink r:id="rId206">
        <w:r>
          <w:rPr>
            <w:color w:val="1155CC"/>
            <w:u w:val="single"/>
          </w:rPr>
          <w:t>通过连续环境监测促进量子电池的功提取</w:t>
        </w:r>
      </w:hyperlink>
    </w:p>
    <w:p>
      <w:pPr>
        <w:spacing w:before="0" w:after="80"/>
      </w:pPr>
      <w:r>
        <w:rPr>
          <w:i/>
          <w:sz w:val="20"/>
        </w:rPr>
        <w:t>EN: Boosting Work Extraction in Quantum Batteries via Continuous Environment Monitoring</w:t>
      </w:r>
    </w:p>
    <w:p>
      <w:pPr>
        <w:spacing w:before="0" w:after="120"/>
      </w:pPr>
      <w:r>
        <w:rPr>
          <w:b/>
        </w:rPr>
        <w:t xml:space="preserve">Source: </w:t>
      </w:r>
      <w:r>
        <w:t>Recent Articles in Phys. Rev. Lett.</w:t>
      </w:r>
      <w:r>
        <w:t xml:space="preserve">    </w:t>
      </w:r>
      <w:r>
        <w:rPr>
          <w:b/>
        </w:rPr>
        <w:t xml:space="preserve">Pub date: </w:t>
      </w:r>
      <w:r>
        <w:t>2026-07-29 10:00:00+00:00</w:t>
      </w:r>
      <w:r>
        <w:t xml:space="preserve">    </w:t>
      </w:r>
      <w:r>
        <w:rPr>
          <w:b/>
        </w:rPr>
        <w:t xml:space="preserve">DOI: </w:t>
      </w:r>
      <w:hyperlink r:id="rId207">
        <w:r>
          <w:rPr>
            <w:color w:val="1155CC"/>
            <w:u w:val="single"/>
          </w:rPr>
          <w:t>10.1103/f591-hx6x</w:t>
        </w:r>
      </w:hyperlink>
    </w:p>
    <w:p>
      <w:pPr>
        <w:spacing w:before="0" w:after="120"/>
      </w:pPr>
      <w:r>
        <w:rPr>
          <w:b/>
        </w:rPr>
        <w:t xml:space="preserve">Notes: </w:t>
      </w:r>
      <w:r>
        <w:t>abstract_source=rss_description</w:t>
      </w:r>
    </w:p>
    <w:p>
      <w:pPr>
        <w:spacing w:before="0" w:after="80" w:lineRule="auto" w:line="276"/>
      </w:pPr>
      <w:r>
        <w:rPr>
          <w:b/>
        </w:rPr>
        <w:t xml:space="preserve">摘要（ZH）: </w:t>
      </w:r>
      <w:r>
        <w:t>作者：Gabriele Cenedese、Giuliano Benenti、Dario Ferraro 和 Marco G. Genoni 在充电过程中，量子电池与其充电器之间的相互作用通常会产生量子相关性，这可能会减少仅从电池中提取的工作量。我们证明，通过将系统与可连续监控的环境耦合，我们可以……[物理。莱特牧师。 137, 050406] 2026 年 7 月 29 日星期三发布</w:t>
      </w:r>
    </w:p>
    <w:p>
      <w:pPr>
        <w:spacing w:before="0" w:after="200" w:lineRule="auto" w:line="276"/>
      </w:pPr>
      <w:r>
        <w:rPr>
          <w:b/>
        </w:rPr>
        <w:t xml:space="preserve">Abstract (EN): </w:t>
      </w:r>
      <w:r>
        <w:t>Author(s): Gabriele Cenedese, Giuliano Benenti, Dario Ferraro, and Marco G. GenoniDuring the charging process, interactions between a quantum battery and its charger generally generate quantum correlations, which may reduce the amount of work extractable from the battery alone. We show that, by coupling the system with an environment that can be continuously monitored, one can we…[Phys. Rev. Lett. 137, 050406] Published Wed Jul 29, 2026</w:t>
      </w:r>
    </w:p>
    <w:p>
      <w:pPr>
        <w:spacing w:before="120" w:after="120"/>
      </w:pPr>
      <w:r>
        <w:rPr>
          <w:sz w:val="18"/>
        </w:rPr>
        <w:t>——————————————————————————————————————————————————————————————————————</w:t>
      </w:r>
    </w:p>
    <w:p>
      <w:pPr>
        <w:spacing w:before="160" w:after="40" w:line="240" w:lineRule="auto"/>
      </w:pPr>
      <w:r>
        <w:rPr>
          <w:b/>
        </w:rPr>
        <w:t xml:space="preserve">[21] </w:t>
      </w:r>
      <w:hyperlink r:id="rId208">
        <w:r>
          <w:rPr>
            <w:color w:val="1155CC"/>
            <w:u w:val="single"/>
          </w:rPr>
          <w:t>大面积钒氧化还原液流电池电流密度分布的操作研究</w:t>
        </w:r>
      </w:hyperlink>
    </w:p>
    <w:p>
      <w:pPr>
        <w:spacing w:before="0" w:after="80"/>
      </w:pPr>
      <w:r>
        <w:rPr>
          <w:i/>
          <w:sz w:val="20"/>
        </w:rPr>
        <w:t>EN: Operando investigation of current density distribution in a large-area vanadium redox flow battery</w:t>
      </w:r>
    </w:p>
    <w:p>
      <w:pPr>
        <w:spacing w:before="0" w:after="120"/>
      </w:pPr>
      <w:r>
        <w:rPr>
          <w:b/>
        </w:rPr>
        <w:t xml:space="preserve">Source: </w:t>
      </w:r>
      <w:r>
        <w:t>ScienceDirect Publication: Applied Energy</w:t>
      </w:r>
      <w:r>
        <w:t xml:space="preserve">    </w:t>
      </w:r>
      <w:r>
        <w:rPr>
          <w:b/>
        </w:rPr>
        <w:t xml:space="preserve">Pub date: </w:t>
      </w:r>
      <w:r>
        <w:t>2026-07-30 00:00:00+00:00</w:t>
      </w:r>
      <w:r>
        <w:t xml:space="preserve">    </w:t>
      </w:r>
      <w:r>
        <w:rPr>
          <w:b/>
        </w:rPr>
        <w:t xml:space="preserve">DOI: </w:t>
      </w:r>
      <w:hyperlink r:id="rId209">
        <w:r>
          <w:rPr>
            <w:color w:val="1155CC"/>
            <w:u w:val="single"/>
          </w:rPr>
          <w:t>10.1016/j.apenergy.2026.128557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210">
        <w:r>
          <w:rPr>
            <w:color w:val="1155CC"/>
            <w:u w:val="single"/>
          </w:rPr>
          <w:t>无粘合剂 NiP-纺织电极可在混合电池超级电容器中实现超高容量和 40,000 次循环稳定性</w:t>
        </w:r>
      </w:hyperlink>
    </w:p>
    <w:p>
      <w:pPr>
        <w:spacing w:before="0" w:after="80"/>
      </w:pPr>
      <w:r>
        <w:rPr>
          <w:i/>
          <w:sz w:val="20"/>
        </w:rPr>
        <w:t>EN: Binder Free NiP‐Textile Electrodes for Ultrahigh Capacity and 40,000 Cycle Stability in Battery Supercapacitor Hybrid</w:t>
      </w:r>
    </w:p>
    <w:p>
      <w:pPr>
        <w:spacing w:before="0" w:after="120"/>
      </w:pPr>
      <w:r>
        <w:rPr>
          <w:b/>
        </w:rPr>
        <w:t xml:space="preserve">Source: </w:t>
      </w:r>
      <w:r>
        <w:t>Wiley: Advanced Energy Materials: Table of Contents</w:t>
      </w:r>
      <w:r>
        <w:t xml:space="preserve">    </w:t>
      </w:r>
      <w:r>
        <w:rPr>
          <w:b/>
        </w:rPr>
        <w:t xml:space="preserve">Pub date: </w:t>
      </w:r>
      <w:r>
        <w:t>2026-07-30 05:59:12+00:00</w:t>
      </w:r>
      <w:r>
        <w:t xml:space="preserve">    </w:t>
      </w:r>
      <w:r>
        <w:rPr>
          <w:b/>
        </w:rPr>
        <w:t xml:space="preserve">DOI: </w:t>
      </w:r>
      <w:hyperlink r:id="rId211">
        <w:r>
          <w:rPr>
            <w:color w:val="1155CC"/>
            <w:u w:val="single"/>
          </w:rPr>
          <w:t>10.1002/aenm.71357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灵活、高容量的能量存储系统的进步对于下一代可穿戴电子产品至关重要。棉布具有固有的柔韧性、孔隙率和电解质吸收能力，提供了理想的平台，但其绝缘性质需要增强功能。在此，我们报告了一种双功能导电纺织电极（NiP@Ni/NiB-CC），通过化学镀合成，然后电沉积消除粘合剂，既充当活性材料又充当集电器。设计的柔性电极表现出优异的导电性（1.07×10</w:t>
      </w:r>
      <w:r>
        <w:rPr>
          <w:vertAlign w:val="subscript"/>
        </w:rPr>
        <w:t>4</w:t>
      </w:r>
      <w:r>
        <w:t>小号</w:t>
      </w:r>
      <w:r>
        <w:t xml:space="preserve"> </w:t>
      </w:r>
      <w:r>
        <w:t>-</w:t>
      </w:r>
      <w:r>
        <w:rPr>
          <w:vertAlign w:val="subscript"/>
        </w:rPr>
        <w:t>1</w:t>
      </w:r>
      <w:r>
        <w:t>）并展示了 2446 F g 的超高比电容</w:t>
      </w:r>
      <w:r>
        <w:t xml:space="preserve"> </w:t>
      </w:r>
      <w:r>
        <w:t>-</w:t>
      </w:r>
      <w:r>
        <w:rPr>
          <w:vertAlign w:val="subscript"/>
        </w:rPr>
        <w:t>1</w:t>
      </w:r>
      <w:r>
        <w:t>在 10.1 mg cm 的实际质量负载下，经过 10,000 次循环，电容保持率为 130%</w:t>
      </w:r>
      <w:r>
        <w:t xml:space="preserve"> </w:t>
      </w:r>
      <w:r>
        <w:t>-</w:t>
      </w:r>
      <w:r>
        <w:rPr>
          <w:vertAlign w:val="subscript"/>
        </w:rPr>
        <w:t>2</w:t>
      </w:r>
      <w:r>
        <w:t>并提供 45.5 F cm 的面积电容</w:t>
      </w:r>
      <w:r>
        <w:t xml:space="preserve"> </w:t>
      </w:r>
      <w:r>
        <w:t>-</w:t>
      </w:r>
      <w:r>
        <w:rPr>
          <w:vertAlign w:val="subscript"/>
        </w:rPr>
        <w:t>2</w:t>
      </w:r>
      <w:r>
        <w:t>27.3 毫克厘米</w:t>
      </w:r>
      <w:r>
        <w:t xml:space="preserve"> </w:t>
      </w:r>
      <w:r>
        <w:t>-</w:t>
      </w:r>
      <w:r>
        <w:rPr>
          <w:vertAlign w:val="subscript"/>
        </w:rPr>
        <w:t>2</w:t>
      </w:r>
      <w:r>
        <w:t>。作为芒果籽活性炭 (MSAC) 的集流体，它可在 40,000 次循环中实现卓越的稳定性，在 100 mA cm 电流下保持 94%</w:t>
      </w:r>
      <w:r>
        <w:t xml:space="preserve"> </w:t>
      </w:r>
      <w:r>
        <w:t>-</w:t>
      </w:r>
      <w:r>
        <w:rPr>
          <w:vertAlign w:val="subscript"/>
        </w:rPr>
        <w:t>2</w:t>
      </w:r>
      <w:r>
        <w:t>经过 1000 次弯曲循环重复机械变形后仍保留 77% 的电容。组装的棉布电池-超级电容器混合动力系统（CC-BS</w:t>
      </w:r>
    </w:p>
    <w:p>
      <w:pPr>
        <w:spacing w:before="0" w:after="200" w:lineRule="auto" w:line="276"/>
      </w:pPr>
      <w:r>
        <w:rPr>
          <w:b/>
        </w:rPr>
        <w:t xml:space="preserve">Abstract (EN): </w:t>
      </w:r>
      <w:r>
        <w:t>Advancement of flexible, high‐capacity energy storage systems is vital for next‐generation wearable electronics. Cotton cloth with its intrinsic flexibility, porosity, &amp;amp; electrolyte absorption ability, offers an ideal platform, but its insulating nature necessitates functional enhancement. Herein, we report a dual‐function, conductive textile electrode (NiP@Ni/NiB‐CC) synthesized via electroless followed by electrodeposition eliminating binder serves as both active material &amp;amp; current collector. The designed flexible electrode exhibits an excellent conductivity (1.07 ×10</w:t>
      </w:r>
      <w:r>
        <w:rPr>
          <w:vertAlign w:val="subscript"/>
        </w:rPr>
        <w:t>4</w:t>
      </w:r>
      <w:r>
        <w:t>S m</w:t>
      </w:r>
      <w:r>
        <w:t xml:space="preserve"> </w:t>
      </w:r>
      <w:r>
        <w:t>−</w:t>
      </w:r>
      <w:r>
        <w:rPr>
          <w:vertAlign w:val="subscript"/>
        </w:rPr>
        <w:t>1</w:t>
      </w:r>
      <w:r>
        <w:t>) &amp;amp; demonstrated an ultrahigh specific capacitance of 2446 F g</w:t>
      </w:r>
      <w:r>
        <w:t xml:space="preserve"> </w:t>
      </w:r>
      <w:r>
        <w:t>−</w:t>
      </w:r>
      <w:r>
        <w:rPr>
          <w:vertAlign w:val="subscript"/>
        </w:rPr>
        <w:t>1</w:t>
      </w:r>
      <w:r>
        <w:t>with 130% capacitance retention over 10,000 cycles at a practical mass loading of 10.1 mg cm</w:t>
      </w:r>
      <w:r>
        <w:t xml:space="preserve"> </w:t>
      </w:r>
      <w:r>
        <w:t>−</w:t>
      </w:r>
      <w:r>
        <w:rPr>
          <w:vertAlign w:val="subscript"/>
        </w:rPr>
        <w:t>2</w:t>
      </w:r>
      <w:r>
        <w:t>&amp;amp; delivers an areal capacitance of 45.5 F cm</w:t>
      </w:r>
      <w:r>
        <w:t xml:space="preserve"> </w:t>
      </w:r>
      <w:r>
        <w:t>−</w:t>
      </w:r>
      <w:r>
        <w:rPr>
          <w:vertAlign w:val="subscript"/>
        </w:rPr>
        <w:t>2</w:t>
      </w:r>
      <w:r>
        <w:t>at 27.3 mg cm</w:t>
      </w:r>
      <w:r>
        <w:t xml:space="preserve"> </w:t>
      </w:r>
      <w:r>
        <w:t>−</w:t>
      </w:r>
      <w:r>
        <w:rPr>
          <w:vertAlign w:val="subscript"/>
        </w:rPr>
        <w:t>2</w:t>
      </w:r>
      <w:r>
        <w:t>. As a current collector for mango‐seed‐derived activated carbon (MSAC), it enables remarkable stability over 40,000 cycles with 94% retention at 100 mA cm</w:t>
      </w:r>
      <w:r>
        <w:t xml:space="preserve"> </w:t>
      </w:r>
      <w:r>
        <w:t>−</w:t>
      </w:r>
      <w:r>
        <w:rPr>
          <w:vertAlign w:val="subscript"/>
        </w:rPr>
        <w:t>2</w:t>
      </w:r>
      <w:r>
        <w:t>and retained 77% capacitance after repetitive mechanical deformations by 1000 bending cycles. The assembled cotton‐cloth battery‐supercapacitor hybrid (CC‐BSH) exhibits an energy density of 441 µWh cm</w:t>
      </w:r>
      <w:r>
        <w:t xml:space="preserve"> </w:t>
      </w:r>
      <w:r>
        <w:t>−</w:t>
      </w:r>
      <w:r>
        <w:rPr>
          <w:vertAlign w:val="subscript"/>
        </w:rPr>
        <w:t>2</w:t>
      </w:r>
      <w:r>
        <w:t>&amp;amp; power density of 37.5 mW cm</w:t>
      </w:r>
      <w:r>
        <w:t xml:space="preserve"> </w:t>
      </w:r>
      <w:r>
        <w:t>−2</w:t>
      </w:r>
      <w:r>
        <w:t xml:space="preserve"> </w:t>
      </w:r>
      <w:r>
        <w:t>. Further two flexible CC‐BSH devices successfully powered an LED panel (36 red LEDs) for over 2 h, 50 green LEDs &amp;amp; 50 yellow LEDs showcasing a sustainable, scalable approach for high‐performance flexible energy storage.</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212">
        <w:r>
          <w:rPr>
            <w:color w:val="1155CC"/>
            <w:u w:val="single"/>
          </w:rPr>
          <w:t>源负荷不确定性下基于燃料电池热电联产的综合能源系统的法学硕士驱动的自适应调度框架</w:t>
        </w:r>
      </w:hyperlink>
    </w:p>
    <w:p>
      <w:pPr>
        <w:spacing w:before="0" w:after="80"/>
      </w:pPr>
      <w:r>
        <w:rPr>
          <w:i/>
          <w:sz w:val="20"/>
        </w:rPr>
        <w:t>EN: An LLM-driven adaptive scheduling framework for fuel cell cogeneration-based integrated energy systems under source-load uncertainty</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213">
        <w:r>
          <w:rPr>
            <w:color w:val="1155CC"/>
            <w:u w:val="single"/>
          </w:rPr>
          <w:t>10.1016/j.apenergy.2026.128419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14">
        <w:r>
          <w:rPr>
            <w:color w:val="1155CC"/>
            <w:u w:val="single"/>
          </w:rPr>
          <w:t>用于热能存储中解耦界面行为的官能团图谱</w:t>
        </w:r>
      </w:hyperlink>
    </w:p>
    <w:p>
      <w:pPr>
        <w:spacing w:before="0" w:after="80"/>
      </w:pPr>
      <w:r>
        <w:rPr>
          <w:i/>
          <w:sz w:val="20"/>
        </w:rPr>
        <w:t>EN: A Functional‐Group Atlas for Decoupling Interfacial Behaviors in Thermal Energy Storage</w:t>
      </w:r>
    </w:p>
    <w:p>
      <w:pPr>
        <w:spacing w:before="0" w:after="120"/>
      </w:pPr>
      <w:r>
        <w:rPr>
          <w:b/>
        </w:rPr>
        <w:t xml:space="preserve">Source: </w:t>
      </w:r>
      <w:r>
        <w:t>Wiley: Advanced Materials: Table of Contents</w:t>
      </w:r>
      <w:r>
        <w:t xml:space="preserve">    </w:t>
      </w:r>
      <w:r>
        <w:rPr>
          <w:b/>
        </w:rPr>
        <w:t xml:space="preserve">Pub date: </w:t>
      </w:r>
      <w:r>
        <w:t>2026-07-24 12:04:55+00:00</w:t>
      </w:r>
      <w:r>
        <w:t xml:space="preserve">    </w:t>
      </w:r>
      <w:r>
        <w:rPr>
          <w:b/>
        </w:rPr>
        <w:t xml:space="preserve">DOI: </w:t>
      </w:r>
      <w:hyperlink r:id="rId215">
        <w:r>
          <w:rPr>
            <w:color w:val="1155CC"/>
            <w:u w:val="single"/>
          </w:rPr>
          <w:t>10.1002/adma.74295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复合相变材料为热能存储提供了一种可扩展的途径，但打破能量和功率密度之间固有的权衡受到骨架-存储-介质界面基本不匹配的限制。传统的界面工程仍然陷入经验试错的困境，难以区分界面润湿性和热传输行为的典型纠缠变量。在这里，我们提出了一种基于功能组解构的机器学习辅助设计范例。通过将表面官能团解析为独立的元素和结构维度，我们实现了对骨架-熔盐界面行为的可编程控制。我们揭示了一种内在的属性解耦：界面润湿性由元素组成产生的键合相互作用控制，而热传输则由植根于几何拓扑的低频声子谱匹配决定。在这个预测图集的指导下，我们合成了目标碳-熔盐复合材料。与未修改的基线相比，工程复合材料的质量负载提高了 1.6 倍，导热系数提高了 3.6 倍。至关重要的是，经过 350 次热循环后，它保留了约 90% 的质量和约 80% 的电导率，决定性地抑制了原始主体的降解（约 60% 和约 25% 的保留）。器件级有限差分法模拟表明，这种双属性优化有效地克服了固有的能量-功率权衡，在极端条件下维持了未修改基线的能量密度三倍。</w:t>
      </w:r>
    </w:p>
    <w:p>
      <w:pPr>
        <w:spacing w:before="0" w:after="200" w:lineRule="auto" w:line="276"/>
      </w:pPr>
      <w:r>
        <w:rPr>
          <w:b/>
        </w:rPr>
        <w:t xml:space="preserve">Abstract (EN): </w:t>
      </w:r>
      <w:r>
        <w:t>Composite phase‐change materials offer a scalable route for thermal energy storage, yet breaking the inherent trade‐off between energy and power densities is constrained by fundamental mismatches at the skeleton–storage–medium interface. Conventional interface engineering remains trapped in empirical trial‐and‐error, struggling to distinguish the typically entangled variables of interfacial wettability and heat‐transport behavior. Here, we present a machine learning‐assisted design paradigm based on functional group deconstruction. By resolving surface functional groups into independent elemental and structural dimensions, we achieve programmable control over skeleton–molten salt interfacial behaviors. We reveal an intrinsic property decoupling: interfacial wettability is governed by bonding interactions derived from elemental composition, whereas heat transport is dictated by low‐frequency phonon spectral matching rooted in geometric topology. Guided by this predictive atlas, we synthesized targeted carbon–molten salt composites. Compared to unmodified baselines, the engineered composite achieves 1.6‐fold higher mass loading and 3.6‐fold enhanced thermal conductivity. Crucially, after 350 thermal cycles, it retains ∼90% mass and ∼80% conductivity, decisively suppressing the degradation of pristine hosts (∼60% and ∼25% retention). Device‐level finite‐difference method simulations indicate this dual‐property optimization effectively overcomes the inherent energy–power trade‐off—sustaining triple the energy density of unmodified baselines under extreme 10C constant‐power loads.</w:t>
      </w:r>
    </w:p>
    <w:p>
      <w:pPr>
        <w:spacing w:before="120" w:after="120"/>
      </w:pPr>
      <w:r>
        <w:rPr>
          <w:sz w:val="18"/>
        </w:rPr>
        <w:t>——————————————————————————————————————————————————————————————————————</w:t>
      </w:r>
    </w:p>
    <w:p>
      <w:pPr>
        <w:spacing w:before="160" w:after="40" w:line="240" w:lineRule="auto"/>
      </w:pPr>
      <w:r>
        <w:rPr>
          <w:b/>
        </w:rPr>
        <w:t xml:space="preserve">[3] </w:t>
      </w:r>
      <w:hyperlink r:id="rId216">
        <w:r>
          <w:rPr>
            <w:color w:val="1155CC"/>
            <w:u w:val="single"/>
          </w:rPr>
          <w:t>通过调整晶界化学来延缓湿气引起的碲化钇化学降解</w:t>
        </w:r>
      </w:hyperlink>
    </w:p>
    <w:p>
      <w:pPr>
        <w:spacing w:before="0" w:after="80"/>
      </w:pPr>
      <w:r>
        <w:rPr>
          <w:i/>
          <w:sz w:val="20"/>
        </w:rPr>
        <w:t>EN: Retarding moisture-induced chemical degradation of Yttrium Tellurides by tailoring grain boundary chemistry</w:t>
      </w:r>
    </w:p>
    <w:p>
      <w:pPr>
        <w:spacing w:before="0" w:after="120"/>
      </w:pPr>
      <w:r>
        <w:rPr>
          <w:b/>
        </w:rPr>
        <w:t xml:space="preserve">Source: </w:t>
      </w:r>
      <w:r>
        <w:t>Physical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晶界工程已广泛应用于提高热电性能，但其增强化学稳定性的潜力仍未得到充分开发。在这里，我们证明改变晶界化学可以有效抑制 Y2Te3 在环境条件下的化学降解。扫描透射电子显微镜和原子探针断层扫描表明，H2O 优先沿晶界渗透，引发 Y2Te3 氧化成 Y-O-H 相，并引起基质的化学机械分解。值得注意的是，由于 Bi 沿着晶界偏析，仅 1 at.% 的 Bi 掺入就可以延迟该过程。密度泛函理论计算揭示了 Bi 偏析的热力学和动力学起源，并显示偏析的 Bi 如何改变晶界的局部电子和化学环境，从而将 GB 化学与化学稳定性和热电性能联系起来。这些发现将多功能晶界工程确立为下一代热电材料设计的通用策略。</w:t>
      </w:r>
    </w:p>
    <w:p>
      <w:pPr>
        <w:spacing w:before="0" w:after="200" w:lineRule="auto" w:line="276"/>
      </w:pPr>
      <w:r>
        <w:rPr>
          <w:b/>
        </w:rPr>
        <w:t xml:space="preserve">Abstract (EN): </w:t>
      </w:r>
      <w:r>
        <w:t>Grain boundary engineering has been extensively applied to improve thermoelectric performance, but its potential to enhance chemical stability remains underexplored. Here, we demonstrate that modifying grain boundary chemistry can effectively suppress the chemical degradation of Y2Te3 under ambient conditions. Scanning transmission electron microscopy and atom probe tomography reveal that H2O preferentially infiltrates along grain boundaries, initiating oxidation of Y2Te3 into Y–O–H phases and causing chemo-mechanical breakdown of the matrix. This process, remarkably, can be retarded by just 1 at.% of Bi incorporation due to its segregation along grain boundaries. Density functional theory calculations reveal the thermodynamic and kinetic origins of Bi segregation, and show how segregated Bi modifies the local electronic and chemical environment of grain boundaries, thereby linking GB chemistry to both chemical stability and thermoelectric performance. These findings establish multifunctional grain boundary engineering as a generalizable strategy for the design of next-generation thermoelectric materials.</w:t>
      </w:r>
    </w:p>
    <w:p>
      <w:pPr>
        <w:spacing w:before="120" w:after="120"/>
      </w:pPr>
      <w:r>
        <w:rPr>
          <w:sz w:val="18"/>
        </w:rPr>
        <w:t>——————————————————————————————————————————————————————————————————————</w:t>
      </w:r>
    </w:p>
    <w:p>
      <w:pPr>
        <w:spacing w:before="160" w:after="40" w:line="240" w:lineRule="auto"/>
      </w:pPr>
      <w:r>
        <w:rPr>
          <w:b/>
        </w:rPr>
        <w:t xml:space="preserve">[4] </w:t>
      </w:r>
      <w:hyperlink r:id="rId217">
        <w:r>
          <w:rPr>
            <w:color w:val="1155CC"/>
            <w:u w:val="single"/>
          </w:rPr>
          <w:t>一种并行分布式方法，用于基于人工智能的建筑冷却系统在线优化，提高效率、可靠性和可扩展性</w:t>
        </w:r>
      </w:hyperlink>
    </w:p>
    <w:p>
      <w:pPr>
        <w:spacing w:before="0" w:after="80"/>
      </w:pPr>
      <w:r>
        <w:rPr>
          <w:i/>
          <w:sz w:val="20"/>
        </w:rPr>
        <w:t>EN: A parallel distributed approach for AI-enabled online optimization of building cooling systems with enhanced efficiency, reliability and scalability</w:t>
      </w:r>
    </w:p>
    <w:p>
      <w:pPr>
        <w:spacing w:before="0" w:after="120"/>
      </w:pPr>
      <w:r>
        <w:rPr>
          <w:b/>
        </w:rPr>
        <w:t xml:space="preserve">Source: </w:t>
      </w:r>
      <w:r>
        <w:t>ScienceDirect Publication: Applied Energy</w:t>
      </w:r>
      <w:r>
        <w:t xml:space="preserve">    </w:t>
      </w:r>
      <w:r>
        <w:rPr>
          <w:b/>
        </w:rPr>
        <w:t xml:space="preserve">Pub date: </w:t>
      </w:r>
      <w:r>
        <w:t>2026-07-26 00:00:00+00:00</w:t>
      </w:r>
      <w:r>
        <w:t xml:space="preserve">    </w:t>
      </w:r>
      <w:r>
        <w:rPr>
          <w:b/>
        </w:rPr>
        <w:t xml:space="preserve">DOI: </w:t>
      </w:r>
      <w:hyperlink r:id="rId218">
        <w:r>
          <w:rPr>
            <w:color w:val="1155CC"/>
            <w:u w:val="single"/>
          </w:rPr>
          <w:t>10.1016/j.apenergy.2026.128489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219">
        <w:r>
          <w:rPr>
            <w:color w:val="1155CC"/>
            <w:u w:val="single"/>
          </w:rPr>
          <w:t>优化集成热泵的国家能源系统：不断增长的制冷需求和供热需求侧管理策略的影响</w:t>
        </w:r>
      </w:hyperlink>
    </w:p>
    <w:p>
      <w:pPr>
        <w:spacing w:before="0" w:after="80"/>
      </w:pPr>
      <w:r>
        <w:rPr>
          <w:i/>
          <w:sz w:val="20"/>
        </w:rPr>
        <w:t>EN: Optimising national energy systems integrating heat pumps: Effects of rising cooling demand and heating demand-side management strategies</w:t>
      </w:r>
    </w:p>
    <w:p>
      <w:pPr>
        <w:spacing w:before="0" w:after="120"/>
      </w:pPr>
      <w:r>
        <w:rPr>
          <w:b/>
        </w:rPr>
        <w:t xml:space="preserve">Source: </w:t>
      </w:r>
      <w:r>
        <w:t>ScienceDirect Publication: Applied Energy</w:t>
      </w:r>
      <w:r>
        <w:t xml:space="preserve">    </w:t>
      </w:r>
      <w:r>
        <w:rPr>
          <w:b/>
        </w:rPr>
        <w:t xml:space="preserve">Pub date: </w:t>
      </w:r>
      <w:r>
        <w:t>2026-07-26 00:00:00+00:00</w:t>
      </w:r>
      <w:r>
        <w:t xml:space="preserve">    </w:t>
      </w:r>
      <w:r>
        <w:rPr>
          <w:b/>
        </w:rPr>
        <w:t xml:space="preserve">DOI: </w:t>
      </w:r>
      <w:hyperlink r:id="rId220">
        <w:r>
          <w:rPr>
            <w:color w:val="1155CC"/>
            <w:u w:val="single"/>
          </w:rPr>
          <w:t>10.1016/j.apenergy.2026.128508</w:t>
        </w:r>
      </w:hyperlink>
    </w:p>
    <w:p>
      <w:pPr>
        <w:spacing w:before="0" w:after="120"/>
      </w:pPr>
      <w:r>
        <w:rPr>
          <w:b/>
        </w:rPr>
        <w:t xml:space="preserve">Notes: </w:t>
      </w:r>
      <w:r>
        <w:t>abstract_source=openalex</w:t>
      </w:r>
    </w:p>
    <w:p>
      <w:pPr>
        <w:spacing w:before="0" w:after="80" w:lineRule="auto" w:line="276"/>
      </w:pPr>
      <w:r>
        <w:rPr>
          <w:b/>
        </w:rPr>
        <w:t xml:space="preserve">摘要（ZH）: </w:t>
      </w:r>
      <w:r>
        <w:t>供暖和制冷的相互作用影响着能源系统的规划和运行，特别是在制冷需求不断增长的供暖为主的国家。供热需求侧管理 (DSM) 措施，例如建筑围护结构改造或温度设定值降低，可以提供灵活性并促进 HP 集成，以避免热泵运行对电网造成压力。本研究通过软耦合两个能源系统模型：基于物理的建筑模型 (SwissRes+) 和能源优化模型 (GRIMSEL)，分析了瑞士未来住宅制冷和供暖电气化在各种 DSM 策略下的影响。我们的结果表明，供暖电气化对容量规划和系统运行具有重大影响。应用任何供热 DSM 策略都会导致容量需求降低，其中改造的影响最大。然而，由于额外的改造投资，深度改造方案导致总体能源系统总成本较高（+13.5%）。将温度设定值降低 1 °C，可减少电池存储投资高达 20% 或 5 GW，并有可能降低高达 3.6% 的平准化电力成本，从而为长期规划带来显着效益。相反，住宅制冷量的增加对最佳容量规划（光伏和电池存储）的影响有限，但会影响系统运行（例如，减少限电和出口，同时增加自用和进口），并略微降低平准化电力成本，特别是在光伏采用率较高的情况下。这些发现</w:t>
      </w:r>
    </w:p>
    <w:p>
      <w:pPr>
        <w:spacing w:before="0" w:after="200" w:lineRule="auto" w:line="276"/>
      </w:pPr>
      <w:r>
        <w:rPr>
          <w:b/>
        </w:rPr>
        <w:t xml:space="preserve">Abstract (EN): </w:t>
      </w:r>
      <w:r>
        <w:t>Heating and cooling interplay affects the energy system planning and operation, especially in heating-dominated countries with rising cooling demand. Heating demand-side management (DSM) measures, such as building envelope retrofit or temperature setpoint reduction can provide flexibility and facilitate HP integration, in order to avoid stress on electricity grids due to heat pumps operation. This study analyses the effect of future residential cooling and heating electrification in Switzerland under various DSM strategies by soft-coupling two energy system models: a physics-based building stock model (SwissRes+) and an energy optimisation model (GRIMSEL). Our results show that heating electrification has a substantial impact on capacity planning and system operation. Applying any heating DSM strategies leads to lower capacity needs, with retrofit showing the largest impact. However, deep retrofit scenarios result in overall higher total energy system costs (+13.5%) due to additional renovation investments. Reducing temperature setpoint by 1 °C decreases battery storage investments by up to 20% or 5 GW and could potentially reduce levelized electricity costs by up to 3.6%, therefore providing significant benefits for long-term planning. Conversely, rising residential cooling has a limited impact on optimal capacity planning (PV and battery storage), but affects system operation (e.g., reducing curtailments and exports while increasing self-consumption and imports), and slightly lowers levelized electricity cost, especially under higher PV adoption scenarios. These findings provide relevant insights for policymakers and energy planners to incorporate heating DSM strategies while adapting to increasing cooling demand driven by climate change.</w:t>
      </w:r>
    </w:p>
    <w:p>
      <w:pPr>
        <w:spacing w:before="120" w:after="120"/>
      </w:pPr>
      <w:r>
        <w:rPr>
          <w:sz w:val="18"/>
        </w:rPr>
        <w:t>——————————————————————————————————————————————————————————————————————</w:t>
      </w:r>
    </w:p>
    <w:p>
      <w:pPr>
        <w:spacing w:before="160" w:after="40" w:line="240" w:lineRule="auto"/>
      </w:pPr>
      <w:r>
        <w:rPr>
          <w:b/>
        </w:rPr>
        <w:t xml:space="preserve">[6] </w:t>
      </w:r>
      <w:hyperlink r:id="rId221">
        <w:r>
          <w:rPr>
            <w:color w:val="1155CC"/>
            <w:u w:val="single"/>
          </w:rPr>
          <w:t>钙钛矿转变实现双相高熵异质结</w:t>
        </w:r>
      </w:hyperlink>
    </w:p>
    <w:p>
      <w:pPr>
        <w:spacing w:before="0" w:after="80"/>
      </w:pPr>
      <w:r>
        <w:rPr>
          <w:i/>
          <w:sz w:val="20"/>
        </w:rPr>
        <w:t>EN: Biphasic High‐Entropy Heterojunctions Enabled by Perovskite Transformation</w:t>
      </w:r>
    </w:p>
    <w:p>
      <w:pPr>
        <w:spacing w:before="0" w:after="120"/>
      </w:pPr>
      <w:r>
        <w:rPr>
          <w:b/>
        </w:rPr>
        <w:t xml:space="preserve">Source: </w:t>
      </w:r>
      <w:r>
        <w:t>Wiley: Advanced Materials: Table of Contents</w:t>
      </w:r>
      <w:r>
        <w:t xml:space="preserve">    </w:t>
      </w:r>
      <w:r>
        <w:rPr>
          <w:b/>
        </w:rPr>
        <w:t xml:space="preserve">Pub date: </w:t>
      </w:r>
      <w:r>
        <w:t>2026-07-27 08:01:03+00:00</w:t>
      </w:r>
      <w:r>
        <w:t xml:space="preserve">    </w:t>
      </w:r>
      <w:r>
        <w:rPr>
          <w:b/>
        </w:rPr>
        <w:t xml:space="preserve">DOI: </w:t>
      </w:r>
      <w:hyperlink r:id="rId222">
        <w:r>
          <w:rPr>
            <w:color w:val="1155CC"/>
            <w:u w:val="single"/>
          </w:rPr>
          <w:t>10.1002/adma.74271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熵材料（HEM）为定制功能特性提供了理想的平台。然而，具有协同多功能性的双相高熵异质结构的受控合成仍然是一个重大挑战。我们提出了一种由动态转变驱动的原位化学还原策略，能够将钙钛矿前体转化为一系列锚定的高熵异质结。在还原条件下，熵稳定的钙钛矿晶格同时充当结构支架和成分储存器。选择性地，B位过渡金属阳离子溶出形成均匀分散的高熵合金（HEA）纳米颗粒，而A位稀土阳离子保留在母体框架内并转化为高熵氧化物（HEO）载体。这种独特的双相高熵异质界面有效地调制了界面电子结构和磁构型，不仅通过丰富的异质界面和晶体缺陷增强了极化损耗，而且放大了磁损耗。由此产生的 HEA-HEO 表现出令人印象深刻的电磁响应，其最佳有效吸收带宽比低熵材料（La</w:t>
      </w:r>
      <w:r>
        <w:rPr>
          <w:vertAlign w:val="subscript"/>
        </w:rPr>
        <w:t>2</w:t>
      </w:r>
      <w:r>
        <w:t>氧</w:t>
      </w:r>
      <w:r>
        <w:rPr>
          <w:vertAlign w:val="subscript"/>
        </w:rPr>
        <w:t>3</w:t>
      </w:r>
      <w:r>
        <w:t>‐Co）和单相高熵材料（La</w:t>
      </w:r>
      <w:r>
        <w:rPr>
          <w:vertAlign w:val="subscript"/>
        </w:rPr>
        <w:t>2</w:t>
      </w:r>
      <w:r>
        <w:t>氧</w:t>
      </w:r>
      <w:r>
        <w:rPr>
          <w:vertAlign w:val="subscript"/>
        </w:rPr>
        <w:t>3</w:t>
      </w:r>
      <w:r>
        <w:t>‐HEA），分别。在柔性复合薄膜中，</w:t>
      </w:r>
    </w:p>
    <w:p>
      <w:pPr>
        <w:spacing w:before="0" w:after="200" w:lineRule="auto" w:line="276"/>
      </w:pPr>
      <w:r>
        <w:rPr>
          <w:b/>
        </w:rPr>
        <w:t xml:space="preserve">Abstract (EN): </w:t>
      </w:r>
      <w:r>
        <w:t>High‐entropy materials (HEMs) provide an ideal platform for tailoring functional properties. However, the controlled synthesis of biphasic high‐entropy heterostructures with synergistic multifunctionality remains a significant challenge. We propose an in‐situ chemical reduction strategy driven by dynamic transformations, enabling the conversion of perovskite precursors into a series of anchored high‐entropy heterojunctions. Under reducing conditions, the entropy‐stabilized perovskite lattice acts simultaneously as both a structural scaffold and a compositional reservoir. Selectively, B‐site transition metal cations exsolve to form uniformly dispersed high‐entropy alloy (HEA) nanoparticles, whereas A‐site rare‐earth cations remain within the parent framework and transform into a high‐entropy oxide (HEO) support. This unique biphasic high‐entropy heterointerface effectively modulates the interfacial electronic structure and magnetic configuration, which not only enhances polarization loss via abundant heterogeneous interfaces and crystal defects, but also amplifies magnetic loss. The resultant HEA–HEO exhibits an impressive electromagnetic response, with its optimal effective absorption bandwidth showing a 176% and 242% enhancement over low‐entropy materials (La</w:t>
      </w:r>
      <w:r>
        <w:rPr>
          <w:vertAlign w:val="subscript"/>
        </w:rPr>
        <w:t>2</w:t>
      </w:r>
      <w:r>
        <w:t>O</w:t>
      </w:r>
      <w:r>
        <w:rPr>
          <w:vertAlign w:val="subscript"/>
        </w:rPr>
        <w:t>3</w:t>
      </w:r>
      <w:r>
        <w:t>‐Co) and single‐phase high‐entropy materials (La</w:t>
      </w:r>
      <w:r>
        <w:rPr>
          <w:vertAlign w:val="subscript"/>
        </w:rPr>
        <w:t>2</w:t>
      </w:r>
      <w:r>
        <w:t>O</w:t>
      </w:r>
      <w:r>
        <w:rPr>
          <w:vertAlign w:val="subscript"/>
        </w:rPr>
        <w:t>3</w:t>
      </w:r>
      <w:r>
        <w:t>‐HEA), respectively. In flexible composite films, the heterojunction promotes efficient conversion of electromagnetic energy into heat while enhancing thermal conductivity, thereby broadening pathways towards multifunctional high‐entropy heterojunction materials.</w:t>
      </w:r>
    </w:p>
    <w:p>
      <w:pPr>
        <w:spacing w:before="120" w:after="120"/>
      </w:pPr>
      <w:r>
        <w:rPr>
          <w:sz w:val="18"/>
        </w:rPr>
        <w:t>——————————————————————————————————————————————————————————————————————</w:t>
      </w:r>
    </w:p>
    <w:p>
      <w:pPr>
        <w:spacing w:before="160" w:after="40" w:line="240" w:lineRule="auto"/>
      </w:pPr>
      <w:r>
        <w:rPr>
          <w:b/>
        </w:rPr>
        <w:t xml:space="preserve">[7] </w:t>
      </w:r>
      <w:hyperlink r:id="rId223">
        <w:r>
          <w:rPr>
            <w:color w:val="1155CC"/>
            <w:u w:val="single"/>
          </w:rPr>
          <w:t>集成新型聚光太阳能发电厂的混合能源系统优化：二级时间尺度的双层方法</w:t>
        </w:r>
      </w:hyperlink>
    </w:p>
    <w:p>
      <w:pPr>
        <w:spacing w:before="0" w:after="80"/>
      </w:pPr>
      <w:r>
        <w:rPr>
          <w:i/>
          <w:sz w:val="20"/>
        </w:rPr>
        <w:t>EN: Optimization of hybrid energy system integrating novel concentrated solar power plant: a bi-level approach at second-level time scale</w:t>
      </w:r>
    </w:p>
    <w:p>
      <w:pPr>
        <w:spacing w:before="0" w:after="120"/>
      </w:pPr>
      <w:r>
        <w:rPr>
          <w:b/>
        </w:rPr>
        <w:t xml:space="preserve">Source: </w:t>
      </w:r>
      <w:r>
        <w:t>ScienceDirect Publication: Applied Energy</w:t>
      </w:r>
      <w:r>
        <w:t xml:space="preserve">    </w:t>
      </w:r>
      <w:r>
        <w:rPr>
          <w:b/>
        </w:rPr>
        <w:t xml:space="preserve">Pub date: </w:t>
      </w:r>
      <w:r>
        <w:t>2026-07-28 00:00:00+00:00</w:t>
      </w:r>
      <w:r>
        <w:t xml:space="preserve">    </w:t>
      </w:r>
      <w:r>
        <w:rPr>
          <w:b/>
        </w:rPr>
        <w:t xml:space="preserve">DOI: </w:t>
      </w:r>
      <w:hyperlink r:id="rId224">
        <w:r>
          <w:rPr>
            <w:color w:val="1155CC"/>
            <w:u w:val="single"/>
          </w:rPr>
          <w:t>10.1016/j.apenergy.2026.128488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225">
        <w:r>
          <w:rPr>
            <w:color w:val="1155CC"/>
            <w:u w:val="single"/>
          </w:rPr>
          <w:t>路易斯配对掺杂剂的溶剂介导反应性控制作为有机半导体可调谐和稳定掺杂的多功能策略（Adv. Mater. 42/2026）</w:t>
        </w:r>
      </w:hyperlink>
    </w:p>
    <w:p>
      <w:pPr>
        <w:spacing w:before="0" w:after="80"/>
      </w:pPr>
      <w:r>
        <w:rPr>
          <w:i/>
          <w:sz w:val="20"/>
        </w:rPr>
        <w:t>EN: Solvent‐Mediated Reactivity Control of Lewis‐Paired Dopants as a Versatile Strategy for Tunable and Stable Doping of Organic Semiconductors (Adv. Mater. 42/2026)</w:t>
      </w:r>
    </w:p>
    <w:p>
      <w:pPr>
        <w:spacing w:before="0" w:after="120"/>
      </w:pPr>
      <w:r>
        <w:rPr>
          <w:b/>
        </w:rPr>
        <w:t xml:space="preserve">Source: </w:t>
      </w:r>
      <w:r>
        <w:t>Wiley: Advanced Materials: Table of Contents</w:t>
      </w:r>
      <w:r>
        <w:t xml:space="preserve">    </w:t>
      </w:r>
      <w:r>
        <w:rPr>
          <w:b/>
        </w:rPr>
        <w:t xml:space="preserve">Pub date: </w:t>
      </w:r>
      <w:r>
        <w:t>2026-07-28 11:16:59+00:00</w:t>
      </w:r>
      <w:r>
        <w:t xml:space="preserve">    </w:t>
      </w:r>
      <w:r>
        <w:rPr>
          <w:b/>
        </w:rPr>
        <w:t xml:space="preserve">DOI: </w:t>
      </w:r>
      <w:hyperlink r:id="rId226">
        <w:r>
          <w:rPr>
            <w:color w:val="1155CC"/>
            <w:u w:val="single"/>
          </w:rPr>
          <w:t>10.1002/adma.74234</w:t>
        </w:r>
      </w:hyperlink>
    </w:p>
    <w:p>
      <w:pPr>
        <w:spacing w:before="0" w:after="120"/>
      </w:pPr>
      <w:r>
        <w:rPr>
          <w:b/>
        </w:rPr>
        <w:t xml:space="preserve">Notes: </w:t>
      </w:r>
      <w:r>
        <w:t>abstract_source=openalex</w:t>
      </w:r>
    </w:p>
    <w:p>
      <w:pPr>
        <w:spacing w:before="0" w:after="80" w:lineRule="auto" w:line="276"/>
      </w:pPr>
      <w:r>
        <w:rPr>
          <w:b/>
        </w:rPr>
        <w:t xml:space="preserve">摘要（ZH）: </w:t>
      </w:r>
      <w:r>
        <w:t>路易斯配对掺杂剂的溶剂介导的反应性控制 在他们的研究文章（DOI：10.1002/adma.202522233）中，Jaeyoung Jang 和同事报告了路易斯配对分子掺杂剂的溶剂介导的反应性控制策略。通过调节溶剂极性，通过缔合-解离动力学调节掺杂剂的形成，从而实现有机半导体中精确的掺杂水平控制。这种方法提供了高热电性能和稳定性，为各种有机半导体的高效和可调掺杂提供了一个多功能平台。</w:t>
      </w:r>
    </w:p>
    <w:p>
      <w:pPr>
        <w:spacing w:before="0" w:after="200" w:lineRule="auto" w:line="276"/>
      </w:pPr>
      <w:r>
        <w:rPr>
          <w:b/>
        </w:rPr>
        <w:t xml:space="preserve">Abstract (EN): </w:t>
      </w:r>
      <w:r>
        <w:t>Solvent-Mediated Reactivity Control of Lewis-Paired Dopants In their Research Article (DOI: 10.1002/adma.202522233), Jaeyoung Jang and co-workers report a solvent-mediated reactivity control strategy for Lewis-paired molecular dopants. By tuning solvent polarity, dopant formation is regulated through association–dissociation kinetics, enabling precise doping-level control in organic semiconductors. This approach delivers high thermoelectric performance and stability, providing a versatile platform for efficient and tunable doping across a wide range of organic semiconductors.</w:t>
      </w:r>
    </w:p>
    <w:p>
      <w:pPr>
        <w:spacing w:before="120" w:after="120"/>
      </w:pPr>
      <w:r>
        <w:rPr>
          <w:sz w:val="18"/>
        </w:rPr>
        <w:t>——————————————————————————————————————————————————————————————————————</w:t>
      </w:r>
    </w:p>
    <w:p>
      <w:pPr>
        <w:spacing w:before="160" w:after="40" w:line="240" w:lineRule="auto"/>
      </w:pPr>
      <w:r>
        <w:rPr>
          <w:b/>
        </w:rPr>
        <w:t xml:space="preserve">[9] </w:t>
      </w:r>
      <w:hyperlink r:id="rId227">
        <w:r>
          <w:rPr>
            <w:color w:val="1155CC"/>
            <w:u w:val="single"/>
          </w:rPr>
          <w:t>电致变色自适应太阳能加热器和低于环境的被动式日间辐射冷却器</w:t>
        </w:r>
      </w:hyperlink>
    </w:p>
    <w:p>
      <w:pPr>
        <w:spacing w:before="0" w:after="80"/>
      </w:pPr>
      <w:r>
        <w:rPr>
          <w:i/>
          <w:sz w:val="20"/>
        </w:rPr>
        <w:t>EN: Electrochromic Adaptive Solar Heater and Sub‐Ambient Passive Daytime Radiative Cooler</w:t>
      </w:r>
    </w:p>
    <w:p>
      <w:pPr>
        <w:spacing w:before="0" w:after="120"/>
      </w:pPr>
      <w:r>
        <w:rPr>
          <w:b/>
        </w:rPr>
        <w:t xml:space="preserve">Source: </w:t>
      </w:r>
      <w:r>
        <w:t>Wiley: Advanced Materials: Table of Contents</w:t>
      </w:r>
      <w:r>
        <w:t xml:space="preserve">    </w:t>
      </w:r>
      <w:r>
        <w:rPr>
          <w:b/>
        </w:rPr>
        <w:t xml:space="preserve">Pub date: </w:t>
      </w:r>
      <w:r>
        <w:t>2026-07-29 07:38:00+00:00</w:t>
      </w:r>
      <w:r>
        <w:t xml:space="preserve">    </w:t>
      </w:r>
      <w:r>
        <w:rPr>
          <w:b/>
        </w:rPr>
        <w:t xml:space="preserve">DOI: </w:t>
      </w:r>
      <w:hyperlink r:id="rId228">
        <w:r>
          <w:rPr>
            <w:color w:val="1155CC"/>
            <w:u w:val="single"/>
          </w:rPr>
          <w:t>10.1002/adma.74359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供暖、通风和空调 (HVAC) 系统是全球能源消耗的主要来源，这凸显了对节能建筑围护结构技术的迫切需求。通过利用太阳和外太空作为可持续的热力学资源，协同太阳能和辐射电致变色提供了一种有前途的解决方案。在这项研究中，我们展示了一种双模式电致变色器件，该器件能够在太阳能加热和低于环境辐射冷却之间进行可逆、非易失性切换，每年可节省 73.7 MBtu 的能源和二氧化碳</w:t>
      </w:r>
      <w:r>
        <w:rPr>
          <w:vertAlign w:val="subscript"/>
        </w:rPr>
        <w:t>2</w:t>
      </w:r>
      <w:r>
        <w:t>减少 4063 公斤二氧化碳排放量</w:t>
      </w:r>
      <w:r>
        <w:rPr>
          <w:vertAlign w:val="subscript"/>
        </w:rPr>
        <w:t>2</w:t>
      </w:r>
      <w:r>
        <w:t>在美国特定气候区。该设备在制冷模式下可实现真正的低于环境温度的被动日间辐射冷却 1°C，在白天运行时，在制热模式下可将其温度提高到环境温度以上 33°C，由电压控制。该器件在缺陷激活单层石墨烯上采用电沉积有损耗非晶 Cu-Bi 纳米团簇，在冷却（太阳能吸收率）之间产生高光学对比度</w:t>
      </w:r>
      <w:r>
        <w:t xml:space="preserve"> </w:t>
      </w:r>
      <w:r>
        <w:t>α</w:t>
      </w:r>
      <w:r>
        <w:t xml:space="preserve"> </w:t>
      </w:r>
      <w:r>
        <w:t>= 7.99%, 热发射率</w:t>
      </w:r>
      <w:r>
        <w:t xml:space="preserve"> </w:t>
      </w:r>
      <w:r>
        <w:t>ε</w:t>
      </w:r>
      <w:r>
        <w:t xml:space="preserve"> </w:t>
      </w:r>
      <w:r>
        <w:t>= 93.58%）和加热（</w:t>
      </w:r>
      <w:r>
        <w:t xml:space="preserve"> </w:t>
      </w:r>
      <w:r>
        <w:t>α</w:t>
      </w:r>
      <w:r>
        <w:t xml:space="preserve"> </w:t>
      </w:r>
      <w:r>
        <w:t>= 47.7%，</w:t>
      </w:r>
      <w:r>
        <w:t xml:space="preserve"> </w:t>
      </w:r>
      <w:r>
        <w:t>ε</w:t>
      </w:r>
      <w:r>
        <w:t xml:space="preserve"> </w:t>
      </w:r>
      <w:r>
        <w:t>= 20.14%) 模式，具有出色的长期耐用性。这项工作为可扩展、耐用和动态热调节铺平了道路，推动了可持续建筑技术的发展。</w:t>
      </w:r>
    </w:p>
    <w:p>
      <w:pPr>
        <w:spacing w:before="0" w:after="200" w:lineRule="auto" w:line="276"/>
      </w:pPr>
      <w:r>
        <w:rPr>
          <w:b/>
        </w:rPr>
        <w:t xml:space="preserve">Abstract (EN): </w:t>
      </w:r>
      <w:r>
        <w:t>Heating, ventilation, and air‐conditioning (HVAC) systems are major contributors to global energy consumption, underscoring the urgent need for energy‐efficient building envelope technologies. Synergistic solar and radiative electrochromism offers a promising solution by leveraging the sun and outer space as sustainable thermodynamic resources. In this study, we demonstrate a dual‐mode electrochromic device that enables reversible, non‐volatile switching between solar heating and sub‐ambient radiative cooling, achieving annual energy savings of 73.7 MBtu and CO</w:t>
      </w:r>
      <w:r>
        <w:rPr>
          <w:vertAlign w:val="subscript"/>
        </w:rPr>
        <w:t>2</w:t>
      </w:r>
      <w:r>
        <w:t>emission savings of 4063 kg CO</w:t>
      </w:r>
      <w:r>
        <w:rPr>
          <w:vertAlign w:val="subscript"/>
        </w:rPr>
        <w:t>2</w:t>
      </w:r>
      <w:r>
        <w:t>in specific U.S. climate zones. The device can achieve true sub‐ambient passive daytime radiative cooling by 1°C in the cooling mode and raise it by 33°C above ambient in the heating mode during daytime operation, controlled by electrical voltage. The device employs electrodeposited lossy amorphous Cu‐Bi nanoclusters on defect‐activated monolayer graphene, yielding high optical contrast between cooling (solar absorptance</w:t>
      </w:r>
      <w:r>
        <w:t xml:space="preserve"> </w:t>
      </w:r>
      <w:r>
        <w:t>α</w:t>
      </w:r>
      <w:r>
        <w:t xml:space="preserve"> </w:t>
      </w:r>
      <w:r>
        <w:t>= 7.99%, thermal emittance</w:t>
      </w:r>
      <w:r>
        <w:t xml:space="preserve"> </w:t>
      </w:r>
      <w:r>
        <w:t>ε</w:t>
      </w:r>
      <w:r>
        <w:t xml:space="preserve"> </w:t>
      </w:r>
      <w:r>
        <w:t>= 93.58%) and heating (</w:t>
      </w:r>
      <w:r>
        <w:t xml:space="preserve"> </w:t>
      </w:r>
      <w:r>
        <w:t>α</w:t>
      </w:r>
      <w:r>
        <w:t xml:space="preserve"> </w:t>
      </w:r>
      <w:r>
        <w:t>= 47.7%,</w:t>
      </w:r>
      <w:r>
        <w:t xml:space="preserve"> </w:t>
      </w:r>
      <w:r>
        <w:t>ε</w:t>
      </w:r>
      <w:r>
        <w:t xml:space="preserve"> </w:t>
      </w:r>
      <w:r>
        <w:t>= 20.14%) modes, with outstanding long‐term durability. This work paves the way for scalable, durable, and dynamic thermal regulation, advancing sustainable building technologies.</w:t>
      </w:r>
    </w:p>
    <w:p>
      <w:pPr>
        <w:spacing w:before="120" w:after="120"/>
      </w:pPr>
      <w:r>
        <w:rPr>
          <w:sz w:val="18"/>
        </w:rPr>
        <w:t>——————————————————————————————————————————————————————————————————————</w:t>
      </w:r>
    </w:p>
    <w:p>
      <w:pPr>
        <w:spacing w:before="160" w:after="40" w:line="240" w:lineRule="auto"/>
      </w:pPr>
      <w:r>
        <w:rPr>
          <w:b/>
        </w:rPr>
        <w:t xml:space="preserve">[10] </w:t>
      </w:r>
      <w:hyperlink r:id="rId229">
        <w:r>
          <w:rPr>
            <w:color w:val="1155CC"/>
            <w:u w:val="single"/>
          </w:rPr>
          <w:t>具有抑制寄生输运的空间均匀 Mg3(Sb, Bi)2 可实现超高热电性能</w:t>
        </w:r>
      </w:hyperlink>
    </w:p>
    <w:p>
      <w:pPr>
        <w:spacing w:before="0" w:after="80"/>
      </w:pPr>
      <w:r>
        <w:rPr>
          <w:i/>
          <w:sz w:val="20"/>
        </w:rPr>
        <w:t>EN: Spatially Homogeneous Mg3(Sb, Bi)2 With Suppressed Parasitic Transport Enables Ultrahigh Thermoelectric Performance</w:t>
      </w:r>
    </w:p>
    <w:p>
      <w:pPr>
        <w:spacing w:before="0" w:after="120"/>
      </w:pPr>
      <w:r>
        <w:rPr>
          <w:b/>
        </w:rPr>
        <w:t xml:space="preserve">Source: </w:t>
      </w:r>
      <w:r>
        <w:t>Wiley: Angewandte Chemie International Edition: Table of Contents</w:t>
      </w:r>
      <w:r>
        <w:t xml:space="preserve">    </w:t>
      </w:r>
      <w:r>
        <w:rPr>
          <w:b/>
        </w:rPr>
        <w:t xml:space="preserve">Pub date: </w:t>
      </w:r>
      <w:r>
        <w:t>2026-07-29 12:18:24+00:00</w:t>
      </w:r>
      <w:r>
        <w:t xml:space="preserve">    </w:t>
      </w:r>
      <w:r>
        <w:rPr>
          <w:b/>
        </w:rPr>
        <w:t xml:space="preserve">DOI: </w:t>
      </w:r>
      <w:hyperlink r:id="rId230">
        <w:r>
          <w:rPr>
            <w:color w:val="1155CC"/>
            <w:u w:val="single"/>
          </w:rPr>
          <w:t>10.1002/anie.2307998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化学不均匀性广泛存在于热电材料中，但其影响主要归因于局部界面散射和成分波动。在这里，我们表明化学不均匀性的空间连通性通过启用寄生传输路径来控制热电性能。以镁计</w:t>
      </w:r>
      <w:r>
        <w:rPr>
          <w:vertAlign w:val="subscript"/>
        </w:rPr>
        <w:t>3</w:t>
      </w:r>
      <w:r>
        <w:t>（锑、铋）</w:t>
      </w:r>
      <w:r>
        <w:rPr>
          <w:vertAlign w:val="subscript"/>
        </w:rPr>
        <w:t>2</w:t>
      </w:r>
      <w:r>
        <w:t>，多尺度Bi相关化学不均匀性形成空间连接的渗透路径，从而恶化塞贝克系数和热导率。循环压力烧结破坏了这些渗透网络，从而抑制寄生传输并增强声子散射。结果，高</w:t>
      </w:r>
      <w:r>
        <w:t xml:space="preserve"> </w:t>
      </w:r>
      <w:r>
        <w:t>zT</w:t>
      </w:r>
      <w:r>
        <w:t xml:space="preserve"> </w:t>
      </w:r>
      <w:r>
        <w:t>673 K 时约为 2.08，平均值非常出色</w:t>
      </w:r>
      <w:r>
        <w:t xml:space="preserve"> </w:t>
      </w:r>
      <w:r>
        <w:t>zT</w:t>
      </w:r>
      <w:r>
        <w:t xml:space="preserve"> </w:t>
      </w:r>
      <w:r>
        <w:t>在 323–723 K 范围内实现了 ∼1.58，使这些值成为镁报告中的最高值之一</w:t>
      </w:r>
      <w:r>
        <w:rPr>
          <w:vertAlign w:val="subscript"/>
        </w:rPr>
        <w:t>3</w:t>
      </w:r>
      <w:r>
        <w:t>（锑、铋）</w:t>
      </w:r>
      <w:r>
        <w:rPr>
          <w:vertAlign w:val="subscript"/>
        </w:rPr>
        <w:t>2</w:t>
      </w:r>
      <w:r>
        <w:t>基材料。此外，单腿器件的转换效率约为 12.1%（Δ</w:t>
      </w:r>
      <w:r>
        <w:t xml:space="preserve"> </w:t>
      </w:r>
      <w:r>
        <w:t>时间</w:t>
      </w:r>
      <w:r>
        <w:t xml:space="preserve"> </w:t>
      </w:r>
      <w:r>
        <w:t>= 410 K）。这些发现将异质性的空间连通性确立为控制热电传输的关键参数，并为性能优化提供了通用策略。</w:t>
      </w:r>
    </w:p>
    <w:p>
      <w:pPr>
        <w:spacing w:before="0" w:after="200" w:lineRule="auto" w:line="276"/>
      </w:pPr>
      <w:r>
        <w:rPr>
          <w:b/>
        </w:rPr>
        <w:t xml:space="preserve">Abstract (EN): </w:t>
      </w:r>
      <w:r>
        <w:t>Chemical inhomogeneity widely exists in thermoelectric materials, yet its effects are mainly ascribed to local interface scattering and compositional fluctuations. Here, we show that the spatial connectivity of chemical inhomogeneity governs thermoelectric performance by enabling parasitic transport pathways. In Mg</w:t>
      </w:r>
      <w:r>
        <w:rPr>
          <w:vertAlign w:val="subscript"/>
        </w:rPr>
        <w:t>3</w:t>
      </w:r>
      <w:r>
        <w:t>(Sb, Bi)</w:t>
      </w:r>
      <w:r>
        <w:rPr>
          <w:vertAlign w:val="subscript"/>
        </w:rPr>
        <w:t>2</w:t>
      </w:r>
      <w:r>
        <w:t>, multiscale Bi‐related chemical inhomogeneity forms spatially connected percolation pathways that deteriorate both the Seebeck coefficient and thermal conductivity. Cyclic pressure sintering disrupts these percolative networks, thereby inhibiting parasitic transport and enhancing phonon scattering. As a result, a high</w:t>
      </w:r>
      <w:r>
        <w:t xml:space="preserve"> </w:t>
      </w:r>
      <w:r>
        <w:t>zT</w:t>
      </w:r>
      <w:r>
        <w:t xml:space="preserve"> </w:t>
      </w:r>
      <w:r>
        <w:t>of ∼2.08 at 673 K and an exceptional average</w:t>
      </w:r>
      <w:r>
        <w:t xml:space="preserve"> </w:t>
      </w:r>
      <w:r>
        <w:t>zT</w:t>
      </w:r>
      <w:r>
        <w:t xml:space="preserve"> </w:t>
      </w:r>
      <w:r>
        <w:t>of ∼1.58 over 323–723 K are achieved, placing these values among the highest reported for Mg</w:t>
      </w:r>
      <w:r>
        <w:rPr>
          <w:vertAlign w:val="subscript"/>
        </w:rPr>
        <w:t>3</w:t>
      </w:r>
      <w:r>
        <w:t>(Sb, Bi)</w:t>
      </w:r>
      <w:r>
        <w:rPr>
          <w:vertAlign w:val="subscript"/>
        </w:rPr>
        <w:t>2</w:t>
      </w:r>
      <w:r>
        <w:t>‐based materials. Furthermore, a single‐leg device delivers a conversion efficiency of ∼12.1% (Δ</w:t>
      </w:r>
      <w:r>
        <w:t xml:space="preserve"> </w:t>
      </w:r>
      <w:r>
        <w:t>T</w:t>
      </w:r>
      <w:r>
        <w:t xml:space="preserve"> </w:t>
      </w:r>
      <w:r>
        <w:t>= 410 K). These findings establish the spatial connectivity of heterogeneity as a key parameter governing thermoelectric transport and provide a general strategy for performance optimization.</w:t>
      </w:r>
    </w:p>
    <w:p>
      <w:pPr>
        <w:spacing w:before="120" w:after="120"/>
      </w:pPr>
      <w:r>
        <w:rPr>
          <w:sz w:val="18"/>
        </w:rPr>
        <w:t>——————————————————————————————————————————————————————————————————————</w:t>
      </w:r>
    </w:p>
    <w:p>
      <w:pPr>
        <w:spacing w:before="160" w:after="40" w:line="240" w:lineRule="auto"/>
      </w:pPr>
      <w:r>
        <w:rPr>
          <w:b/>
        </w:rPr>
        <w:t xml:space="preserve">[11] </w:t>
      </w:r>
      <w:hyperlink r:id="rId231">
        <w:r>
          <w:rPr>
            <w:color w:val="1155CC"/>
            <w:u w:val="single"/>
          </w:rPr>
          <w:t>双塔光效率极限评估，指导太阳能塔式系统设计</w:t>
        </w:r>
      </w:hyperlink>
    </w:p>
    <w:p>
      <w:pPr>
        <w:spacing w:before="0" w:after="80"/>
      </w:pPr>
      <w:r>
        <w:rPr>
          <w:i/>
          <w:sz w:val="20"/>
        </w:rPr>
        <w:t>EN: Evaluation of dual-tower optical efficiency limit for guiding the design of solar power tower systems</w:t>
      </w:r>
    </w:p>
    <w:p>
      <w:pPr>
        <w:spacing w:before="0" w:after="120"/>
      </w:pPr>
      <w:r>
        <w:rPr>
          <w:b/>
        </w:rPr>
        <w:t xml:space="preserve">Source: </w:t>
      </w:r>
      <w:r>
        <w:t>ScienceDirect Publication: Applied Energy</w:t>
      </w:r>
      <w:r>
        <w:t xml:space="preserve">    </w:t>
      </w:r>
      <w:r>
        <w:rPr>
          <w:b/>
        </w:rPr>
        <w:t xml:space="preserve">Pub date: </w:t>
      </w:r>
      <w:r>
        <w:t>2026-07-30 00:00:00+00:00</w:t>
      </w:r>
      <w:r>
        <w:t xml:space="preserve">    </w:t>
      </w:r>
      <w:r>
        <w:rPr>
          <w:b/>
        </w:rPr>
        <w:t xml:space="preserve">DOI: </w:t>
      </w:r>
      <w:hyperlink r:id="rId232">
        <w:r>
          <w:rPr>
            <w:color w:val="1155CC"/>
            <w:u w:val="single"/>
          </w:rPr>
          <w:t>10.1016/j.apenergy.2026.128545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233">
        <w:r>
          <w:rPr>
            <w:color w:val="1155CC"/>
            <w:u w:val="single"/>
          </w:rPr>
          <w:t>定向热发射可实现高效节能</w:t>
        </w:r>
      </w:hyperlink>
    </w:p>
    <w:p>
      <w:pPr>
        <w:spacing w:before="0" w:after="80"/>
      </w:pPr>
      <w:r>
        <w:rPr>
          <w:i/>
          <w:sz w:val="20"/>
        </w:rPr>
        <w:t>EN: Directional thermal emission enables efficient energy savings</w:t>
      </w:r>
    </w:p>
    <w:p>
      <w:pPr>
        <w:spacing w:before="0" w:after="120"/>
      </w:pPr>
      <w:r>
        <w:rPr>
          <w:b/>
        </w:rPr>
        <w:t xml:space="preserve">Source: </w:t>
      </w:r>
      <w:r>
        <w:t>Physical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热辐射是一种基本的传热机制，对于各种应用中的能量交换至关重要。然而，传统的辐射传热系统依赖于全向热辐射，导致能量在不期望的方向上耗散并限制了辐射传热效率。在这里，我们证明发射器和吸收器之间完美匹配的定向热发射可以达到高达 100% 的理论效率。在平行板配置中，用定制定向系统替换传统系统可将效率从 29% 提高到 100%。我们进一步通过实验证明，定向辐射传热在真空条件下可实现 67.8% 的节能，在非真空条件下可实现 28.7% 的节能。此外，定向辐射传热可以在车辆加热、车漆干燥、人体加热、轨道车辆解冻等多种场景下实现高效加热，实现17-46%的节能。我们的工作凸显了定向辐射传热的广泛适用性和节能潜力，为高效能源利用开辟了新途径。</w:t>
      </w:r>
    </w:p>
    <w:p>
      <w:pPr>
        <w:spacing w:before="0" w:after="200" w:lineRule="auto" w:line="276"/>
      </w:pPr>
      <w:r>
        <w:rPr>
          <w:b/>
        </w:rPr>
        <w:t xml:space="preserve">Abstract (EN): </w:t>
      </w:r>
      <w:r>
        <w:t>Thermal radiation, a fundamental heat transfer mechanism, is crucial for energy exchange across various applications. However, conventional radiative heat transfer systems rely on omnidirectional thermal radiation, causing energy dissipation in undesired directions and limiting radiative heat transfer efficiency. Here, we show that perfectly matched directional thermal emission between an emitter and absorber can reach a theoretical efficiency up to 100%. In a parallel-plate configuration, replacing a conventional system with a customized directional system raises efficiency from 29% to 100%. We further experimentally demonstrate directional radiative heat transfer realizes substantial energy savings of 67.8% in vacuum and 28.7% in non-vacuum conditions. Moreover, directional radiative heat transfer enables efficient heating in diverse scenarios, including vehicle heating, car paint drying, human body heating, and rail car thawing, achieving 17–46% energy savings. Our work highlights the broad applicability and energy-saving potential of directional radiative heat transfer, opening new avenues for efficient energy utilization.</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234">
        <w:r>
          <w:rPr>
            <w:color w:val="1155CC"/>
            <w:u w:val="single"/>
          </w:rPr>
          <w:t>使用 NSGA-II 的基于替代的热机械优化框架，用于 CFETR COOL 毯子的第一壁</w:t>
        </w:r>
      </w:hyperlink>
    </w:p>
    <w:p>
      <w:pPr>
        <w:spacing w:before="0" w:after="80"/>
      </w:pPr>
      <w:r>
        <w:rPr>
          <w:i/>
          <w:sz w:val="20"/>
        </w:rPr>
        <w:t>EN: A surrogate-based thermo-mechanical optimization framework using NSGA-II for the first wall of CFETR COOL blanket</w:t>
      </w:r>
    </w:p>
    <w:p>
      <w:pPr>
        <w:spacing w:before="0" w:after="120"/>
      </w:pPr>
      <w:r>
        <w:rPr>
          <w:b/>
        </w:rPr>
        <w:t xml:space="preserve">Source: </w:t>
      </w:r>
      <w:r>
        <w:t>Nuclear Fusion - latest papers</w:t>
      </w:r>
      <w:r>
        <w:t xml:space="preserve">    </w:t>
      </w:r>
      <w:r>
        <w:rPr>
          <w:b/>
        </w:rPr>
        <w:t xml:space="preserve">Pub date: </w:t>
      </w:r>
      <w:r>
        <w:t>2026-07-26 23:00:00+00:00</w:t>
      </w:r>
      <w:r>
        <w:t xml:space="preserve">    </w:t>
      </w:r>
      <w:r>
        <w:rPr>
          <w:b/>
        </w:rPr>
        <w:t xml:space="preserve">DOI: </w:t>
      </w:r>
      <w:hyperlink r:id="rId235">
        <w:r>
          <w:rPr>
            <w:color w:val="1155CC"/>
            <w:u w:val="single"/>
          </w:rPr>
          <w:t>10.1088/1741-4326/ae8607</w:t>
        </w:r>
      </w:hyperlink>
    </w:p>
    <w:p>
      <w:pPr>
        <w:spacing w:before="0" w:after="120"/>
      </w:pPr>
      <w:r>
        <w:rPr>
          <w:b/>
        </w:rPr>
        <w:t xml:space="preserve">Notes: </w:t>
      </w:r>
      <w:r>
        <w:t>abstract_source=rss_description</w:t>
      </w:r>
    </w:p>
    <w:p>
      <w:pPr>
        <w:spacing w:before="0" w:after="80" w:lineRule="auto" w:line="276"/>
      </w:pPr>
      <w:r>
        <w:rPr>
          <w:b/>
        </w:rPr>
        <w:t xml:space="preserve">摘要（ZH）: </w:t>
      </w:r>
      <w:r>
        <w:t>超临界二氧化碳（S-CO2）冷却锂铅（COOL）包层正在为中国聚变工程试验堆（CFETR）开发。作为毯子的关键部件，第一壁（FW）要承受高热通量和等离子溅射，需要同时满足严格的热和结构要求。为了在探索广阔的设计空间时降低高保真模拟的高昂计算成本，开发了一种热机耦合替代模型，该模型将 FW 几何形状、热载荷和边界条件集成为参数输入。通过结合热平衡理论、经验相关性和一维/二维混合分析热传导模型，替代模型能够快速预测关键热工水力响应，包括冷却液出口温度、压降和还原活化铁素体马氏体钢的温度分布。根据温度分布，利用广义胡克定律、梁理论和板理论计算相应的应力量。为了提高热机械应力预测的一致性，FEM 导出的应力线性化结果进一步用于校正分析应力量，从而形成校正的热机械替代模型。通过对 CFD/FEM 模拟和基于 FEM 的校正进行一致性评估，校正后的替代模型与数值结果的一致性得到了改善，同时保留了亚秒级计算性能，使其适合在研究范围内进行快速预设计筛选</w:t>
      </w:r>
    </w:p>
    <w:p>
      <w:pPr>
        <w:spacing w:before="0" w:after="200" w:lineRule="auto" w:line="276"/>
      </w:pPr>
      <w:r>
        <w:rPr>
          <w:b/>
        </w:rPr>
        <w:t xml:space="preserve">Abstract (EN): </w:t>
      </w:r>
      <w:r>
        <w:t>The supercritical carbon dioxide (S-CO2) cOoled Lithium-Lead (COOL) blanket is under development for China Fusion Engineering Test Reactor (CFETR). As a key component of the blanket, the first wall (FW) is subjected to high heat flux and plasma sputtering, requiring the simultaneous satisfaction of stringent thermal and structural requirements. To reduce the prohibitive computational cost of high-fidelity simulations when exploring vast design spaces, a thermo-mechanical coupled surrogate model is developed, which integrates the FW geometry, heat loads and boundary conditions as parametric inputs. By combining thermal balance theory, empirical correlations and 1D/2D hybrid analytical heat conduction model, the surrogate model enables the rapid prediction of key thermal-hydraulic responses, including coolant outlet temperature, pressure drop and temperature distribution of reduced activation ferritic martensitic steel. Based on the temperature distribution, the corresponding stress quantities are evaluated using generalized Hooke’s law, beam theory and plate theory. To improve the consistency of thermo-mechanical stress prediction, FEM-derived stress linearization results are further used to correct the analytical stress quantities, leading to a corrected thermo-mechanical surrogate model. Through consistency assessment against CFD/FEM simulations and FEM-based correction, the corrected surrogate model shows improved agreement with numerical results while retaining sub-second computational performance, making it suitable for rapid pre-design screening within the investigated parameter range. On this basis, a multi-objective optimization framework employing the Non-dominated Sorting Genetic Algorithm II (NSGA-II) for FW design is established. Taking the equatorial unit #3 of COOL blanket as an example, the framework is applied to optimize the coolant channel geometry and mass flow rate, with the objectives of maximizing outlet temperature and minimizing the flow-resistance power loss associated with the FW pressure drop to improve the thermal-to-electric conversion efficiency under multi-physics constraints. The optimization result is a nonlinear Pareto–Front curve describing the trade-off between these competing objectives. Two representative solutions on the curve are selected for detailed comparison with the baseline design: one design maintains a similar outlet temperature while reducing flow-resistance power loss by 22.67%, whereas the other maintains comparable flow-resistance power loss but increases the outlet temperature by 8.31 °C. Moreover, all solutions between these two points on the Pareto–Front outperform the baseline design in both objectives. Overall, the proposed surrogate-based optimization framework demonstrates its capability to efficiently identify high-performance designs via balancing competing objectives and provides a flexible and systematic tool for thermo-mechanical pre-design screening and optimization of the CFETR COOL blanket FW.</w:t>
      </w:r>
    </w:p>
    <w:p>
      <w:pPr>
        <w:spacing w:before="120" w:after="120"/>
      </w:pPr>
      <w:r>
        <w:rPr>
          <w:sz w:val="18"/>
        </w:rPr>
        <w:t>——————————————————————————————————————————————————————————————————————</w:t>
      </w:r>
    </w:p>
    <w:p>
      <w:pPr>
        <w:spacing w:before="160" w:after="40" w:line="240" w:lineRule="auto"/>
      </w:pPr>
      <w:r>
        <w:rPr>
          <w:b/>
        </w:rPr>
        <w:t xml:space="preserve">[2] </w:t>
      </w:r>
      <w:hyperlink r:id="rId236">
        <w:r>
          <w:rPr>
            <w:color w:val="1155CC"/>
            <w:u w:val="single"/>
          </w:rPr>
          <w:t>通过银交换 Y 型沸石选择性吸附从气态 1,2,3H 同位素混合物中分离氚</w:t>
        </w:r>
      </w:hyperlink>
    </w:p>
    <w:p>
      <w:pPr>
        <w:spacing w:before="0" w:after="80"/>
      </w:pPr>
      <w:r>
        <w:rPr>
          <w:i/>
          <w:sz w:val="20"/>
        </w:rPr>
        <w:t>EN: Tritium separation from gaseous 1,2,3H isotopologue mixtures by selective adsorption on Ag-exchanged zeolite type Y</w:t>
      </w:r>
    </w:p>
    <w:p>
      <w:pPr>
        <w:spacing w:before="0" w:after="120"/>
      </w:pPr>
      <w:r>
        <w:rPr>
          <w:b/>
        </w:rPr>
        <w:t xml:space="preserve">Source: </w:t>
      </w:r>
      <w:r>
        <w:t>Physical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氢同位素异构体的有效分离对于核聚变反应堆废气流回收等应用至关重要。我们报告了使用热解吸光谱 (TDS) 分离三元 1,2,3H 同位素混合物，基于使用 Ag(I) 交换 Y 型沸石的选择性吸附，从最初等摩尔 (1:1:1) 的气体混合物中实现了 1:41:175 (H2:D2:T2) 的富集。对二元氢同位素混合物的进一步实验验证了 T2 分离效率的数值预测。具体而言，与氕相比，244 对氚的高选择性使得 Ag(I) 交换沸石成为液氮温度下节能同位素分离的绝佳候选者。</w:t>
      </w:r>
    </w:p>
    <w:p>
      <w:pPr>
        <w:spacing w:before="0" w:after="200" w:lineRule="auto" w:line="276"/>
      </w:pPr>
      <w:r>
        <w:rPr>
          <w:b/>
        </w:rPr>
        <w:t xml:space="preserve">Abstract (EN): </w:t>
      </w:r>
      <w:r>
        <w:t>Efficient separation of hydrogen isotopologues is crucial for applications such as the recycling of exhaust streams in nuclear fusion reactors. We report on separation of a ternary 1,2,3H isotope mixture using thermal desorption spectroscopy (TDS), achieving an enrichment of 1:41:175 (H2:D2:T2) from an initially equimolar (1:1:1) gas mixture, based on selective adsorption using an Ag(I)-exchanged zeolite type Y. Further experiments on binary hydrogen isotope mixtures validated numerical predictions of the separation efficiency for T2. Specifically, the high selectivity for tritium over protium of 244 makes the Ag(I)-exchanged zeolite an excellent candidate for energy-efficient isotope separation at liquid-nitrogen temperature.</w:t>
      </w:r>
    </w:p>
    <w:p>
      <w:pPr>
        <w:spacing w:before="120" w:after="120"/>
      </w:pPr>
      <w:r>
        <w:rPr>
          <w:sz w:val="18"/>
        </w:rPr>
        <w:t>——————————————————————————————————————————————————————————————————————</w:t>
      </w:r>
    </w:p>
    <w:p>
      <w:pPr>
        <w:spacing w:before="160" w:after="40" w:line="240" w:lineRule="auto"/>
      </w:pPr>
      <w:r>
        <w:rPr>
          <w:b/>
        </w:rPr>
        <w:t xml:space="preserve">[3] </w:t>
      </w:r>
      <w:hyperlink r:id="rId237">
        <w:r>
          <w:rPr>
            <w:color w:val="1155CC"/>
            <w:u w:val="single"/>
          </w:rPr>
          <w:t>TJ-II 仿星器的高性能等离子体中的传输：从第一原理模拟到实验验证</w:t>
        </w:r>
      </w:hyperlink>
    </w:p>
    <w:p>
      <w:pPr>
        <w:spacing w:before="0" w:after="80"/>
      </w:pPr>
      <w:r>
        <w:rPr>
          <w:i/>
          <w:sz w:val="20"/>
        </w:rPr>
        <w:t>EN: Transport in high-performance plasmas of the TJ-II stellarator: from first-principles simulations to experimental validation</w:t>
      </w:r>
    </w:p>
    <w:p>
      <w:pPr>
        <w:spacing w:before="0" w:after="120"/>
      </w:pPr>
      <w:r>
        <w:rPr>
          <w:b/>
        </w:rPr>
        <w:t xml:space="preserve">Source: </w:t>
      </w:r>
      <w:r>
        <w:t>Nuclear Fusion - latest papers</w:t>
      </w:r>
      <w:r>
        <w:t xml:space="preserve">    </w:t>
      </w:r>
      <w:r>
        <w:rPr>
          <w:b/>
        </w:rPr>
        <w:t xml:space="preserve">Pub date: </w:t>
      </w:r>
      <w:r>
        <w:t>2026-07-27 23:00:00+00:00</w:t>
      </w:r>
      <w:r>
        <w:t xml:space="preserve">    </w:t>
      </w:r>
      <w:r>
        <w:rPr>
          <w:b/>
        </w:rPr>
        <w:t xml:space="preserve">DOI: </w:t>
      </w:r>
      <w:hyperlink r:id="rId238">
        <w:r>
          <w:rPr>
            <w:color w:val="1155CC"/>
            <w:u w:val="single"/>
          </w:rPr>
          <w:t>10.1088/1741-4326/ae89c9</w:t>
        </w:r>
      </w:hyperlink>
    </w:p>
    <w:p>
      <w:pPr>
        <w:spacing w:before="0" w:after="120"/>
      </w:pPr>
      <w:r>
        <w:rPr>
          <w:b/>
        </w:rPr>
        <w:t xml:space="preserve">Notes: </w:t>
      </w:r>
      <w:r>
        <w:t>abstract_source=rss_description</w:t>
      </w:r>
    </w:p>
    <w:p>
      <w:pPr>
        <w:spacing w:before="0" w:after="80" w:lineRule="auto" w:line="276"/>
      </w:pPr>
      <w:r>
        <w:rPr>
          <w:b/>
        </w:rPr>
        <w:t xml:space="preserve">摘要（ZH）: </w:t>
      </w:r>
      <w:r>
        <w:t>我们概述了 TJ-II 仿星器开展的活动，旨在从第一原理和功率平衡分析中了解输运。这些任务包括使用代码 stella 和 EUTERPE 进行回旋模拟、使用代码 SFINCS 进行新古典模拟、使用代码 HPI2 进行粒子沉积计算以及使用 ASCOT5 进行热源估计。所有这些数值模拟工作与输运分析相结合，旨在通过颗粒注入改善约束来解决等离子体中的输运机制——这是过去几次 TJ-II 活动中研究的场景，与 W7-X 中观察到的颗粒燃料高性能等离子体场景类似。</w:t>
      </w:r>
    </w:p>
    <w:p>
      <w:pPr>
        <w:spacing w:before="0" w:after="200" w:lineRule="auto" w:line="276"/>
      </w:pPr>
      <w:r>
        <w:rPr>
          <w:b/>
        </w:rPr>
        <w:t xml:space="preserve">Abstract (EN): </w:t>
      </w:r>
      <w:r>
        <w:t>We provide an overview of activities carried out at the TJ-II stellarator aimed at understanding transport from first principles and power balance analysis. These tasks include gyrokinetic simulations with the codes stella and EUTERPE, neoclassical simulations with the code SFINCS, particle deposition calculations with the code HPI2, and heat source estimates with ASCOT5. All these numerical simulation efforts converge, together with transport analyses, to address the transport mechanisms in plasmas with improved confinement through pellet injection—a scenario studied during the past few TJ-II campaigns bearing resemblance to the pellet-fueled high-performance plasma scenarios of observed in W7-X.</w:t>
      </w:r>
    </w:p>
    <w:p>
      <w:pPr>
        <w:spacing w:before="120" w:after="120"/>
      </w:pPr>
      <w:r>
        <w:rPr>
          <w:sz w:val="18"/>
        </w:rPr>
        <w:t>——————————————————————————————————————————————————————————————————————</w:t>
      </w:r>
    </w:p>
    <w:p>
      <w:pPr>
        <w:spacing w:before="160" w:after="40" w:line="240" w:lineRule="auto"/>
      </w:pPr>
      <w:r>
        <w:rPr>
          <w:b/>
        </w:rPr>
        <w:t xml:space="preserve">[4] </w:t>
      </w:r>
      <w:hyperlink r:id="rId239">
        <w:r>
          <w:rPr>
            <w:color w:val="1155CC"/>
            <w:u w:val="single"/>
          </w:rPr>
          <w:t>基于非平衡格林函数法的$^{236}\mathrm{U}(γ,f)$中亚势垒光致裂变的微观分析</w:t>
        </w:r>
      </w:hyperlink>
    </w:p>
    <w:p>
      <w:pPr>
        <w:spacing w:before="0" w:after="80"/>
      </w:pPr>
      <w:r>
        <w:rPr>
          <w:i/>
          <w:sz w:val="20"/>
        </w:rPr>
        <w:t>EN: Microscopic analysis of sub-barrier photo-induced fission in $^{236}\mathrm{U}(γ,f)$ based on the nonequilibrium Green's function method</w:t>
      </w:r>
    </w:p>
    <w:p>
      <w:pPr>
        <w:spacing w:before="0" w:after="120"/>
      </w:pPr>
      <w:r>
        <w:rPr>
          <w:b/>
        </w:rPr>
        <w:t xml:space="preserve">Source: </w:t>
      </w:r>
      <w:r>
        <w:t>Recent Articles in Phys. Rev. C</w:t>
      </w:r>
      <w:r>
        <w:t xml:space="preserve">    </w:t>
      </w:r>
      <w:r>
        <w:rPr>
          <w:b/>
        </w:rPr>
        <w:t xml:space="preserve">Pub date: </w:t>
      </w:r>
      <w:r>
        <w:t>2026-07-28 10:00:00+00:00</w:t>
      </w:r>
      <w:r>
        <w:t xml:space="preserve">    </w:t>
      </w:r>
      <w:r>
        <w:rPr>
          <w:b/>
        </w:rPr>
        <w:t xml:space="preserve">DOI: </w:t>
      </w:r>
      <w:hyperlink r:id="rId240">
        <w:r>
          <w:rPr>
            <w:color w:val="1155CC"/>
            <w:u w:val="single"/>
          </w:rPr>
          <w:t>10.1103/bn6f-7cr2</w:t>
        </w:r>
      </w:hyperlink>
    </w:p>
    <w:p>
      <w:pPr>
        <w:spacing w:before="0" w:after="120"/>
      </w:pPr>
      <w:r>
        <w:rPr>
          <w:b/>
        </w:rPr>
        <w:t xml:space="preserve">Notes: </w:t>
      </w:r>
      <w:r>
        <w:t>abstract_source=rss_description</w:t>
      </w:r>
    </w:p>
    <w:p>
      <w:pPr>
        <w:spacing w:before="0" w:after="80" w:lineRule="auto" w:line="276"/>
      </w:pPr>
      <w:r>
        <w:rPr>
          <w:b/>
        </w:rPr>
        <w:t xml:space="preserve">摘要（ZH）: </w:t>
      </w:r>
      <w:r>
        <w:t>作者：K. Uzawa 在非平衡格林函数方法中研究了 $^{236}\mathrm{U}(γ,f)$ 中的子势垒光致裂变。裂变过程的模型空间是通过沿着裂变路径叠加 Skyrme-Hartree-Fock 波函数来构建的，从而允许粒子空穴激发。然后，t…[物理。 Rev. C 114, 014334] 于 2026 年 7 月 28 日星期二发布</w:t>
      </w:r>
    </w:p>
    <w:p>
      <w:pPr>
        <w:spacing w:before="0" w:after="200" w:lineRule="auto" w:line="276"/>
      </w:pPr>
      <w:r>
        <w:rPr>
          <w:b/>
        </w:rPr>
        <w:t xml:space="preserve">Abstract (EN): </w:t>
      </w:r>
      <w:r>
        <w:t>Author(s): K. UzawaSub-barrier photo-induced fission in $^{236}\mathrm{U}(γ,f)$ is investigated within the nonequilibrium Green's function method. A model space for the fission process is constructed by superposing Skyrme-Hartree-Fock wave functions along the fission path allowing the particle-hole excitation. Then, t…[Phys. Rev. C 114, 014334] Published Tue Jul 28, 2026</w:t>
      </w:r>
    </w:p>
    <w:p>
      <w:pPr>
        <w:spacing w:before="120" w:after="120"/>
      </w:pPr>
      <w:r>
        <w:rPr>
          <w:sz w:val="18"/>
        </w:rPr>
        <w:t>——————————————————————————————————————————————————————————————————————</w:t>
      </w:r>
    </w:p>
    <w:p>
      <w:pPr>
        <w:spacing w:before="160" w:after="40" w:line="240" w:lineRule="auto"/>
      </w:pPr>
      <w:r>
        <w:rPr>
          <w:b/>
        </w:rPr>
        <w:t xml:space="preserve">[5] </w:t>
      </w:r>
      <w:hyperlink r:id="rId241">
        <w:r>
          <w:rPr>
            <w:color w:val="1155CC"/>
            <w:u w:val="single"/>
          </w:rPr>
          <w:t>$^{12}\mathrm{C}+^{12}\mathrm{C}$ 天体物理 $S$ 因子的贝叶斯平滑拟合外推法</w:t>
        </w:r>
      </w:hyperlink>
    </w:p>
    <w:p>
      <w:pPr>
        <w:spacing w:before="0" w:after="80"/>
      </w:pPr>
      <w:r>
        <w:rPr>
          <w:i/>
          <w:sz w:val="20"/>
        </w:rPr>
        <w:t>EN: Bayesian smooth-fit extrapolation of the $^{12}\mathrm{C}+^{12}\mathrm{C}$ astrophysical $S$ factor</w:t>
      </w:r>
    </w:p>
    <w:p>
      <w:pPr>
        <w:spacing w:before="0" w:after="120"/>
      </w:pPr>
      <w:r>
        <w:rPr>
          <w:b/>
        </w:rPr>
        <w:t xml:space="preserve">Source: </w:t>
      </w:r>
      <w:r>
        <w:t>Recent Articles in Phys. Rev. C</w:t>
      </w:r>
      <w:r>
        <w:t xml:space="preserve">    </w:t>
      </w:r>
      <w:r>
        <w:rPr>
          <w:b/>
        </w:rPr>
        <w:t xml:space="preserve">Pub date: </w:t>
      </w:r>
      <w:r>
        <w:t>2026-07-28 10:00:00+00:00</w:t>
      </w:r>
      <w:r>
        <w:t xml:space="preserve">    </w:t>
      </w:r>
      <w:r>
        <w:rPr>
          <w:b/>
        </w:rPr>
        <w:t xml:space="preserve">DOI: </w:t>
      </w:r>
      <w:hyperlink r:id="rId242">
        <w:r>
          <w:rPr>
            <w:color w:val="1155CC"/>
            <w:u w:val="single"/>
          </w:rPr>
          <w:t>10.1103/vhms-qgr4</w:t>
        </w:r>
      </w:hyperlink>
    </w:p>
    <w:p>
      <w:pPr>
        <w:spacing w:before="0" w:after="120"/>
      </w:pPr>
      <w:r>
        <w:rPr>
          <w:b/>
        </w:rPr>
        <w:t xml:space="preserve">Notes: </w:t>
      </w:r>
      <w:r>
        <w:t>abstract_source=rss_description</w:t>
      </w:r>
    </w:p>
    <w:p>
      <w:pPr>
        <w:spacing w:before="0" w:after="80" w:lineRule="auto" w:line="276"/>
      </w:pPr>
      <w:r>
        <w:rPr>
          <w:b/>
        </w:rPr>
        <w:t xml:space="preserve">摘要（ZH）: </w:t>
      </w:r>
      <w:r>
        <w:t>作者：A. M. Mukhamedzhanov 使用碳-碳相对能量 $E[Phys.1] 上可用的低能信息，提出了 $^{12}\mathrm{C}+^{12}\mathrm{C}$ 聚变反应的天体物理 $S$ 因子的贝叶斯分析。 Rev. C 114, 015809] 于 2026 年 7 月 28 日星期二发布</w:t>
      </w:r>
    </w:p>
    <w:p>
      <w:pPr>
        <w:spacing w:before="0" w:after="200" w:lineRule="auto" w:line="276"/>
      </w:pPr>
      <w:r>
        <w:rPr>
          <w:b/>
        </w:rPr>
        <w:t xml:space="preserve">Abstract (EN): </w:t>
      </w:r>
      <w:r>
        <w:t>Author(s): A. M. MukhamedzhanovA Bayesian analysis of the astrophysical $S$ factor for the $^{12}\mathrm{C}+^{12}\mathrm{C}$ fusion reaction is presented using available low-energy information at carbon-carbon relative energies $E[Phys. Rev. C 114, 015809] Published Tue Jul 28, 2026</w:t>
      </w:r>
    </w:p>
    <w:p>
      <w:pPr>
        <w:spacing w:before="120" w:after="120"/>
      </w:pPr>
      <w:r>
        <w:rPr>
          <w:sz w:val="18"/>
        </w:rPr>
        <w:t>——————————————————————————————————————————————————————————————————————</w:t>
      </w:r>
    </w:p>
    <w:p>
      <w:pPr>
        <w:spacing w:before="160" w:after="40" w:line="240" w:lineRule="auto"/>
      </w:pPr>
      <w:r>
        <w:rPr>
          <w:b/>
        </w:rPr>
        <w:t xml:space="preserve">[6] </w:t>
      </w:r>
      <w:hyperlink r:id="rId243">
        <w:r>
          <w:rPr>
            <w:color w:val="1155CC"/>
            <w:u w:val="single"/>
          </w:rPr>
          <w:t>激光驱动核反应的非热能窗口</w:t>
        </w:r>
      </w:hyperlink>
    </w:p>
    <w:p>
      <w:pPr>
        <w:spacing w:before="0" w:after="80"/>
      </w:pPr>
      <w:r>
        <w:rPr>
          <w:i/>
          <w:sz w:val="20"/>
        </w:rPr>
        <w:t>EN: The non-thermal energy window for laser-driven nuclear reactions</w:t>
      </w:r>
    </w:p>
    <w:p>
      <w:pPr>
        <w:spacing w:before="0" w:after="120"/>
      </w:pPr>
      <w:r>
        <w:rPr>
          <w:b/>
        </w:rPr>
        <w:t xml:space="preserve">Source: </w:t>
      </w:r>
      <w:r>
        <w:t>Nuclear Fusion - latest papers</w:t>
      </w:r>
      <w:r>
        <w:t xml:space="preserve">    </w:t>
      </w:r>
      <w:r>
        <w:rPr>
          <w:b/>
        </w:rPr>
        <w:t xml:space="preserve">Pub date: </w:t>
      </w:r>
      <w:r>
        <w:t>2026-07-29 23:00:00+00:00</w:t>
      </w:r>
      <w:r>
        <w:t xml:space="preserve">    </w:t>
      </w:r>
      <w:r>
        <w:rPr>
          <w:b/>
        </w:rPr>
        <w:t xml:space="preserve">DOI: </w:t>
      </w:r>
      <w:hyperlink r:id="rId244">
        <w:r>
          <w:rPr>
            <w:color w:val="1155CC"/>
            <w:u w:val="single"/>
          </w:rPr>
          <w:t>10.1088/1741-4326/ae8fe7</w:t>
        </w:r>
      </w:hyperlink>
    </w:p>
    <w:p>
      <w:pPr>
        <w:spacing w:before="0" w:after="120"/>
      </w:pPr>
      <w:r>
        <w:rPr>
          <w:b/>
        </w:rPr>
        <w:t xml:space="preserve">Notes: </w:t>
      </w:r>
      <w:r>
        <w:t>abstract_source=rss_description</w:t>
      </w:r>
    </w:p>
    <w:p>
      <w:pPr>
        <w:spacing w:before="0" w:after="80" w:lineRule="auto" w:line="276"/>
      </w:pPr>
      <w:r>
        <w:rPr>
          <w:b/>
        </w:rPr>
        <w:t xml:space="preserve">摘要（ZH）: </w:t>
      </w:r>
      <w:r>
        <w:t>激光驱动的核反应在非平衡等离子体条件下进行，产生非麦克斯韦分布的离子能量分布。然而，此类实验中的聚变产率通常使用基于传统伽莫夫窗的有效热描述来解释。在这项工作中，我们开发了一个分析框架，用于评估由目标法向鞘加速（TNSA）机制加速的非热离子的核反应速率。使用自相似等离子体膨胀模型，我们推导了有效反应能量窗口和相应聚变反应性的闭合形式表达式。由此产生的有效能量与热模型预测的能量存在系统性差异，这表明基于激光驱动环境中传统伽莫夫窗的解释存在局限性。该框架为分析聚变产率和设计激光驱动核实验提供了定量基础。</w:t>
      </w:r>
    </w:p>
    <w:p>
      <w:pPr>
        <w:spacing w:before="0" w:after="200" w:lineRule="auto" w:line="276"/>
      </w:pPr>
      <w:r>
        <w:rPr>
          <w:b/>
        </w:rPr>
        <w:t xml:space="preserve">Abstract (EN): </w:t>
      </w:r>
      <w:r>
        <w:t>Laser-driven nuclear reactions proceed in non-equilibrium plasma conditions, producing ion energy distributions that are not Maxwellian. Nevertheless, fusion yields in such experiments are often interpreted using effective thermal descriptions based on the conventional Gamow window. In this work, we develop an analytical framework for evaluating nuclear reaction rates for non-thermal ions accelerated by the target normal sheath acceleration (TNSA) mechanism. Using a self-similar plasma expansion model, we derive a closed form expression for an effective reaction energy window and the corresponding fusion reactivity. The resulting effective energies differ systematically from those predicted by thermal models, indicating limitations of interpretations based on the conventional Gamow window in laser-driven environments. This framework provides a quantitative basis for analyzing fusion yields and for designing laser-driven nuclear experiments.</w:t>
      </w:r>
    </w:p>
    <w:p>
      <w:pPr>
        <w:spacing w:before="120" w:after="120"/>
      </w:pPr>
      <w:r>
        <w:rPr>
          <w:sz w:val="18"/>
        </w:rPr>
        <w:t>——————————————————————————————————————————————————————————————————————</w:t>
      </w:r>
    </w:p>
    <w:p>
      <w:pPr>
        <w:spacing w:before="160" w:after="40" w:line="240" w:lineRule="auto"/>
      </w:pPr>
      <w:r>
        <w:rPr>
          <w:b/>
        </w:rPr>
        <w:t xml:space="preserve">[7] </w:t>
      </w:r>
      <w:hyperlink r:id="rId245">
        <w:r>
          <w:rPr>
            <w:color w:val="1155CC"/>
            <w:u w:val="single"/>
          </w:rPr>
          <w:t>偶极子磁场结构边缘区域低频电涨落引起的向内粒子通量</w:t>
        </w:r>
      </w:hyperlink>
    </w:p>
    <w:p>
      <w:pPr>
        <w:spacing w:before="0" w:after="80"/>
      </w:pPr>
      <w:r>
        <w:rPr>
          <w:i/>
          <w:sz w:val="20"/>
        </w:rPr>
        <w:t>EN: Inward particle flux caused by low-frequency electric fluctuations in the edge region of dipole magnetic field configuration</w:t>
      </w:r>
    </w:p>
    <w:p>
      <w:pPr>
        <w:spacing w:before="0" w:after="120"/>
      </w:pPr>
      <w:r>
        <w:rPr>
          <w:b/>
        </w:rPr>
        <w:t xml:space="preserve">Source: </w:t>
      </w:r>
      <w:r>
        <w:t>Nuclear Fusion - latest papers</w:t>
      </w:r>
      <w:r>
        <w:t xml:space="preserve">    </w:t>
      </w:r>
      <w:r>
        <w:rPr>
          <w:b/>
        </w:rPr>
        <w:t xml:space="preserve">Pub date: </w:t>
      </w:r>
      <w:r>
        <w:t>2026-07-29 23:00:00+00:00</w:t>
      </w:r>
      <w:r>
        <w:t xml:space="preserve">    </w:t>
      </w:r>
      <w:r>
        <w:rPr>
          <w:b/>
        </w:rPr>
        <w:t xml:space="preserve">DOI: </w:t>
      </w:r>
      <w:hyperlink r:id="rId246">
        <w:r>
          <w:rPr>
            <w:color w:val="1155CC"/>
            <w:u w:val="single"/>
          </w:rPr>
          <w:t>10.1088/1741-4326/ae855d</w:t>
        </w:r>
      </w:hyperlink>
    </w:p>
    <w:p>
      <w:pPr>
        <w:spacing w:before="0" w:after="120"/>
      </w:pPr>
      <w:r>
        <w:rPr>
          <w:b/>
        </w:rPr>
        <w:t xml:space="preserve">Notes: </w:t>
      </w:r>
      <w:r>
        <w:t>abstract_source=rss_description</w:t>
      </w:r>
    </w:p>
    <w:p>
      <w:pPr>
        <w:spacing w:before="0" w:after="80" w:lineRule="auto" w:line="276"/>
      </w:pPr>
      <w:r>
        <w:rPr>
          <w:b/>
        </w:rPr>
        <w:t xml:space="preserve">摘要（ZH）: </w:t>
      </w:r>
      <w:r>
        <w:t>我们报告了悬浮偶极子装置 RT-1 中与低频波动相关的向内粒子传输的实验证据。在伴随偶极子磁场中峰值高结构形成的低频波动发生期间，使用静电探针的多点测量检测到环形分量的电场波动。对电子密度和电场波动的同时测量表明，这些波动驱动稳定的向内粒子通量流向强磁场侧。</w:t>
      </w:r>
    </w:p>
    <w:p>
      <w:pPr>
        <w:spacing w:before="0" w:after="200" w:lineRule="auto" w:line="276"/>
      </w:pPr>
      <w:r>
        <w:rPr>
          <w:b/>
        </w:rPr>
        <w:t xml:space="preserve">Abstract (EN): </w:t>
      </w:r>
      <w:r>
        <w:t>We report experimental evidence of inward particle transport associated with low frequency fluctuations in the levitated dipole device RT-1. During the occurrence of the low frequency fluctuations that accompany the formation of peaked high- structures in the dipole magnetic field, multi-point measurements with electrostatic probes detected electric field fluctuations with a toroidal component. Simultaneous measurements of electron density and electric field fluctuations show that these fluctuations drive a steady inward particle flux toward the strong magnetic field side.</w:t>
      </w:r>
    </w:p>
    <w:p>
      <w:pPr>
        <w:spacing w:before="120" w:after="120"/>
      </w:pPr>
      <w:r>
        <w:rPr>
          <w:sz w:val="18"/>
        </w:rPr>
        <w:t>——————————————————————————————————————————————————————————————————————</w:t>
      </w:r>
    </w:p>
    <w:p>
      <w:pPr>
        <w:spacing w:before="160" w:after="40" w:line="240" w:lineRule="auto"/>
      </w:pPr>
      <w:r>
        <w:rPr>
          <w:b/>
        </w:rPr>
        <w:t xml:space="preserve">[8] </w:t>
      </w:r>
      <w:hyperlink r:id="rId247">
        <w:r>
          <w:rPr>
            <w:color w:val="1155CC"/>
            <w:u w:val="single"/>
          </w:rPr>
          <w:t>刚果民主共和国出口的氢氧化钴中的铀</w:t>
        </w:r>
      </w:hyperlink>
    </w:p>
    <w:p>
      <w:pPr>
        <w:spacing w:before="0" w:after="80"/>
      </w:pPr>
      <w:r>
        <w:rPr>
          <w:i/>
          <w:sz w:val="20"/>
        </w:rPr>
        <w:t>EN: Uranium in cobalt-hydroxide exports from the Democratic Republic of the Congo</w:t>
      </w:r>
    </w:p>
    <w:p>
      <w:pPr>
        <w:spacing w:before="0" w:after="120"/>
      </w:pPr>
      <w:r>
        <w:rPr>
          <w:b/>
        </w:rPr>
        <w:t xml:space="preserve">Source: </w:t>
      </w:r>
      <w:r>
        <w:t>Earth and environmental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刚果民主共和国 (DRC) 的铜带矿区是世界上主要的钴产地，而钴是能源转型必不可少的金属。在该地区，铀与氧化钴矿石共生。尽管没有官方报告的铀产量，但我们表明铀是通过刚果民主共和国的钴供应链提取、浓缩和出口的。这一结论是根据钴和铀在湿法冶金回路中的共矿化、相似行为以及将铀划分为粗氢氧化钴（刚果民主共和国 95% 以上的产量的出口形式）得出的。我们将一阶结转模型与地质测绘、矿化和地球化学数据以及矿山级贸易记录（2000-2024）相结合来量化这些流量。我们估计有 2,000-5,000 吨天然铀以氢氧化钴的形式出口。这些材料中只有不到 10% 已公开声明并置于国际保障之下。此外，有 1,000-4,000 吨可能以易于移动的形式被丢弃到尾矿中，造成环境和健康风险。总之，这些发现确定了关键矿产供应链内核会计和环境监督方面存在巨大差距。</w:t>
      </w:r>
    </w:p>
    <w:p>
      <w:pPr>
        <w:spacing w:before="0" w:after="200" w:lineRule="auto" w:line="276"/>
      </w:pPr>
      <w:r>
        <w:rPr>
          <w:b/>
        </w:rPr>
        <w:t xml:space="preserve">Abstract (EN): </w:t>
      </w:r>
      <w:r>
        <w:t>The Democratic Republic of Congo (DRC)’s Copperbelt is the world’s leading source of cobalt, a metal essential to the energy transition. In this region, uranium co-occurs with oxidized cobalt ores. Despite no officially reported uranium production, we show that uranium is extracted, concentrated, and exported via the DRC cobalt supply chain. This conclusion follows from co-mineralization, similar behavior of cobalt and uranium in hydrometallurgical circuits, and the partitioning of uranium into crude cobalt hydroxide, the export form for over 95% of DRC production. We combine a first-order carryover model with geological mapping, mineralization and geochemical data, as well as mine-level trade records (2000–2024) to quantify these flows. We estimate 2,000–5,000 tonnes of natural uranium were exported embedded in cobalt-hydroxide shipments. Less than 10% of this material has been publicly declared and placed under international safeguards. In addition, 1,000–4,000 tonnes were likely discarded to tailings in easily-mobilized forms, posing environmental and health risks. Together, these findings identify a substantial gap in nuclear accountancy and environmental oversight within a critical mineral supply chain.</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212">
        <w:r>
          <w:rPr>
            <w:color w:val="1155CC"/>
            <w:u w:val="single"/>
          </w:rPr>
          <w:t>源负荷不确定性下基于燃料电池热电联产的综合能源系统的法学硕士驱动的自适应调度框架</w:t>
        </w:r>
      </w:hyperlink>
    </w:p>
    <w:p>
      <w:pPr>
        <w:spacing w:before="0" w:after="80"/>
      </w:pPr>
      <w:r>
        <w:rPr>
          <w:i/>
          <w:sz w:val="20"/>
        </w:rPr>
        <w:t>EN: An LLM-driven adaptive scheduling framework for fuel cell cogeneration-based integrated energy systems under source-load uncertainty</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213">
        <w:r>
          <w:rPr>
            <w:color w:val="1155CC"/>
            <w:u w:val="single"/>
          </w:rPr>
          <w:t>10.1016/j.apenergy.2026.128419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48">
        <w:r>
          <w:rPr>
            <w:color w:val="1155CC"/>
            <w:u w:val="single"/>
          </w:rPr>
          <w:t>在含水层驱动的储层中实现大规模地下储氢：综合技术和经济可行性</w:t>
        </w:r>
      </w:hyperlink>
    </w:p>
    <w:p>
      <w:pPr>
        <w:spacing w:before="0" w:after="80"/>
      </w:pPr>
      <w:r>
        <w:rPr>
          <w:i/>
          <w:sz w:val="20"/>
        </w:rPr>
        <w:t>EN: Enabling large-scale underground hydrogen storage in aquifer-driven reservoirs: Integrated technology and economic feasibility</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249">
        <w:r>
          <w:rPr>
            <w:color w:val="1155CC"/>
            <w:u w:val="single"/>
          </w:rPr>
          <w:t>10.1016/j.apenergy.2026.128476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250">
        <w:r>
          <w:rPr>
            <w:color w:val="1155CC"/>
            <w:u w:val="single"/>
          </w:rPr>
          <w:t>一种利用详细过程模型优化 power-to-X 能源系统运行的分解方法</w:t>
        </w:r>
      </w:hyperlink>
    </w:p>
    <w:p>
      <w:pPr>
        <w:spacing w:before="0" w:after="80"/>
      </w:pPr>
      <w:r>
        <w:rPr>
          <w:i/>
          <w:sz w:val="20"/>
        </w:rPr>
        <w:t>EN: A decomposition method for optimizing the operation of power-to-X energy systems with detailed process models</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251">
        <w:r>
          <w:rPr>
            <w:color w:val="1155CC"/>
            <w:u w:val="single"/>
          </w:rPr>
          <w:t>10.1016/j.apenergy.2026.128445</w:t>
        </w:r>
      </w:hyperlink>
    </w:p>
    <w:p>
      <w:pPr>
        <w:spacing w:before="0" w:after="120"/>
      </w:pPr>
      <w:r>
        <w:rPr>
          <w:b/>
        </w:rPr>
        <w:t xml:space="preserve">Notes: </w:t>
      </w:r>
      <w:r>
        <w:t>abstract_source=openalex</w:t>
      </w:r>
    </w:p>
    <w:p>
      <w:pPr>
        <w:spacing w:before="0" w:after="80" w:lineRule="auto" w:line="276"/>
      </w:pPr>
      <w:r>
        <w:rPr>
          <w:b/>
        </w:rPr>
        <w:t xml:space="preserve">摘要（ZH）: </w:t>
      </w:r>
      <w:r>
        <w:t>对可再生能源的日益依赖需要通过复杂的流程（例如 power-to-X）来扩展能源系统。由于这些过程的不同操作特性，相应的优化问题非常复杂，导致模型在计算上难以解决。为了解决这一计算挑战，这项工作提出了一种分解方法来解决具有详细过程模型的复杂能源系统的运行优化问题。该方法通过为每个过程合并一个代理模型，将原始优化问题分解为不同模型粒度级别的优化问题。该方法以以前专注于单个连续过程系统的工作为基础，扩展到处理多个和更复杂的过程系统。为此，我们引入了多阶段过程系统的代理建模方法，并针对操作优化问题开发了三种解决方法。该方法通过 PEM 电解槽、直接空气捕获装置和两个甲烷化过程的详细过程模型，用于最大限度地降低 power-to-X 能源系统的日常运营成本。所有三种解决方案的运营成本相当，但计算效率不同。最有效的解决方案可以在一小时内确定最佳运营策略。此外，敏感性研究评估了关键参数对方法性能的影响，证明了其稳健性和适应性。结果凸显了该提案的潜力</w:t>
      </w:r>
    </w:p>
    <w:p>
      <w:pPr>
        <w:spacing w:before="0" w:after="200" w:lineRule="auto" w:line="276"/>
      </w:pPr>
      <w:r>
        <w:rPr>
          <w:b/>
        </w:rPr>
        <w:t xml:space="preserve">Abstract (EN): </w:t>
      </w:r>
      <w:r>
        <w:t>The growing reliance on renewable energy necessitates extending energy systems with complex processes such as power-to-X. Due to the diverse operational characteristics of these processes, the corresponding optimization problems are highly complex and result in models that are computationally difficult to solve. To address this computational challenge, this work proposes a decomposition method to solve operational optimization problems for complex energy systems with detailed process models. The method decomposes the original optimization problem into optimization problems with different levels of model granularity by incorporating a surrogate model for each process. Building on prior work focusing on a single continuous process system, this method is expanded to handle multiple and more complex process systems. To this end, we introduce a surrogate modeling approach for multistage process systems and develop three solution approaches for the operational optimization problems. The method is applied to minimize the daily operational cost of a power-to-X energy system with detailed process models of a PEM electrolyzer, a direct air capture plant and two methanation processes. All three solution approaches yield comparable operational costs, but differ in computational efficiency. The most efficient solution approach identifies an optimal operational strategy in under one hour. Additionally, a sensitivity study evaluates the impact of key parameters on the performance of the method, demonstrating its robustness and adaptability. The results highlight the potential of the proposed method to efficiently optimize the operations of complex energy systems with detailed process models.</w:t>
      </w:r>
    </w:p>
    <w:p>
      <w:pPr>
        <w:spacing w:before="120" w:after="120"/>
      </w:pPr>
      <w:r>
        <w:rPr>
          <w:sz w:val="18"/>
        </w:rPr>
        <w:t>——————————————————————————————————————————————————————————————————————</w:t>
      </w:r>
    </w:p>
    <w:p>
      <w:pPr>
        <w:spacing w:before="160" w:after="40" w:line="240" w:lineRule="auto"/>
      </w:pPr>
      <w:r>
        <w:rPr>
          <w:b/>
        </w:rPr>
        <w:t xml:space="preserve">[4] </w:t>
      </w:r>
      <w:hyperlink r:id="rId252">
        <w:r>
          <w:rPr>
            <w:color w:val="1155CC"/>
            <w:u w:val="single"/>
          </w:rPr>
          <w:t>数字孪生可逆固体氧化物电池的实时模拟：基于机制模型和数据驱动方法的探索</w:t>
        </w:r>
      </w:hyperlink>
    </w:p>
    <w:p>
      <w:pPr>
        <w:spacing w:before="0" w:after="80"/>
      </w:pPr>
      <w:r>
        <w:rPr>
          <w:i/>
          <w:sz w:val="20"/>
        </w:rPr>
        <w:t>EN: Real-time simulation of reversible solid oxide cells for digital twins: exploration based on mechanism models and data-driven methods</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253">
        <w:r>
          <w:rPr>
            <w:color w:val="1155CC"/>
            <w:u w:val="single"/>
          </w:rPr>
          <w:t>10.1016/j.apenergy.2026.128462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254">
        <w:r>
          <w:rPr>
            <w:color w:val="1155CC"/>
            <w:u w:val="single"/>
          </w:rPr>
          <w:t>用 H2 热化学还原 CO2 生成甲醇的综述：重点是克服平衡限制</w:t>
        </w:r>
      </w:hyperlink>
    </w:p>
    <w:p>
      <w:pPr>
        <w:spacing w:before="0" w:after="80"/>
      </w:pPr>
      <w:r>
        <w:rPr>
          <w:i/>
          <w:sz w:val="20"/>
        </w:rPr>
        <w:t>EN: A review on thermochemical reduction of CO2 with H2 to methanol: focusing on overcoming equilibrium limitations</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255">
        <w:r>
          <w:rPr>
            <w:color w:val="1155CC"/>
            <w:u w:val="single"/>
          </w:rPr>
          <w:t>10.1016/j.apenergy.2026.128455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256">
        <w:r>
          <w:rPr>
            <w:color w:val="1155CC"/>
            <w:u w:val="single"/>
          </w:rPr>
          <w:t>通过电化学-磁集成实现 PEMFC 的负载不变和实时诊断</w:t>
        </w:r>
      </w:hyperlink>
    </w:p>
    <w:p>
      <w:pPr>
        <w:spacing w:before="0" w:after="80"/>
      </w:pPr>
      <w:r>
        <w:rPr>
          <w:i/>
          <w:sz w:val="20"/>
        </w:rPr>
        <w:t>EN: Load-invariant and real-time diagnostic for PEMFC via electrochemical-magnetic integration</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257">
        <w:r>
          <w:rPr>
            <w:color w:val="1155CC"/>
            <w:u w:val="single"/>
          </w:rPr>
          <w:t>10.1016/j.apenergy.2026.128411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258">
        <w:r>
          <w:rPr>
            <w:color w:val="1155CC"/>
            <w:u w:val="single"/>
          </w:rPr>
          <w:t>风力加氢站的可靠性约束随机选型</w:t>
        </w:r>
      </w:hyperlink>
    </w:p>
    <w:p>
      <w:pPr>
        <w:spacing w:before="0" w:after="80"/>
      </w:pPr>
      <w:r>
        <w:rPr>
          <w:i/>
          <w:sz w:val="20"/>
        </w:rPr>
        <w:t>EN: Reliability-constrained stochastic sizing of a wind-powered hydrogen refueling station</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259">
        <w:r>
          <w:rPr>
            <w:color w:val="1155CC"/>
            <w:u w:val="single"/>
          </w:rPr>
          <w:t>10.1016/j.apenergy.2026.128506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260">
        <w:r>
          <w:rPr>
            <w:color w:val="1155CC"/>
            <w:u w:val="single"/>
          </w:rPr>
          <w:t>用于水分解的自激活电催化剂：推进结构-性能理解及超越（Adv. Energy Mater. 28/2026）</w:t>
        </w:r>
      </w:hyperlink>
    </w:p>
    <w:p>
      <w:pPr>
        <w:spacing w:before="0" w:after="80"/>
      </w:pPr>
      <w:r>
        <w:rPr>
          <w:i/>
          <w:sz w:val="20"/>
        </w:rPr>
        <w:t>EN: Self‐Activating Electrocatalysts for Water Splitting: Advancing Structure–Performance Understanding and Beyond (Adv. Energy Mater. 28/2026)</w:t>
      </w:r>
    </w:p>
    <w:p>
      <w:pPr>
        <w:spacing w:before="0" w:after="120"/>
      </w:pPr>
      <w:r>
        <w:rPr>
          <w:b/>
        </w:rPr>
        <w:t xml:space="preserve">Source: </w:t>
      </w:r>
      <w:r>
        <w:t>Wiley: Advanced Energy Materials: Table of Contents</w:t>
      </w:r>
      <w:r>
        <w:t xml:space="preserve">    </w:t>
      </w:r>
      <w:r>
        <w:rPr>
          <w:b/>
        </w:rPr>
        <w:t xml:space="preserve">Pub date: </w:t>
      </w:r>
      <w:r>
        <w:t>2026-07-24 07:00:00+00:00</w:t>
      </w:r>
      <w:r>
        <w:t xml:space="preserve">    </w:t>
      </w:r>
      <w:r>
        <w:rPr>
          <w:b/>
        </w:rPr>
        <w:t xml:space="preserve">DOI: </w:t>
      </w:r>
      <w:hyperlink r:id="rId261">
        <w:r>
          <w:rPr>
            <w:color w:val="1155CC"/>
            <w:u w:val="single"/>
          </w:rPr>
          <w:t>10.1002/aenm.71190</w:t>
        </w:r>
      </w:hyperlink>
    </w:p>
    <w:p>
      <w:pPr>
        <w:spacing w:before="0" w:after="120"/>
      </w:pPr>
      <w:r>
        <w:rPr>
          <w:b/>
        </w:rPr>
        <w:t xml:space="preserve">Notes: </w:t>
      </w:r>
      <w:r>
        <w:t>abstract_source=openalex</w:t>
      </w:r>
    </w:p>
    <w:p>
      <w:pPr>
        <w:spacing w:before="0" w:after="80" w:lineRule="auto" w:line="276"/>
      </w:pPr>
      <w:r>
        <w:rPr>
          <w:b/>
        </w:rPr>
        <w:t xml:space="preserve">摘要（ZH）: </w:t>
      </w:r>
      <w:r>
        <w:t>自激活电催化剂由于其在操作条件下的动态组成和结构演化，自激活电催化剂在高级水分解方面具有广阔的前景。在编号为 e06766 的文章中，Dandan Gao 及其同事重点介绍了析氧反应和析氢反应自激活催化剂的最新进展，特别关注控制其适应性行为的驱动力和机制。</w:t>
      </w:r>
    </w:p>
    <w:p>
      <w:pPr>
        <w:spacing w:before="0" w:after="200" w:lineRule="auto" w:line="276"/>
      </w:pPr>
      <w:r>
        <w:rPr>
          <w:b/>
        </w:rPr>
        <w:t xml:space="preserve">Abstract (EN): </w:t>
      </w:r>
      <w:r>
        <w:t>Self-Activating Electrocatalysts Self-activating electrocatalysts hold great promise for advanced water splitting owing to their dynamic compositional and structural evolution under operating conditions. In article number e06766, Dandan Gao and co-workers highlight recent advances in self-activating catalysts for both oxygen evolution reaction and hydrogen evolution reaction, with a particular focus on the driving forces and mechanisms governing their adaptive behaviour.</w:t>
      </w:r>
    </w:p>
    <w:p>
      <w:pPr>
        <w:spacing w:before="120" w:after="120"/>
      </w:pPr>
      <w:r>
        <w:rPr>
          <w:sz w:val="18"/>
        </w:rPr>
        <w:t>——————————————————————————————————————————————————————————————————————</w:t>
      </w:r>
    </w:p>
    <w:p>
      <w:pPr>
        <w:spacing w:before="160" w:after="40" w:line="240" w:lineRule="auto"/>
      </w:pPr>
      <w:r>
        <w:rPr>
          <w:b/>
        </w:rPr>
        <w:t xml:space="preserve">[9] </w:t>
      </w:r>
      <w:hyperlink r:id="rId262">
        <w:r>
          <w:rPr>
            <w:color w:val="1155CC"/>
            <w:u w:val="single"/>
          </w:rPr>
          <w:t>用于增强析氧催化的自组装Ag/NiO-钙钛矿多相复合催化剂</w:t>
        </w:r>
      </w:hyperlink>
    </w:p>
    <w:p>
      <w:pPr>
        <w:spacing w:before="0" w:after="80"/>
      </w:pPr>
      <w:r>
        <w:rPr>
          <w:i/>
          <w:sz w:val="20"/>
        </w:rPr>
        <w:t>EN: Self‐Assembled Ag/NiO‐Perovskite Multiphase Composite Catalyst for Enhanced Oxygen Evolution Catalysis</w:t>
      </w:r>
    </w:p>
    <w:p>
      <w:pPr>
        <w:spacing w:before="0" w:after="120"/>
      </w:pPr>
      <w:r>
        <w:rPr>
          <w:b/>
        </w:rPr>
        <w:t xml:space="preserve">Source: </w:t>
      </w:r>
      <w:r>
        <w:t>Wiley: Advanced Energy Materials: Table of Contents</w:t>
      </w:r>
      <w:r>
        <w:t xml:space="preserve">    </w:t>
      </w:r>
      <w:r>
        <w:rPr>
          <w:b/>
        </w:rPr>
        <w:t xml:space="preserve">Pub date: </w:t>
      </w:r>
      <w:r>
        <w:t>2026-07-24 07:27:17+00:00</w:t>
      </w:r>
      <w:r>
        <w:t xml:space="preserve">    </w:t>
      </w:r>
      <w:r>
        <w:rPr>
          <w:b/>
        </w:rPr>
        <w:t xml:space="preserve">DOI: </w:t>
      </w:r>
      <w:hyperlink r:id="rId263">
        <w:r>
          <w:rPr>
            <w:color w:val="1155CC"/>
            <w:u w:val="single"/>
          </w:rPr>
          <w:t>10.1002/aenm.71331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开发平衡高活性和长期耐久性的析氧反应（OER）催化剂仍然是碱性水电解的一个关键挑战。在此，我们报道了一种由标称 Sr 衍生的钙钛矿为主的 Ag/NiO 多相复合催化剂</w:t>
      </w:r>
      <w:r>
        <w:t xml:space="preserve"> </w:t>
      </w:r>
      <w:r>
        <w:t>0.8</w:t>
      </w:r>
      <w:r>
        <w:t xml:space="preserve"> </w:t>
      </w:r>
      <w:r>
        <w:t>银</w:t>
      </w:r>
      <w:r>
        <w:t xml:space="preserve"> </w:t>
      </w:r>
      <w:r>
        <w:t>0.2</w:t>
      </w:r>
      <w:r>
        <w:t xml:space="preserve"> </w:t>
      </w:r>
      <w:r>
        <w:t>钴</w:t>
      </w:r>
      <w:r>
        <w:t xml:space="preserve"> </w:t>
      </w:r>
      <w:r>
        <w:t>0.6</w:t>
      </w:r>
      <w:r>
        <w:t xml:space="preserve"> </w:t>
      </w:r>
      <w:r>
        <w:t>铁</w:t>
      </w:r>
      <w:r>
        <w:t xml:space="preserve"> </w:t>
      </w:r>
      <w:r>
        <w:t>0.2</w:t>
      </w:r>
      <w:r>
        <w:t xml:space="preserve"> </w:t>
      </w:r>
      <w:r>
        <w:t>氮</w:t>
      </w:r>
      <w:r>
        <w:t xml:space="preserve"> </w:t>
      </w:r>
      <w:r>
        <w:t>i0.2</w:t>
      </w:r>
      <w:r>
        <w:t xml:space="preserve"> </w:t>
      </w:r>
      <w:r>
        <w:t>氧</w:t>
      </w:r>
      <w:r>
        <w:t xml:space="preserve"> </w:t>
      </w:r>
      <w:r>
        <w:t>3-δ</w:t>
      </w:r>
      <w:r>
        <w:t xml:space="preserve"> </w:t>
      </w:r>
      <w:r>
        <w:t>(SACFN2)，其特点是通过自驱动晶格重构在富含缺陷的钙钛矿基质上原位偏析Ag和NiO纳米相。 A位点Ag</w:t>
      </w:r>
      <w:r>
        <w:t xml:space="preserve"> </w:t>
      </w:r>
      <w:r>
        <w:t>+</w:t>
      </w:r>
      <w:r>
        <w:t xml:space="preserve"> </w:t>
      </w:r>
      <w:r>
        <w:t>出溶会产生氧空位和晶格畸变，促进 B 位 Ni 迁移和表面 NiO 偏析。在OER条件下，NiO纳米相重构为NiOOH/(Ni,Co,Fe)O(OH)类活性物质，而含Ag域促进电荷重新分布并稳定Ag/NiO-钙钛矿界面。 SACFN2 在 10 mA cm 时实现 231 mV 的过电势</w:t>
      </w:r>
      <w:r>
        <w:t xml:space="preserve"> </w:t>
      </w:r>
      <w:r>
        <w:t>−2</w:t>
      </w:r>
      <w:r>
        <w:t xml:space="preserve"> </w:t>
      </w:r>
      <w:r>
        <w:t>，塔菲尔斜率为 51.28 mV dec</w:t>
      </w:r>
      <w:r>
        <w:t xml:space="preserve"> </w:t>
      </w:r>
      <w:r>
        <w:t>−1</w:t>
      </w:r>
      <w:r>
        <w:t xml:space="preserve"> </w:t>
      </w:r>
      <w:r>
        <w:t>，并在 100 mA cm 下持续运行超过 1000 小时</w:t>
      </w:r>
      <w:r>
        <w:t xml:space="preserve"> </w:t>
      </w:r>
      <w:r>
        <w:t>−2</w:t>
      </w:r>
      <w:r>
        <w:t xml:space="preserve"> </w:t>
      </w:r>
      <w:r>
        <w:t>。此外，以 SACFN2 作为阳极、Pt/C 作为阴极的阴离子交换膜水电解槽 (AEMWE) 测试表明，在 500 mA cm 下可稳定长期运行</w:t>
      </w:r>
      <w:r>
        <w:t xml:space="preserve"> </w:t>
      </w:r>
      <w:r>
        <w:t>−2</w:t>
      </w:r>
      <w:r>
        <w:t xml:space="preserve"> </w:t>
      </w:r>
      <w:r>
        <w:t>为了</w:t>
      </w:r>
    </w:p>
    <w:p>
      <w:pPr>
        <w:spacing w:before="0" w:after="200" w:lineRule="auto" w:line="276"/>
      </w:pPr>
      <w:r>
        <w:rPr>
          <w:b/>
        </w:rPr>
        <w:t xml:space="preserve">Abstract (EN): </w:t>
      </w:r>
      <w:r>
        <w:t>Developing oxygen evolution reaction (OER) catalysts that balance high activity and long‐term durability remains a key challenge for alkaline water electrolysis. Herein, we report a perovskite‐dominant Ag/NiO multiphase composite catalyst derived from nominal Sr</w:t>
      </w:r>
      <w:r>
        <w:t xml:space="preserve"> </w:t>
      </w:r>
      <w:r>
        <w:t>0.8</w:t>
      </w:r>
      <w:r>
        <w:t xml:space="preserve"> </w:t>
      </w:r>
      <w:r>
        <w:t>Ag</w:t>
      </w:r>
      <w:r>
        <w:t xml:space="preserve"> </w:t>
      </w:r>
      <w:r>
        <w:t>0.2</w:t>
      </w:r>
      <w:r>
        <w:t xml:space="preserve"> </w:t>
      </w:r>
      <w:r>
        <w:t>Co</w:t>
      </w:r>
      <w:r>
        <w:t xml:space="preserve"> </w:t>
      </w:r>
      <w:r>
        <w:t>0.6</w:t>
      </w:r>
      <w:r>
        <w:t xml:space="preserve"> </w:t>
      </w:r>
      <w:r>
        <w:t>Fe</w:t>
      </w:r>
      <w:r>
        <w:t xml:space="preserve"> </w:t>
      </w:r>
      <w:r>
        <w:t>0.2</w:t>
      </w:r>
      <w:r>
        <w:t xml:space="preserve"> </w:t>
      </w:r>
      <w:r>
        <w:t>N</w:t>
      </w:r>
      <w:r>
        <w:t xml:space="preserve"> </w:t>
      </w:r>
      <w:r>
        <w:t>i0.2</w:t>
      </w:r>
      <w:r>
        <w:t xml:space="preserve"> </w:t>
      </w:r>
      <w:r>
        <w:t>O</w:t>
      </w:r>
      <w:r>
        <w:t xml:space="preserve"> </w:t>
      </w:r>
      <w:r>
        <w:t>3‐δ</w:t>
      </w:r>
      <w:r>
        <w:t xml:space="preserve"> </w:t>
      </w:r>
      <w:r>
        <w:t>(SACFN2), featuring in situ segregation of Ag and NiO nanophases on a defect‐rich perovskite matrix through self‐driven lattice reconstruction. A‐site Ag</w:t>
      </w:r>
      <w:r>
        <w:t xml:space="preserve"> </w:t>
      </w:r>
      <w:r>
        <w:t>+</w:t>
      </w:r>
      <w:r>
        <w:t xml:space="preserve"> </w:t>
      </w:r>
      <w:r>
        <w:t>exsolution creates oxygen vacancies and lattice distortion, facilitating B‐site Ni migration and surface NiO segregation. Under OER conditions, NiO nanophases reconstruct toward NiOOH/(Ni,Co,Fe)O(OH)‐like active species, while Ag‐containing domains promote charge redistribution and stabilize the Ag/NiO–perovskite interface. SACFN2 achieves an overpotential of 231 mV at 10 mA cm</w:t>
      </w:r>
      <w:r>
        <w:t xml:space="preserve"> </w:t>
      </w:r>
      <w:r>
        <w:t>−2</w:t>
      </w:r>
      <w:r>
        <w:t xml:space="preserve"> </w:t>
      </w:r>
      <w:r>
        <w:t>, a Tafel slope of 51.28 mV dec</w:t>
      </w:r>
      <w:r>
        <w:t xml:space="preserve"> </w:t>
      </w:r>
      <w:r>
        <w:t>−1</w:t>
      </w:r>
      <w:r>
        <w:t xml:space="preserve"> </w:t>
      </w:r>
      <w:r>
        <w:t>, and sustained operation over 1000 h at 100 mA cm</w:t>
      </w:r>
      <w:r>
        <w:t xml:space="preserve"> </w:t>
      </w:r>
      <w:r>
        <w:t>−2</w:t>
      </w:r>
      <w:r>
        <w:t xml:space="preserve"> </w:t>
      </w:r>
      <w:r>
        <w:t>. Furthermore, anion exchange membrane water electrolyzer (AEMWE) testing with SACFN2 as the anode and Pt/C as the cathode demonstrates stable long‐term operation at 500 mA cm</w:t>
      </w:r>
      <w:r>
        <w:t xml:space="preserve"> </w:t>
      </w:r>
      <w:r>
        <w:t>−2</w:t>
      </w:r>
      <w:r>
        <w:t xml:space="preserve"> </w:t>
      </w:r>
      <w:r>
        <w:t>for 1000 h, with only a 54 mV voltage increase. Structural analyses confirm a stable Ag/NiO–perovskite composite interface and oxygen‐deficient lattice framework, demonstrating the value of perovskite‐based multiphase interface and defect engineering for alkaline OER catalysis.</w:t>
      </w:r>
    </w:p>
    <w:p>
      <w:pPr>
        <w:spacing w:before="120" w:after="120"/>
      </w:pPr>
      <w:r>
        <w:rPr>
          <w:sz w:val="18"/>
        </w:rPr>
        <w:t>——————————————————————————————————————————————————————————————————————</w:t>
      </w:r>
    </w:p>
    <w:p>
      <w:pPr>
        <w:spacing w:before="160" w:after="40" w:line="240" w:lineRule="auto"/>
      </w:pPr>
      <w:r>
        <w:rPr>
          <w:b/>
        </w:rPr>
        <w:t xml:space="preserve">[10] </w:t>
      </w:r>
      <w:hyperlink r:id="rId264">
        <w:r>
          <w:rPr>
            <w:color w:val="1155CC"/>
            <w:u w:val="single"/>
          </w:rPr>
          <w:t>用于选择性一氧化氮到氨电还原的碳限制 Fe3C/Fe3N Janus 界面</w:t>
        </w:r>
      </w:hyperlink>
    </w:p>
    <w:p>
      <w:pPr>
        <w:spacing w:before="0" w:after="80"/>
      </w:pPr>
      <w:r>
        <w:rPr>
          <w:i/>
          <w:sz w:val="20"/>
        </w:rPr>
        <w:t>EN: Carbon‐Confined Fe3C/Fe3N Janus Interfaces for Selective Nitric Oxide‐to‐Ammonia Electroreduction</w:t>
      </w:r>
    </w:p>
    <w:p>
      <w:pPr>
        <w:spacing w:before="0" w:after="120"/>
      </w:pPr>
      <w:r>
        <w:rPr>
          <w:b/>
        </w:rPr>
        <w:t xml:space="preserve">Source: </w:t>
      </w:r>
      <w:r>
        <w:t>Wiley: Angewandte Chemie International Edition: Table of Contents</w:t>
      </w:r>
      <w:r>
        <w:t xml:space="preserve">    </w:t>
      </w:r>
      <w:r>
        <w:rPr>
          <w:b/>
        </w:rPr>
        <w:t xml:space="preserve">Pub date: </w:t>
      </w:r>
      <w:r>
        <w:t>2026-07-24 10:32:54+00:00</w:t>
      </w:r>
      <w:r>
        <w:t xml:space="preserve">    </w:t>
      </w:r>
      <w:r>
        <w:rPr>
          <w:b/>
        </w:rPr>
        <w:t xml:space="preserve">DOI: </w:t>
      </w:r>
      <w:hyperlink r:id="rId265">
        <w:r>
          <w:rPr>
            <w:color w:val="1155CC"/>
            <w:u w:val="single"/>
          </w:rPr>
          <w:t>10.1002/anie.1030679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电催化一氧化氮还原为氨将污染物增值与可持续的氮转化结合起来，但高活性和选择性需要同时控制气-液-固界面的NO传输、NO活化和氢化。在这里，我们报道了一种自支撑、不含贵金属的 Fe</w:t>
      </w:r>
      <w:r>
        <w:rPr>
          <w:vertAlign w:val="subscript"/>
        </w:rPr>
        <w:t>3</w:t>
      </w:r>
      <w:r>
        <w:t>碳/铁</w:t>
      </w:r>
      <w:r>
        <w:rPr>
          <w:vertAlign w:val="subscript"/>
        </w:rPr>
        <w:t>3</w:t>
      </w:r>
      <w:r>
        <w:t>N@C催化剂，由地球丰富的Fe、C和N组成，具有富含缺陷的Fe</w:t>
      </w:r>
      <w:r>
        <w:rPr>
          <w:vertAlign w:val="subscript"/>
        </w:rPr>
        <w:t>3</w:t>
      </w:r>
      <w:r>
        <w:t>碳/铁</w:t>
      </w:r>
      <w:r>
        <w:rPr>
          <w:vertAlign w:val="subscript"/>
        </w:rPr>
        <w:t>3</w:t>
      </w:r>
      <w:r>
        <w:t>N Janus 纳米结构限制在石墨碳内。该催化剂实现了NH</w:t>
      </w:r>
      <w:r>
        <w:rPr>
          <w:vertAlign w:val="subscript"/>
        </w:rPr>
        <w:t>3</w:t>
      </w:r>
      <w:r>
        <w:t>产率为 468.3 µmol h</w:t>
      </w:r>
      <w:r>
        <w:t xml:space="preserve"> </w:t>
      </w:r>
      <w:r>
        <w:t>−1</w:t>
      </w:r>
      <w:r>
        <w:t xml:space="preserve"> </w:t>
      </w:r>
      <w:r>
        <w:t>厘米</w:t>
      </w:r>
      <w:r>
        <w:t xml:space="preserve"> </w:t>
      </w:r>
      <w:r>
        <w:t>−2</w:t>
      </w:r>
      <w:r>
        <w:t xml:space="preserve"> </w:t>
      </w:r>
      <w:r>
        <w:t>与 RHE 相比，在 -0.6 V 时法拉第效率为 94.2%，使其成为报道的最高效的 NORR 电催化剂之一。机理研究表明，石墨碳壳通过减轻氢键水网络施加的空间和动态约束来促进 NO 扩散。在 Janus 界面上，Fe</w:t>
      </w:r>
      <w:r>
        <w:rPr>
          <w:vertAlign w:val="subscript"/>
        </w:rPr>
        <w:t>3</w:t>
      </w:r>
      <w:r>
        <w:t>C位优先吸附并激活NO，而富含氮空位的Fe</w:t>
      </w:r>
      <w:r>
        <w:rPr>
          <w:vertAlign w:val="subscript"/>
        </w:rPr>
        <w:t>3</w:t>
      </w:r>
      <w:r>
        <w:t>N位点促进H</w:t>
      </w:r>
      <w:r>
        <w:rPr>
          <w:vertAlign w:val="subscript"/>
        </w:rPr>
        <w:t>2</w:t>
      </w:r>
      <w:r>
        <w:t>O解离为随后的氢化提供反应性*H。这种传质促进、NO 活化和界面 *H 生成的空间耦合使效率得以提高</w:t>
      </w:r>
    </w:p>
    <w:p>
      <w:pPr>
        <w:spacing w:before="0" w:after="200" w:lineRule="auto" w:line="276"/>
      </w:pPr>
      <w:r>
        <w:rPr>
          <w:b/>
        </w:rPr>
        <w:t xml:space="preserve">Abstract (EN): </w:t>
      </w:r>
      <w:r>
        <w:t>Electrocatalytic nitric oxide reduction to ammonia couples pollutant valorization with sustainable nitrogen conversion, but high activity and selectivity require concurrent control of NO transport, NO activation, and hydrogenation at the gas‐liquid‐solid interface. Here, we report a self‐supported, noble‐metal‐free Fe</w:t>
      </w:r>
      <w:r>
        <w:rPr>
          <w:vertAlign w:val="subscript"/>
        </w:rPr>
        <w:t>3</w:t>
      </w:r>
      <w:r>
        <w:t>C/Fe</w:t>
      </w:r>
      <w:r>
        <w:rPr>
          <w:vertAlign w:val="subscript"/>
        </w:rPr>
        <w:t>3</w:t>
      </w:r>
      <w:r>
        <w:t>N@C catalyst, composed of earth‐abundant Fe, C, and N, featuring defect‐rich Fe</w:t>
      </w:r>
      <w:r>
        <w:rPr>
          <w:vertAlign w:val="subscript"/>
        </w:rPr>
        <w:t>3</w:t>
      </w:r>
      <w:r>
        <w:t>C/Fe</w:t>
      </w:r>
      <w:r>
        <w:rPr>
          <w:vertAlign w:val="subscript"/>
        </w:rPr>
        <w:t>3</w:t>
      </w:r>
      <w:r>
        <w:t>N Janus nanostructures confined within graphitic carbon. The catalyst achieves an NH</w:t>
      </w:r>
      <w:r>
        <w:rPr>
          <w:vertAlign w:val="subscript"/>
        </w:rPr>
        <w:t>3</w:t>
      </w:r>
      <w:r>
        <w:t>yield rate of 468.3 µmol h</w:t>
      </w:r>
      <w:r>
        <w:t xml:space="preserve"> </w:t>
      </w:r>
      <w:r>
        <w:t>−1</w:t>
      </w:r>
      <w:r>
        <w:t xml:space="preserve"> </w:t>
      </w:r>
      <w:r>
        <w:t>cm</w:t>
      </w:r>
      <w:r>
        <w:t xml:space="preserve"> </w:t>
      </w:r>
      <w:r>
        <w:t>−2</w:t>
      </w:r>
      <w:r>
        <w:t xml:space="preserve"> </w:t>
      </w:r>
      <w:r>
        <w:t>with a Faradaic efficiency of 94.2% at −0.6 V versus RHE, placing it among the most efficient reported NORR electrocatalysts. Mechanistic studies reveal that the graphitic carbon shell facilitates NO diffusion by alleviating the steric and dynamic constraints imposed by the hydrogen‐bonded water network. At the Janus interface, Fe</w:t>
      </w:r>
      <w:r>
        <w:rPr>
          <w:vertAlign w:val="subscript"/>
        </w:rPr>
        <w:t>3</w:t>
      </w:r>
      <w:r>
        <w:t>C sites preferentially adsorb and activate NO, whereas nitrogen‐vacancy‐rich Fe</w:t>
      </w:r>
      <w:r>
        <w:rPr>
          <w:vertAlign w:val="subscript"/>
        </w:rPr>
        <w:t>3</w:t>
      </w:r>
      <w:r>
        <w:t>N sites promote H</w:t>
      </w:r>
      <w:r>
        <w:rPr>
          <w:vertAlign w:val="subscript"/>
        </w:rPr>
        <w:t>2</w:t>
      </w:r>
      <w:r>
        <w:t>O dissociation to supply reactive *H for subsequent hydrogenation. This spatial coupling of mass‐transfer promotion, NO activation, and interfacial *H generation enables efficient and selective NO‐to‐NH</w:t>
      </w:r>
      <w:r>
        <w:rPr>
          <w:vertAlign w:val="subscript"/>
        </w:rPr>
        <w:t>3</w:t>
      </w:r>
      <w:r>
        <w:t>electroreduction. These findings establish carbon‐confined, earth‐abundant carbide/nitride Janus interfaces as a promising design principle for high‐performance NORR catalysts.</w:t>
      </w:r>
    </w:p>
    <w:p>
      <w:pPr>
        <w:spacing w:before="120" w:after="120"/>
      </w:pPr>
      <w:r>
        <w:rPr>
          <w:sz w:val="18"/>
        </w:rPr>
        <w:t>——————————————————————————————————————————————————————————————————————</w:t>
      </w:r>
    </w:p>
    <w:p>
      <w:pPr>
        <w:spacing w:before="160" w:after="40" w:line="240" w:lineRule="auto"/>
      </w:pPr>
      <w:r>
        <w:rPr>
          <w:b/>
        </w:rPr>
        <w:t xml:space="preserve">[11] </w:t>
      </w:r>
      <w:hyperlink r:id="rId266">
        <w:r>
          <w:rPr>
            <w:color w:val="1155CC"/>
            <w:u w:val="single"/>
          </w:rPr>
          <w:t>双路易斯酸位点实现抗钝化硫氧化耦合析氢反应</w:t>
        </w:r>
      </w:hyperlink>
    </w:p>
    <w:p>
      <w:pPr>
        <w:spacing w:before="0" w:after="80"/>
      </w:pPr>
      <w:r>
        <w:rPr>
          <w:i/>
          <w:sz w:val="20"/>
        </w:rPr>
        <w:t>EN: Dual Lewis Acid Sites Enabling Passivation‐Resistant Sulfur Oxidation Coupled Hydrogen Evolution Reaction</w:t>
      </w:r>
    </w:p>
    <w:p>
      <w:pPr>
        <w:spacing w:before="0" w:after="120"/>
      </w:pPr>
      <w:r>
        <w:rPr>
          <w:b/>
        </w:rPr>
        <w:t xml:space="preserve">Source: </w:t>
      </w:r>
      <w:r>
        <w:t>Wiley: Angewandte Chemie International Edition: Table of Contents</w:t>
      </w:r>
      <w:r>
        <w:t xml:space="preserve">    </w:t>
      </w:r>
      <w:r>
        <w:rPr>
          <w:b/>
        </w:rPr>
        <w:t xml:space="preserve">Pub date: </w:t>
      </w:r>
      <w:r>
        <w:t>2026-07-24 10:37:40+00:00</w:t>
      </w:r>
      <w:r>
        <w:t xml:space="preserve">    </w:t>
      </w:r>
      <w:r>
        <w:rPr>
          <w:b/>
        </w:rPr>
        <w:t xml:space="preserve">DOI: </w:t>
      </w:r>
      <w:hyperlink r:id="rId267">
        <w:r>
          <w:rPr>
            <w:color w:val="1155CC"/>
            <w:u w:val="single"/>
          </w:rPr>
          <w:t>10.1002/anie.9794796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化物氧化反应（SOR）与析氢反应（HER）的耦合是节能制氢和含硫化物废水处理的一种有前途的方法。然而，过渡金属基催化剂在高电流密度下存在动力学缓慢和硫钝化的问题。在此，锚定在镍表面上的氧配位铱单原子（Ir</w:t>
      </w:r>
      <w:r>
        <w:rPr>
          <w:vertAlign w:val="subscript"/>
        </w:rPr>
        <w:t>1</w:t>
      </w:r>
      <w:r>
        <w:t>O-Ni/C）旨在产生相邻的双路易斯酸位点，从而构建物种选择性催化表面。机理分析表明，双路易斯酸位点使界面水极化，重建氢键网络以促进水供应并增强其对HER的解离，而强路易斯酸碱相互作用加速了SOR过程中硫离子的吸附和转化。同时，缺电子的Ni缓解了中性S的过度吸附</w:t>
      </w:r>
      <w:r>
        <w:rPr>
          <w:vertAlign w:val="subscript"/>
        </w:rPr>
        <w:t>8</w:t>
      </w:r>
      <w:r>
        <w:t>*和H*，从而抑制硫积累并加速氢释放。优化的红外</w:t>
      </w:r>
      <w:r>
        <w:rPr>
          <w:vertAlign w:val="subscript"/>
        </w:rPr>
        <w:t>1</w:t>
      </w:r>
      <w:r>
        <w:t>O-Ni/C催化剂的电流密度达到1 A cm</w:t>
      </w:r>
      <w:r>
        <w:t xml:space="preserve"> </w:t>
      </w:r>
      <w:r>
        <w:t>−2</w:t>
      </w:r>
      <w:r>
        <w:t xml:space="preserve"> </w:t>
      </w:r>
      <w:r>
        <w:t>HER 的过电位为 280 mV，仅需要 0.67 V 即可提供 500 mA cm</w:t>
      </w:r>
      <w:r>
        <w:t xml:space="preserve"> </w:t>
      </w:r>
      <w:r>
        <w:t>−2</w:t>
      </w:r>
      <w:r>
        <w:t xml:space="preserve"> </w:t>
      </w:r>
      <w:r>
        <w:t>用于 SOR，流通池稳定运行超过 50 小时。 Ru/Pt 证明了该方法的多功能性</w:t>
      </w:r>
      <w:r>
        <w:t xml:space="preserve"> </w:t>
      </w:r>
      <w:r>
        <w:t>x</w:t>
      </w:r>
      <w:r>
        <w:t xml:space="preserve"> </w:t>
      </w:r>
      <w:r>
        <w:t>O-Ni/C，均显示</w:t>
      </w:r>
    </w:p>
    <w:p>
      <w:pPr>
        <w:spacing w:before="0" w:after="200" w:lineRule="auto" w:line="276"/>
      </w:pPr>
      <w:r>
        <w:rPr>
          <w:b/>
        </w:rPr>
        <w:t xml:space="preserve">Abstract (EN): </w:t>
      </w:r>
      <w:r>
        <w:t>The coupling of the sulfide oxidation reaction (SOR) with the hydrogen evolution reaction (HER) is a promising approach for energy‐saving hydrogen production and sulfide‐containing wastewater treatment. However, transition metal‐based catalysts suffer from sluggish kinetics and sulfur passivation at high current densities. Herein, an oxygen‐coordinated iridium single‐atom anchored on a nickel surface (Ir</w:t>
      </w:r>
      <w:r>
        <w:rPr>
          <w:vertAlign w:val="subscript"/>
        </w:rPr>
        <w:t>1</w:t>
      </w:r>
      <w:r>
        <w:t>O‐Ni/C) is designed to generate adjacent dual Lewis‐acid sites, thereby constructing a species‐selective catalytic surface. Mechanistic analysis reveals that the dual Lewis acid sites polarize interfacial water, reconstructing hydrogen bonding networks to promote water supply and enhancing their dissociation for HER, while strong Lewis acid−base interactions expedite the adsorption and conversion of sulfide ions during SOR. Meanwhile, the electron‐deficient Ni alleviates the excessive adsorption of neutral S</w:t>
      </w:r>
      <w:r>
        <w:rPr>
          <w:vertAlign w:val="subscript"/>
        </w:rPr>
        <w:t>8</w:t>
      </w:r>
      <w:r>
        <w:t>* and H*, thereby suppressing sulfur accumulation and accelerating hydrogen release. The optimized Ir</w:t>
      </w:r>
      <w:r>
        <w:rPr>
          <w:vertAlign w:val="subscript"/>
        </w:rPr>
        <w:t>1</w:t>
      </w:r>
      <w:r>
        <w:t>O‐Ni/C catalyst achieves a current density of 1 A cm</w:t>
      </w:r>
      <w:r>
        <w:t xml:space="preserve"> </w:t>
      </w:r>
      <w:r>
        <w:t>−2</w:t>
      </w:r>
      <w:r>
        <w:t xml:space="preserve"> </w:t>
      </w:r>
      <w:r>
        <w:t>at an overpotential of 280 mV for HER, and requires only 0.67 V to deliver 500 mA cm</w:t>
      </w:r>
      <w:r>
        <w:t xml:space="preserve"> </w:t>
      </w:r>
      <w:r>
        <w:t>−2</w:t>
      </w:r>
      <w:r>
        <w:t xml:space="preserve"> </w:t>
      </w:r>
      <w:r>
        <w:t>for SOR, with stable flow cell operation for over 50 h. The versatility of the approach is demonstrated by Ru/Pt</w:t>
      </w:r>
      <w:r>
        <w:t xml:space="preserve"> </w:t>
      </w:r>
      <w:r>
        <w:t>x</w:t>
      </w:r>
      <w:r>
        <w:t xml:space="preserve"> </w:t>
      </w:r>
      <w:r>
        <w:t>O‐Ni/C, which all show improved activity compared with the conventional Ni/C catalysts, providing atomic‐level insights into the development of bifunctional catalytic systems.</w:t>
      </w:r>
    </w:p>
    <w:p>
      <w:pPr>
        <w:spacing w:before="120" w:after="120"/>
      </w:pPr>
      <w:r>
        <w:rPr>
          <w:sz w:val="18"/>
        </w:rPr>
        <w:t>——————————————————————————————————————————————————————————————————————</w:t>
      </w:r>
    </w:p>
    <w:p>
      <w:pPr>
        <w:spacing w:before="160" w:after="40" w:line="240" w:lineRule="auto"/>
      </w:pPr>
      <w:r>
        <w:rPr>
          <w:b/>
        </w:rPr>
        <w:t xml:space="preserve">[12] </w:t>
      </w:r>
      <w:hyperlink r:id="rId268">
        <w:r>
          <w:rPr>
            <w:color w:val="1155CC"/>
            <w:u w:val="single"/>
          </w:rPr>
          <w:t>模拟离子液体固定配位胶囊内的酶激活，将 N2 电还原为 NH3</w:t>
        </w:r>
      </w:hyperlink>
    </w:p>
    <w:p>
      <w:pPr>
        <w:spacing w:before="0" w:after="80"/>
      </w:pPr>
      <w:r>
        <w:rPr>
          <w:i/>
          <w:sz w:val="20"/>
        </w:rPr>
        <w:t>EN: Mimicking Enzyme Activation Within an Ionic Liquid‐Immobilized Coordination Capsules for Electroreduction of N2 to NH3</w:t>
      </w:r>
    </w:p>
    <w:p>
      <w:pPr>
        <w:spacing w:before="0" w:after="120"/>
      </w:pPr>
      <w:r>
        <w:rPr>
          <w:b/>
        </w:rPr>
        <w:t xml:space="preserve">Source: </w:t>
      </w:r>
      <w:r>
        <w:t>Wiley: Angewandte Chemie International Edition: Table of Contents</w:t>
      </w:r>
      <w:r>
        <w:t xml:space="preserve">    </w:t>
      </w:r>
      <w:r>
        <w:rPr>
          <w:b/>
        </w:rPr>
        <w:t xml:space="preserve">Pub date: </w:t>
      </w:r>
      <w:r>
        <w:t>2026-07-24 10:41:26+00:00</w:t>
      </w:r>
      <w:r>
        <w:t xml:space="preserve">    </w:t>
      </w:r>
      <w:r>
        <w:rPr>
          <w:b/>
        </w:rPr>
        <w:t xml:space="preserve">DOI: </w:t>
      </w:r>
      <w:hyperlink r:id="rId269">
        <w:r>
          <w:rPr>
            <w:color w:val="1155CC"/>
            <w:u w:val="single"/>
          </w:rPr>
          <w:t>10.1002/anie.9669690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由可再生电力驱动的电化学氮还原在可持续和生态友好的氨（NH</w:t>
      </w:r>
      <w:r>
        <w:rPr>
          <w:vertAlign w:val="subscript"/>
        </w:rPr>
        <w:t>3</w:t>
      </w:r>
      <w:r>
        <w:t>），但目前的技术仍然受到实际应用的低效率和选择性的限制。在这项研究中，我们引入了一种酶启发的方法，该方法利用氧化还原可逆螺旋胶囊</w:t>
      </w:r>
      <w:r>
        <w:t xml:space="preserve"> </w:t>
      </w:r>
      <w:r>
        <w:t>H1</w:t>
      </w:r>
      <w:r>
        <w:t xml:space="preserve"> </w:t>
      </w:r>
      <w:r>
        <w:t>与经过良好修改的 N 进行交互</w:t>
      </w:r>
      <w:r>
        <w:rPr>
          <w:vertAlign w:val="subscript"/>
        </w:rPr>
        <w:t>2</w:t>
      </w:r>
      <w:r>
        <w:t>‐用于彻底电化学还原 N 的加合物</w:t>
      </w:r>
      <w:r>
        <w:rPr>
          <w:vertAlign w:val="subscript"/>
        </w:rPr>
        <w:t>2</w:t>
      </w:r>
      <w:r>
        <w:t>转化为NH</w:t>
      </w:r>
      <w:r>
        <w:rPr>
          <w:vertAlign w:val="subscript"/>
        </w:rPr>
        <w:t>3</w:t>
      </w:r>
      <w:r>
        <w:t>。该策略包括利用胶囊上装饰的羟基来封装 N</w:t>
      </w:r>
      <w:r>
        <w:rPr>
          <w:vertAlign w:val="subscript"/>
        </w:rPr>
        <w:t>2</w:t>
      </w:r>
      <w:r>
        <w:t>‐缔合的离子液体形成底物参与的中间体，阳极地改变N的氧化还原电位</w:t>
      </w:r>
      <w:r>
        <w:rPr>
          <w:vertAlign w:val="subscript"/>
        </w:rPr>
        <w:t>2</w:t>
      </w:r>
      <w:r>
        <w:t>加合物。袋式屏蔽方法能够生产 NH</w:t>
      </w:r>
      <w:r>
        <w:rPr>
          <w:vertAlign w:val="subscript"/>
        </w:rPr>
        <w:t>3</w:t>
      </w:r>
      <w:r>
        <w:t>在较低的施加电位（-0.08 V 与可逆氢电极，RHE）下，根据酶动力学，促进速率为 182.5 µg·mg</w:t>
      </w:r>
      <w:r>
        <w:t xml:space="preserve"> </w:t>
      </w:r>
      <w:r>
        <w:t>−1</w:t>
      </w:r>
      <w:r>
        <w:t xml:space="preserve"> </w:t>
      </w:r>
      <w:r>
        <w:t>猫</w:t>
      </w:r>
      <w:r>
        <w:t xml:space="preserve"> </w:t>
      </w:r>
      <w:r>
        <w:t>·小时</w:t>
      </w:r>
      <w:r>
        <w:t xml:space="preserve"> </w:t>
      </w:r>
      <w:r>
        <w:t>−1</w:t>
      </w:r>
      <w:r>
        <w:t xml:space="preserve"> </w:t>
      </w:r>
      <w:r>
        <w:t>法拉第效率为 48.50%，与铁基天然固氮酶相当。 15 mA·cm 连续工作实验室</w:t>
      </w:r>
      <w:r>
        <w:t xml:space="preserve"> </w:t>
      </w:r>
      <w:r>
        <w:t>−2</w:t>
      </w:r>
      <w:r>
        <w:t xml:space="preserve"> </w:t>
      </w:r>
      <w:r>
        <w:t>产生NH</w:t>
      </w:r>
      <w:r>
        <w:rPr>
          <w:vertAlign w:val="subscript"/>
        </w:rPr>
        <w:t>3</w:t>
      </w:r>
    </w:p>
    <w:p>
      <w:pPr>
        <w:spacing w:before="0" w:after="200" w:lineRule="auto" w:line="276"/>
      </w:pPr>
      <w:r>
        <w:rPr>
          <w:b/>
        </w:rPr>
        <w:t xml:space="preserve">Abstract (EN): </w:t>
      </w:r>
      <w:r>
        <w:t>Electrochemical nitrogen reduction powered by renewable electricity plays a crucial role in sustainable and eco‐friendly ammonia (NH</w:t>
      </w:r>
      <w:r>
        <w:rPr>
          <w:vertAlign w:val="subscript"/>
        </w:rPr>
        <w:t>3</w:t>
      </w:r>
      <w:r>
        <w:t>), but current techniques were still limited by the low efficiency and selectivity for practical application. In this study, we introduce an enzyme‐inspired approach that utilizes a redox‐reversible helical capsule</w:t>
      </w:r>
      <w:r>
        <w:t xml:space="preserve"> </w:t>
      </w:r>
      <w:r>
        <w:t>H1</w:t>
      </w:r>
      <w:r>
        <w:t xml:space="preserve"> </w:t>
      </w:r>
      <w:r>
        <w:t>to interact with the well‐modified N</w:t>
      </w:r>
      <w:r>
        <w:rPr>
          <w:vertAlign w:val="subscript"/>
        </w:rPr>
        <w:t>2</w:t>
      </w:r>
      <w:r>
        <w:t>‐adducts for thorough electrochemical reduction of N</w:t>
      </w:r>
      <w:r>
        <w:rPr>
          <w:vertAlign w:val="subscript"/>
        </w:rPr>
        <w:t>2</w:t>
      </w:r>
      <w:r>
        <w:t>into NH</w:t>
      </w:r>
      <w:r>
        <w:rPr>
          <w:vertAlign w:val="subscript"/>
        </w:rPr>
        <w:t>3</w:t>
      </w:r>
      <w:r>
        <w:t>. The strategy included the utilizing of hydroxyl groups that decorated on the capsule to encapsulate the N</w:t>
      </w:r>
      <w:r>
        <w:rPr>
          <w:vertAlign w:val="subscript"/>
        </w:rPr>
        <w:t>2</w:t>
      </w:r>
      <w:r>
        <w:t>‐associated ionic liquid to form a substrate‐involved intermediate, anodically shifting the redox potential of the N</w:t>
      </w:r>
      <w:r>
        <w:rPr>
          <w:vertAlign w:val="subscript"/>
        </w:rPr>
        <w:t>2</w:t>
      </w:r>
      <w:r>
        <w:t>adduct. The pocket shielding approach enables the production of NH</w:t>
      </w:r>
      <w:r>
        <w:rPr>
          <w:vertAlign w:val="subscript"/>
        </w:rPr>
        <w:t>3</w:t>
      </w:r>
      <w:r>
        <w:t>at a lower applied potential (−0.08 V vs. reversible hydrogen electrode, RHE) with enzymatic kinetics, facilitating a rate of 182.5 µg·mg</w:t>
      </w:r>
      <w:r>
        <w:t xml:space="preserve"> </w:t>
      </w:r>
      <w:r>
        <w:t>−1</w:t>
      </w:r>
      <w:r>
        <w:t xml:space="preserve"> </w:t>
      </w:r>
      <w:r>
        <w:t>cat</w:t>
      </w:r>
      <w:r>
        <w:t xml:space="preserve"> </w:t>
      </w:r>
      <w:r>
        <w:t>·h</w:t>
      </w:r>
      <w:r>
        <w:t xml:space="preserve"> </w:t>
      </w:r>
      <w:r>
        <w:t>−1</w:t>
      </w:r>
      <w:r>
        <w:t xml:space="preserve"> </w:t>
      </w:r>
      <w:r>
        <w:t>and a Faradaic efficiency of 48.50%, which is comparable to that of iron‐based native nitrogenase. A continuous working laboratory at 15 mA·cm</w:t>
      </w:r>
      <w:r>
        <w:t xml:space="preserve"> </w:t>
      </w:r>
      <w:r>
        <w:t>−2</w:t>
      </w:r>
      <w:r>
        <w:t xml:space="preserve"> </w:t>
      </w:r>
      <w:r>
        <w:t>yields a NH</w:t>
      </w:r>
      <w:r>
        <w:rPr>
          <w:vertAlign w:val="subscript"/>
        </w:rPr>
        <w:t>3</w:t>
      </w:r>
      <w:r>
        <w:t>turnover number (TON) of 1640 over 100 h. The new strategy of molecular electrocatalysts with an enzymatic activation manner and anodic shift of the applied potentials sheds light on the rational design of high‐performance electro‐catalytic technologies for nitrogen capture and conversion.</w:t>
      </w:r>
    </w:p>
    <w:p>
      <w:pPr>
        <w:spacing w:before="120" w:after="120"/>
      </w:pPr>
      <w:r>
        <w:rPr>
          <w:sz w:val="18"/>
        </w:rPr>
        <w:t>——————————————————————————————————————————————————————————————————————</w:t>
      </w:r>
    </w:p>
    <w:p>
      <w:pPr>
        <w:spacing w:before="160" w:after="40" w:line="240" w:lineRule="auto"/>
      </w:pPr>
      <w:r>
        <w:rPr>
          <w:b/>
        </w:rPr>
        <w:t xml:space="preserve">[13] </w:t>
      </w:r>
      <w:hyperlink r:id="rId270">
        <w:r>
          <w:rPr>
            <w:color w:val="1155CC"/>
            <w:u w:val="single"/>
          </w:rPr>
          <w:t>正交应变各向异性 Pd 单原子层催化剂的室温原子编织用于甲酸氧化</w:t>
        </w:r>
      </w:hyperlink>
    </w:p>
    <w:p>
      <w:pPr>
        <w:spacing w:before="0" w:after="80"/>
      </w:pPr>
      <w:r>
        <w:rPr>
          <w:i/>
          <w:sz w:val="20"/>
        </w:rPr>
        <w:t>EN: Room‐Temperature Atomic Weaving of an Anisotropic Pd Single‐Atom‐Layer Catalyst With Orthogonal Strain for Formic Acid Oxidation</w:t>
      </w:r>
    </w:p>
    <w:p>
      <w:pPr>
        <w:spacing w:before="0" w:after="120"/>
      </w:pPr>
      <w:r>
        <w:rPr>
          <w:b/>
        </w:rPr>
        <w:t xml:space="preserve">Source: </w:t>
      </w:r>
      <w:r>
        <w:t>Wiley: Angewandte Chemie International Edition: Table of Contents</w:t>
      </w:r>
      <w:r>
        <w:t xml:space="preserve">    </w:t>
      </w:r>
      <w:r>
        <w:rPr>
          <w:b/>
        </w:rPr>
        <w:t xml:space="preserve">Pub date: </w:t>
      </w:r>
      <w:r>
        <w:t>2026-07-24 11:02:37+00:00</w:t>
      </w:r>
      <w:r>
        <w:t xml:space="preserve">    </w:t>
      </w:r>
      <w:r>
        <w:rPr>
          <w:b/>
        </w:rPr>
        <w:t xml:space="preserve">DOI: </w:t>
      </w:r>
      <w:hyperlink r:id="rId271">
        <w:r>
          <w:rPr>
            <w:color w:val="1155CC"/>
            <w:u w:val="single"/>
          </w:rPr>
          <w:t>10.1002/anie.1512549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克服高活化势垒和快速解吸动力学之间的基本权衡仍然是电催化剂设计中的核心挑战。在这里，我们展示了各向异性、独立式、单原子厚 Pd 层的室温原子编织产生了弯曲泊松效应，从而建立了正交压缩拉伸自应变网络。拉伸应变引起的晶格膨胀加速了自发的 HCOOH 解离，导致每个 Pd 原子上的双 CO 吸附，而协调的压缩-拉伸域通过释放桥位点促进产物释放。深入研究表明，压缩应变高度激活具有优异电子供给能力的价带，而拉伸应变产生可抑制电子耦合的可及轨道，共同产生三重分裂的电子能带结构。因此，催化剂实现了创纪录的 CO 吸附容量 865 m</w:t>
      </w:r>
      <w:r>
        <w:rPr>
          <w:vertAlign w:val="subscript"/>
        </w:rPr>
        <w:t>2</w:t>
      </w:r>
      <w:r>
        <w:t>克</w:t>
      </w:r>
      <w:r>
        <w:t xml:space="preserve"> </w:t>
      </w:r>
      <w:r>
        <w:t>−1</w:t>
      </w:r>
      <w:r>
        <w:t xml:space="preserve"> </w:t>
      </w:r>
      <w:r>
        <w:t>（比理论极限高 372%），甲酸氧化活性比 Pd/C 增强 49.1 倍，618 mW cm</w:t>
      </w:r>
      <w:r>
        <w:t xml:space="preserve"> </w:t>
      </w:r>
      <w:r>
        <w:t>−2</w:t>
      </w:r>
      <w:r>
        <w:t xml:space="preserve"> </w:t>
      </w:r>
      <w:r>
        <w:t>峰值燃料电池功率密度。此外，固有的结构灵活性赋予了高稳定性，在 440 小时的加速降解后仍保留了 89.4% 的初始活性。</w:t>
      </w:r>
    </w:p>
    <w:p>
      <w:pPr>
        <w:spacing w:before="0" w:after="200" w:lineRule="auto" w:line="276"/>
      </w:pPr>
      <w:r>
        <w:rPr>
          <w:b/>
        </w:rPr>
        <w:t xml:space="preserve">Abstract (EN): </w:t>
      </w:r>
      <w:r>
        <w:t>Overcoming the fundamental trade‐off between high activation barriers and rapid desorption kinetics remains a central challenge in electrocatalyst design. Here we show that room‐temperature atomic weaving of anisotropic, freestanding, single‐atom‐thick Pd layers creates a bending‐poisson effect that establishes an orthogonal compressive‐tensile self‐strain network. Tensile‐strain‐induced lattice expansion accelerates spontaneous HCOOH dissociation, leading to dual‐CO adsorption on each Pd atom, while coordinated compressive–tensile domains facilitate product release by freeing bridge sites. In‐depth investigations reveal that compressive strain highly activates valence band with superior electron donation capability, while tensile strain generates accessible orbitals that suppress electronic coupling, collectively yielding a triply split electronic band structure. Consequently, the catalyst achieves a record CO adsorption capacity of 865 m</w:t>
      </w:r>
      <w:r>
        <w:rPr>
          <w:vertAlign w:val="subscript"/>
        </w:rPr>
        <w:t>2</w:t>
      </w:r>
      <w:r>
        <w:t>g</w:t>
      </w:r>
      <w:r>
        <w:t xml:space="preserve"> </w:t>
      </w:r>
      <w:r>
        <w:t>−1</w:t>
      </w:r>
      <w:r>
        <w:t xml:space="preserve"> </w:t>
      </w:r>
      <w:r>
        <w:t>(372% above theoretical limits), 49.1‐fold formic acid oxidation activity enhancement over Pd/C, 618 mW cm</w:t>
      </w:r>
      <w:r>
        <w:t xml:space="preserve"> </w:t>
      </w:r>
      <w:r>
        <w:t>−2</w:t>
      </w:r>
      <w:r>
        <w:t xml:space="preserve"> </w:t>
      </w:r>
      <w:r>
        <w:t>peak fuel cell power density. Moreover, the inherent structural flexibility confers high stability, retaining 89.4% of its initial activity after 440 h of accelerated degradation.</w:t>
      </w:r>
    </w:p>
    <w:p>
      <w:pPr>
        <w:spacing w:before="120" w:after="120"/>
      </w:pPr>
      <w:r>
        <w:rPr>
          <w:sz w:val="18"/>
        </w:rPr>
        <w:t>——————————————————————————————————————————————————————————————————————</w:t>
      </w:r>
    </w:p>
    <w:p>
      <w:pPr>
        <w:spacing w:before="160" w:after="40" w:line="240" w:lineRule="auto"/>
      </w:pPr>
      <w:r>
        <w:rPr>
          <w:b/>
        </w:rPr>
        <w:t xml:space="preserve">[14] </w:t>
      </w:r>
      <w:hyperlink r:id="rId272">
        <w:r>
          <w:rPr>
            <w:color w:val="1155CC"/>
            <w:u w:val="single"/>
          </w:rPr>
          <w:t>电解质调节的自修复铜/氧化物界面，用于强酸中的稳定电催化</w:t>
        </w:r>
      </w:hyperlink>
    </w:p>
    <w:p>
      <w:pPr>
        <w:spacing w:before="0" w:after="80"/>
      </w:pPr>
      <w:r>
        <w:rPr>
          <w:i/>
          <w:sz w:val="20"/>
        </w:rPr>
        <w:t>EN: Electrolyte‐Regulated Self‐Healing Cu/Oxide Interfaces for Stable Electrocatalysis in Strong Acid</w:t>
      </w:r>
    </w:p>
    <w:p>
      <w:pPr>
        <w:spacing w:before="0" w:after="120"/>
      </w:pPr>
      <w:r>
        <w:rPr>
          <w:b/>
        </w:rPr>
        <w:t xml:space="preserve">Source: </w:t>
      </w:r>
      <w:r>
        <w:t>Wiley: Advanced Materials: Table of Contents</w:t>
      </w:r>
      <w:r>
        <w:t xml:space="preserve">    </w:t>
      </w:r>
      <w:r>
        <w:rPr>
          <w:b/>
        </w:rPr>
        <w:t xml:space="preserve">Pub date: </w:t>
      </w:r>
      <w:r>
        <w:t>2026-07-24 12:06:22+00:00</w:t>
      </w:r>
      <w:r>
        <w:t xml:space="preserve">    </w:t>
      </w:r>
      <w:r>
        <w:rPr>
          <w:b/>
        </w:rPr>
        <w:t xml:space="preserve">DOI: </w:t>
      </w:r>
      <w:hyperlink r:id="rId273">
        <w:r>
          <w:rPr>
            <w:color w:val="1155CC"/>
            <w:u w:val="single"/>
          </w:rPr>
          <w:t>10.1002/adma.74224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亚稳态金属活性位点本质上难以在强腐蚀性电化学条件下保存，因为连续溶解会在操作过程中耗尽催化相关的表面群体。在这里，我们证明可溶性金属离子可以用作外部化学储库，通过电解质调节的溶解-再沉积平衡来维持动态催化活性状态。使用酸性硝酸盐-氨电合成作为模型系统，我们证明了溶解的铜</w:t>
      </w:r>
      <w:r>
        <w:t xml:space="preserve"> </w:t>
      </w:r>
      <w:r>
        <w:t>2+</w:t>
      </w:r>
      <w:r>
        <w:t xml:space="preserve"> </w:t>
      </w:r>
      <w:r>
        <w:t>不断补充铜活性位点，从而通过维持动态稳态活性位点数量而不是依赖静态催化剂结构来减轻催化剂降解。将这一概念与酸稳定的 WO 结合起来</w:t>
      </w:r>
      <w:r>
        <w:rPr>
          <w:vertAlign w:val="subscript"/>
        </w:rPr>
        <w:t>3</w:t>
      </w:r>
      <w:r>
        <w:t>纳米棒将动态铜储库组织成由锚定的单原子和可补充的纳米团簇组成的分层分散的界面活性状态，并通过强 Cu─O─W 耦合来稳定。原位光谱、X 射线吸收分析和理论表明，这种自适应 Cu/WO</w:t>
      </w:r>
      <w:r>
        <w:rPr>
          <w:vertAlign w:val="subscript"/>
        </w:rPr>
        <w:t>3</w:t>
      </w:r>
      <w:r>
        <w:t>界面增强了硝酸盐捕获并降低了关键氢化步骤的障碍。由此产生的系统提供 NH</w:t>
      </w:r>
      <w:r>
        <w:rPr>
          <w:vertAlign w:val="subscript"/>
        </w:rPr>
        <w:t>3</w:t>
      </w:r>
      <w:r>
        <w:t>在强酸的宽电位窗口内法拉第效率超过 90%，并在 25 cm 的空间内维持安培级运行超过 1000 小时</w:t>
      </w:r>
      <w:r>
        <w:rPr>
          <w:vertAlign w:val="subscript"/>
        </w:rPr>
        <w:t>2</w:t>
      </w:r>
      <w:r>
        <w:t>膜电</w:t>
      </w:r>
    </w:p>
    <w:p>
      <w:pPr>
        <w:spacing w:before="0" w:after="200" w:lineRule="auto" w:line="276"/>
      </w:pPr>
      <w:r>
        <w:rPr>
          <w:b/>
        </w:rPr>
        <w:t xml:space="preserve">Abstract (EN): </w:t>
      </w:r>
      <w:r>
        <w:t>Metastable metal active sites are inherently difficult to preserve under strongly corrosive electrochemical conditions, because continuous dissolution depletes the catalytically relevant surface population during operation. Here, we show that soluble metal ions can be used as an external chemical reservoir to sustain a dynamic catalytically active state through an electrolyte‐regulated dissolution–redeposition equilibrium. Using acidic nitrate‐to‐ammonia electrosynthesis as a model system, we demonstrate that dissolved Cu</w:t>
      </w:r>
      <w:r>
        <w:t xml:space="preserve"> </w:t>
      </w:r>
      <w:r>
        <w:t>2+</w:t>
      </w:r>
      <w:r>
        <w:t xml:space="preserve"> </w:t>
      </w:r>
      <w:r>
        <w:t>continuously replenishes Cu active sites, thereby mitigating catalyst degradation by maintaining a dynamic steady‐state active‐site population rather than relying on a static catalyst structure. Coupling this concept with acid‐stable WO</w:t>
      </w:r>
      <w:r>
        <w:rPr>
          <w:vertAlign w:val="subscript"/>
        </w:rPr>
        <w:t>3</w:t>
      </w:r>
      <w:r>
        <w:t>nanorods organizes the dynamic Cu reservoir into a hierarchically dispersed interfacial active state composed of anchored single atoms and replenishable nanoclusters, stabilized by strong Cu─O─W coupling. Operando spectroscopy, x‐ray absorption analysis, and theory reveal that this adaptive Cu/WO</w:t>
      </w:r>
      <w:r>
        <w:rPr>
          <w:vertAlign w:val="subscript"/>
        </w:rPr>
        <w:t>3</w:t>
      </w:r>
      <w:r>
        <w:t>interface strengthens nitrate capture and lowers the barriers of key hydrogenation steps. The resulting system delivers NH</w:t>
      </w:r>
      <w:r>
        <w:rPr>
          <w:vertAlign w:val="subscript"/>
        </w:rPr>
        <w:t>3</w:t>
      </w:r>
      <w:r>
        <w:t>Faradaic efficiencies above 90% over a broad potential window in strong acid and sustains ampere‐level operation for over 1000 h in a 25 cm</w:t>
      </w:r>
      <w:r>
        <w:rPr>
          <w:vertAlign w:val="subscript"/>
        </w:rPr>
        <w:t>2</w:t>
      </w:r>
      <w:r>
        <w:t>membrane electrode assembly with NH</w:t>
      </w:r>
      <w:r>
        <w:rPr>
          <w:vertAlign w:val="subscript"/>
        </w:rPr>
        <w:t>3</w:t>
      </w:r>
      <w:r>
        <w:t>production rates up to 0.37 g h</w:t>
      </w:r>
      <w:r>
        <w:t xml:space="preserve"> </w:t>
      </w:r>
      <w:r>
        <w:t>−1</w:t>
      </w:r>
      <w:r>
        <w:t xml:space="preserve"> </w:t>
      </w:r>
      <w:r>
        <w:t>.</w:t>
      </w:r>
    </w:p>
    <w:p>
      <w:pPr>
        <w:spacing w:before="120" w:after="120"/>
      </w:pPr>
      <w:r>
        <w:rPr>
          <w:sz w:val="18"/>
        </w:rPr>
        <w:t>——————————————————————————————————————————————————————————————————————</w:t>
      </w:r>
    </w:p>
    <w:p>
      <w:pPr>
        <w:spacing w:before="160" w:after="40" w:line="240" w:lineRule="auto"/>
      </w:pPr>
      <w:r>
        <w:rPr>
          <w:b/>
        </w:rPr>
        <w:t xml:space="preserve">[15] </w:t>
      </w:r>
      <w:hyperlink r:id="rId274">
        <w:r>
          <w:rPr>
            <w:color w:val="1155CC"/>
            <w:u w:val="single"/>
          </w:rPr>
          <w:t>图灵型钯基结晶/非晶异质界面上的近 100% C1 途径选择性乙醇氧化</w:t>
        </w:r>
      </w:hyperlink>
    </w:p>
    <w:p>
      <w:pPr>
        <w:spacing w:before="0" w:after="80"/>
      </w:pPr>
      <w:r>
        <w:rPr>
          <w:i/>
          <w:sz w:val="20"/>
        </w:rPr>
        <w:t>EN: Near‐100% C1‐Pathway Selective Ethanol Oxidation on Turing‐Type Pd‐Based Crystalline/Amorphous Heterointerfaces</w:t>
      </w:r>
    </w:p>
    <w:p>
      <w:pPr>
        <w:spacing w:before="0" w:after="120"/>
      </w:pPr>
      <w:r>
        <w:rPr>
          <w:b/>
        </w:rPr>
        <w:t xml:space="preserve">Source: </w:t>
      </w:r>
      <w:r>
        <w:t>Wiley: Advanced Materials: Table of Contents</w:t>
      </w:r>
      <w:r>
        <w:t xml:space="preserve">    </w:t>
      </w:r>
      <w:r>
        <w:rPr>
          <w:b/>
        </w:rPr>
        <w:t xml:space="preserve">Pub date: </w:t>
      </w:r>
      <w:r>
        <w:t>2026-07-24 12:09:57+00:00</w:t>
      </w:r>
      <w:r>
        <w:t xml:space="preserve">    </w:t>
      </w:r>
      <w:r>
        <w:rPr>
          <w:b/>
        </w:rPr>
        <w:t xml:space="preserve">DOI: </w:t>
      </w:r>
      <w:hyperlink r:id="rId275">
        <w:r>
          <w:rPr>
            <w:color w:val="1155CC"/>
            <w:u w:val="single"/>
          </w:rPr>
          <w:t>10.1002/adma.74323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直接乙醇燃料电池受到乙醇氧化反应 (EOR) 的阻碍，该反应有利于低效率的 C2 途径而不是理想的 C1 途径。在此，我们报告了一种将超薄图灵型纳米网与 Pd 基晶体/非晶 (C/A) 异质界面相结合的催化剂设计，实现了碱性 EOR 的近乎完整的 C1 路径选择性 97.1%，这是迄今为止报道的最高水平。受空间解耦 C─C 裂解和 CO 氧化的启发，我们设计了两个紧密集成的相：应变间隙碳掺杂 PdO（C</w:t>
      </w:r>
      <w:r>
        <w:t xml:space="preserve"> </w:t>
      </w:r>
      <w:r>
        <w:t>整数</w:t>
      </w:r>
      <w:r>
        <w:t xml:space="preserve"> </w:t>
      </w:r>
      <w:r>
        <w:t>‐PdO) 富含氧空位和有缺陷的无定形 PdC</w:t>
      </w:r>
      <w:r>
        <w:t xml:space="preserve"> </w:t>
      </w:r>
      <w:r>
        <w:t>x</w:t>
      </w:r>
      <w:r>
        <w:t xml:space="preserve"> </w:t>
      </w:r>
      <w:r>
        <w:t>(a-PdC</w:t>
      </w:r>
      <w:r>
        <w:t xml:space="preserve"> </w:t>
      </w:r>
      <w:r>
        <w:t>x</w:t>
      </w:r>
      <w:r>
        <w:t xml:space="preserve"> </w:t>
      </w:r>
      <w:r>
        <w:t>）。这种异质结构是通过盐熔模板与二次退火相结合的“碳工程”策略实现的。原子分辨率研究证实了原子级锐利的 C/A 界面和高度不饱和的 a-PdC</w:t>
      </w:r>
      <w:r>
        <w:t xml:space="preserve"> </w:t>
      </w:r>
      <w:r>
        <w:t>x</w:t>
      </w:r>
      <w:r>
        <w:t xml:space="preserve"> </w:t>
      </w:r>
      <w:r>
        <w:t>阶段。原位傅立叶变换红外光谱 (FTIR) 直接可视化 CO</w:t>
      </w:r>
      <w:r>
        <w:rPr>
          <w:vertAlign w:val="subscript"/>
        </w:rPr>
        <w:t>2</w:t>
      </w:r>
      <w:r>
        <w:t>超低过电势下出现，而高效液相色谱 (HPLC) 验证了近乎完整的 C1 途径。密度泛函理论（DFT）揭示了双重合作机制：C</w:t>
      </w:r>
      <w:r>
        <w:t xml:space="preserve"> </w:t>
      </w:r>
      <w:r>
        <w:t>整数</w:t>
      </w:r>
      <w:r>
        <w:t xml:space="preserve"> </w:t>
      </w:r>
      <w:r>
        <w:t>‐PdO 引导 EOR</w:t>
      </w:r>
    </w:p>
    <w:p>
      <w:pPr>
        <w:spacing w:before="0" w:after="200" w:lineRule="auto" w:line="276"/>
      </w:pPr>
      <w:r>
        <w:rPr>
          <w:b/>
        </w:rPr>
        <w:t xml:space="preserve">Abstract (EN): </w:t>
      </w:r>
      <w:r>
        <w:t>Direct ethanol fuel cells are hindered by the ethanol oxidation reaction (EOR) that favors the low‐efficiency C2 pathway over the desirable C1 pathway. Here, we report a catalyst design integrating an ultrathin Turing‐type nanonet with a Pd‐based crystalline/amorphous (C/A) heterointerface, achieving a near‐complete C1‐pathway selectivity of 97.1% for alkaline EOR, which is the highest reported to date. Inspired by spatially decoupling C─C cleavage and CO oxidation, we engineer two intimately integrated phases: strained interstitial‐carbon‐doped PdO (C</w:t>
      </w:r>
      <w:r>
        <w:t xml:space="preserve"> </w:t>
      </w:r>
      <w:r>
        <w:t>int</w:t>
      </w:r>
      <w:r>
        <w:t xml:space="preserve"> </w:t>
      </w:r>
      <w:r>
        <w:t>‐PdO) enriched with oxygen vacancies and defective amorphous PdC</w:t>
      </w:r>
      <w:r>
        <w:t xml:space="preserve"> </w:t>
      </w:r>
      <w:r>
        <w:t>x</w:t>
      </w:r>
      <w:r>
        <w:t xml:space="preserve"> </w:t>
      </w:r>
      <w:r>
        <w:t>(a‐PdC</w:t>
      </w:r>
      <w:r>
        <w:t xml:space="preserve"> </w:t>
      </w:r>
      <w:r>
        <w:t>x</w:t>
      </w:r>
      <w:r>
        <w:t xml:space="preserve"> </w:t>
      </w:r>
      <w:r>
        <w:t>). This heterostructure is realized via a “carbon engineering” strategy combining salt‐melt templating with secondary annealing. Atomic‐resolution studies confirm atomically sharp C/A interfaces and the highly unsaturated a‐PdC</w:t>
      </w:r>
      <w:r>
        <w:t xml:space="preserve"> </w:t>
      </w:r>
      <w:r>
        <w:t>x</w:t>
      </w:r>
      <w:r>
        <w:t xml:space="preserve"> </w:t>
      </w:r>
      <w:r>
        <w:t>phase. In situ Fourier‐transform infrared spectroscopy (FTIR) directly visualizes CO</w:t>
      </w:r>
      <w:r>
        <w:rPr>
          <w:vertAlign w:val="subscript"/>
        </w:rPr>
        <w:t>2</w:t>
      </w:r>
      <w:r>
        <w:t>emergence at ultralow overpotentials, while high‐performance liquid chromatography (HPLC) verifies the near‐complete C1 pathway. Density functional theory (DFT) reveals a dual‐cooperative mechanism: C</w:t>
      </w:r>
      <w:r>
        <w:t xml:space="preserve"> </w:t>
      </w:r>
      <w:r>
        <w:t>int</w:t>
      </w:r>
      <w:r>
        <w:t xml:space="preserve"> </w:t>
      </w:r>
      <w:r>
        <w:t>‐PdO steers the EOR toward C1 pathway by facilitating CH</w:t>
      </w:r>
      <w:r>
        <w:rPr>
          <w:vertAlign w:val="subscript"/>
        </w:rPr>
        <w:t>3</w:t>
      </w:r>
      <w:r>
        <w:t>CO* dehydrogenation and subsequent C─C cleavage via CH</w:t>
      </w:r>
      <w:r>
        <w:rPr>
          <w:vertAlign w:val="subscript"/>
        </w:rPr>
        <w:t>2</w:t>
      </w:r>
      <w:r>
        <w:t>CO*, thereby suppressing acetate formation; concurrently, a‐PdC</w:t>
      </w:r>
      <w:r>
        <w:t xml:space="preserve"> </w:t>
      </w:r>
      <w:r>
        <w:t>x</w:t>
      </w:r>
      <w:r>
        <w:t xml:space="preserve"> </w:t>
      </w:r>
      <w:r>
        <w:t>dramatically accelerates CO oxidation and may also contribute to C─C cleavage via an alternative direct CH</w:t>
      </w:r>
      <w:r>
        <w:rPr>
          <w:vertAlign w:val="subscript"/>
        </w:rPr>
        <w:t>3</w:t>
      </w:r>
      <w:r>
        <w:t>CO* pathway. This work establishes carbon‐engineered C/A heterointerfaces as a powerful platform for overcoming the EOR selectivity bottleneck.</w:t>
      </w:r>
    </w:p>
    <w:p>
      <w:pPr>
        <w:spacing w:before="120" w:after="120"/>
      </w:pPr>
      <w:r>
        <w:rPr>
          <w:sz w:val="18"/>
        </w:rPr>
        <w:t>——————————————————————————————————————————————————————————————————————</w:t>
      </w:r>
    </w:p>
    <w:p>
      <w:pPr>
        <w:spacing w:before="160" w:after="40" w:line="240" w:lineRule="auto"/>
      </w:pPr>
      <w:r>
        <w:rPr>
          <w:b/>
        </w:rPr>
        <w:t xml:space="preserve">[16] </w:t>
      </w:r>
      <w:hyperlink r:id="rId178">
        <w:r>
          <w:rPr>
            <w:color w:val="1155CC"/>
            <w:u w:val="single"/>
          </w:rPr>
          <w:t>具有超高电流的喷雾摩擦纳米发电机用于制氢</w:t>
        </w:r>
      </w:hyperlink>
    </w:p>
    <w:p>
      <w:pPr>
        <w:spacing w:before="0" w:after="80"/>
      </w:pPr>
      <w:r>
        <w:rPr>
          <w:i/>
          <w:sz w:val="20"/>
        </w:rPr>
        <w:t>EN: Spray‐Based Triboelectric Nanogenerator With Ultra‐High Current for Hydrogen Generation</w:t>
      </w:r>
    </w:p>
    <w:p>
      <w:pPr>
        <w:spacing w:before="0" w:after="120"/>
      </w:pPr>
      <w:r>
        <w:rPr>
          <w:b/>
        </w:rPr>
        <w:t xml:space="preserve">Source: </w:t>
      </w:r>
      <w:r>
        <w:t>Wiley: Advanced Materials: Table of Contents</w:t>
      </w:r>
      <w:r>
        <w:t xml:space="preserve">    </w:t>
      </w:r>
      <w:r>
        <w:rPr>
          <w:b/>
        </w:rPr>
        <w:t xml:space="preserve">Pub date: </w:t>
      </w:r>
      <w:r>
        <w:t>2026-07-24 12:42:51+00:00</w:t>
      </w:r>
      <w:r>
        <w:t xml:space="preserve">    </w:t>
      </w:r>
      <w:r>
        <w:rPr>
          <w:b/>
        </w:rPr>
        <w:t xml:space="preserve">DOI: </w:t>
      </w:r>
      <w:hyperlink r:id="rId179">
        <w:r>
          <w:rPr>
            <w:color w:val="1155CC"/>
            <w:u w:val="single"/>
          </w:rPr>
          <w:t>10.1002/adma.74302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固液摩擦纳米发电机（SL-TENG）在蓝色能量收集方面取得了显着进展；然而，它们的实际部署仍然受到普遍较低且不连续的电流输出的限制。在这里，我们报告了一种基于喷雾的 TENG (S-TENG)，它引入了专用的火花放电装置 (SDD)，用于主动电荷积累和受控释放。该设计将放电过程从传统的被动随机击穿转变为主动、周期性火花放电方式。因此，S‑TENG 可提供突破性的 665 mA 瞬时短路电流和 900 V 开路电压，在 122 Hz 下连续运行，与典型 SL‑TENG 相比，电流幅度和频率均提高了两个数量级以上。基于这种高功率输出，S-TENG 可以直接照亮 110 W 白炽灯或同时驱动 4000 个商用 LED。当与电源管理电路集成时，它可以进一步实现水电解制氢，效率高达 55.8%。这项工作不仅将SL-TENG的电流输出推向毫安范围，而且还提供了一种通过结构解耦和主动放电调节来提高TENG功率密度的新策略，为其在海洋能量收集和电化学合成中的应用铺平了道路。</w:t>
      </w:r>
    </w:p>
    <w:p>
      <w:pPr>
        <w:spacing w:before="0" w:after="200" w:lineRule="auto" w:line="276"/>
      </w:pPr>
      <w:r>
        <w:rPr>
          <w:b/>
        </w:rPr>
        <w:t xml:space="preserve">Abstract (EN): </w:t>
      </w:r>
      <w:r>
        <w:t>Solid–liquid triboelectric nanogenerators (SL‑TENGs) have achieved notable progress in blue energy harvesting; however, their practical deployment is still limited by generally low and discontinuous current output. Here, we report a spray‑based TENG (S‑TENG) that introduces a dedicated spark discharge device (SDD) for active charge accumulation and controlled release. This design shifts the discharge process from the conventional passive and stochastic breakdown to an active, periodic spark‑discharge regime. Consequently, the S‑TENG delivers a breakthrough instantaneous short‑circuit current of 665 mA and an open‑circuit voltage of 900 V, operating continuously at 122 Hz, representing an improvement of over two orders of magnitude in both current amplitude and frequency compared to typical SL‑TENGs. Based on this high‑power output, the S‑TENG can directly illuminate a 110 W incandescent lamp or simultaneously drive 4000 commercial LEDs. When integrated with a power‑management circuit, it further enables water electrolysis for hydrogen production with an efficiency of 55.8%. This work not only pushes the current output of SL‑TENGs into the milliampere range but also provides a new strategy—through structural decoupling and active discharge regulation—to enhance the power density of TENGs, paving the way for their application in marine energy harvesting and electrochemical synthesis.</w:t>
      </w:r>
    </w:p>
    <w:p>
      <w:pPr>
        <w:spacing w:before="120" w:after="120"/>
      </w:pPr>
      <w:r>
        <w:rPr>
          <w:sz w:val="18"/>
        </w:rPr>
        <w:t>——————————————————————————————————————————————————————————————————————</w:t>
      </w:r>
    </w:p>
    <w:p>
      <w:pPr>
        <w:spacing w:before="160" w:after="40" w:line="240" w:lineRule="auto"/>
      </w:pPr>
      <w:r>
        <w:rPr>
          <w:b/>
        </w:rPr>
        <w:t xml:space="preserve">[17] </w:t>
      </w:r>
      <w:hyperlink r:id="rId276">
        <w:r>
          <w:rPr>
            <w:color w:val="1155CC"/>
            <w:u w:val="single"/>
          </w:rPr>
          <w:t>揭示聚合物电解质燃料电池中电催化剂降解的路径依赖性</w:t>
        </w:r>
      </w:hyperlink>
    </w:p>
    <w:p>
      <w:pPr>
        <w:spacing w:before="0" w:after="80"/>
      </w:pPr>
      <w:r>
        <w:rPr>
          <w:i/>
          <w:sz w:val="20"/>
        </w:rPr>
        <w:t>EN: Revealing the path-dependence of electro-catalyst degradation in polymer electrolyte fuel cells</w:t>
      </w:r>
    </w:p>
    <w:p>
      <w:pPr>
        <w:spacing w:before="0" w:after="120"/>
      </w:pPr>
      <w:r>
        <w:rPr>
          <w:b/>
        </w:rPr>
        <w:t xml:space="preserve">Source: </w:t>
      </w:r>
      <w:r>
        <w:t>ScienceDirect Publication: Applied Energy</w:t>
      </w:r>
      <w:r>
        <w:t xml:space="preserve">    </w:t>
      </w:r>
      <w:r>
        <w:rPr>
          <w:b/>
        </w:rPr>
        <w:t xml:space="preserve">Pub date: </w:t>
      </w:r>
      <w:r>
        <w:t>2026-07-25 00:00:00+00:00</w:t>
      </w:r>
      <w:r>
        <w:t xml:space="preserve">    </w:t>
      </w:r>
      <w:r>
        <w:rPr>
          <w:b/>
        </w:rPr>
        <w:t xml:space="preserve">DOI: </w:t>
      </w:r>
      <w:hyperlink r:id="rId277">
        <w:r>
          <w:rPr>
            <w:color w:val="1155CC"/>
            <w:u w:val="single"/>
          </w:rPr>
          <w:t>10.1016/j.apenergy.2026.128409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278">
        <w:r>
          <w:rPr>
            <w:color w:val="1155CC"/>
            <w:u w:val="single"/>
          </w:rPr>
          <w:t>利用全局自适应谱和局部动态交互模型进行多条件运行下燃料电池的在线老化预测</w:t>
        </w:r>
      </w:hyperlink>
    </w:p>
    <w:p>
      <w:pPr>
        <w:spacing w:before="0" w:after="80"/>
      </w:pPr>
      <w:r>
        <w:rPr>
          <w:i/>
          <w:sz w:val="20"/>
        </w:rPr>
        <w:t>EN: Online aging prediction of fuel cells under multi-condition operation using global adaptive spectrum and local dynamic interaction model</w:t>
      </w:r>
    </w:p>
    <w:p>
      <w:pPr>
        <w:spacing w:before="0" w:after="120"/>
      </w:pPr>
      <w:r>
        <w:rPr>
          <w:b/>
        </w:rPr>
        <w:t xml:space="preserve">Source: </w:t>
      </w:r>
      <w:r>
        <w:t>ScienceDirect Publication: Applied Energy</w:t>
      </w:r>
      <w:r>
        <w:t xml:space="preserve">    </w:t>
      </w:r>
      <w:r>
        <w:rPr>
          <w:b/>
        </w:rPr>
        <w:t xml:space="preserve">Pub date: </w:t>
      </w:r>
      <w:r>
        <w:t>2026-07-25 00:00:00+00:00</w:t>
      </w:r>
      <w:r>
        <w:t xml:space="preserve">    </w:t>
      </w:r>
      <w:r>
        <w:rPr>
          <w:b/>
        </w:rPr>
        <w:t xml:space="preserve">DOI: </w:t>
      </w:r>
      <w:hyperlink r:id="rId279">
        <w:r>
          <w:rPr>
            <w:color w:val="1155CC"/>
            <w:u w:val="single"/>
          </w:rPr>
          <w:t>10.1016/j.apenergy.2026.128425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280">
        <w:r>
          <w:rPr>
            <w:color w:val="1155CC"/>
            <w:u w:val="single"/>
          </w:rPr>
          <w:t>受体掺杂的氧化铈使金属纳米催化剂能够从氨中制氢</w:t>
        </w:r>
      </w:hyperlink>
    </w:p>
    <w:p>
      <w:pPr>
        <w:spacing w:before="0" w:after="80"/>
      </w:pPr>
      <w:r>
        <w:rPr>
          <w:i/>
          <w:sz w:val="20"/>
        </w:rPr>
        <w:t>EN: Acceptor‐Doped Cerium Oxides Enabling Metallic Nanocatalyst Exsolution for Hydrogen Production From Ammonia</w:t>
      </w:r>
    </w:p>
    <w:p>
      <w:pPr>
        <w:spacing w:before="0" w:after="120"/>
      </w:pPr>
      <w:r>
        <w:rPr>
          <w:b/>
        </w:rPr>
        <w:t xml:space="preserve">Source: </w:t>
      </w:r>
      <w:r>
        <w:t>Wiley: Angewandte Chemie International Edition: Table of Contents</w:t>
      </w:r>
      <w:r>
        <w:t xml:space="preserve">    </w:t>
      </w:r>
      <w:r>
        <w:rPr>
          <w:b/>
        </w:rPr>
        <w:t xml:space="preserve">Pub date: </w:t>
      </w:r>
      <w:r>
        <w:t>2026-07-25 04:05:23+00:00</w:t>
      </w:r>
      <w:r>
        <w:t xml:space="preserve">    </w:t>
      </w:r>
      <w:r>
        <w:rPr>
          <w:b/>
        </w:rPr>
        <w:t xml:space="preserve">DOI: </w:t>
      </w:r>
      <w:hyperlink r:id="rId281">
        <w:r>
          <w:rPr>
            <w:color w:val="1155CC"/>
            <w:u w:val="single"/>
          </w:rPr>
          <w:t>10.1002/anie.6182981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具有增强活性和耐用性的先进催化剂对于推动通过氨裂解可持续生产氢气至关重要。从这个意义上说，外溶在生成嵌入具有高抗烧结性的氧化物载体中的稳定且活性的纳米粒子方面已获得了突出的地位。然而，将这些方法扩展到 CeO 仍面临挑战</w:t>
      </w:r>
      <w:r>
        <w:rPr>
          <w:vertAlign w:val="subscript"/>
        </w:rPr>
        <w:t>2</w:t>
      </w:r>
      <w:r>
        <w:t>由于过渡金属在萤石氧化物中的溶解度有限，因此基于过渡金属的体系。在此，证明了将 Gd 掺入 CeO</w:t>
      </w:r>
      <w:r>
        <w:rPr>
          <w:vertAlign w:val="subscript"/>
        </w:rPr>
        <w:t>2</w:t>
      </w:r>
      <w:r>
        <w:t>晶格增强了 Ru 和 Rh 的成功溶解，促进了高度分散的金属纳米颗粒（∼3 nm）的溶出，包括 RuRh 合金。由此产生的Ru-exsolved@Ce</w:t>
      </w:r>
      <w:r>
        <w:t xml:space="preserve"> </w:t>
      </w:r>
      <w:r>
        <w:t>0.8</w:t>
      </w:r>
      <w:r>
        <w:t xml:space="preserve"> </w:t>
      </w:r>
      <w:r>
        <w:t>钆</w:t>
      </w:r>
      <w:r>
        <w:t xml:space="preserve"> </w:t>
      </w:r>
      <w:r>
        <w:t>0.2</w:t>
      </w:r>
      <w:r>
        <w:t xml:space="preserve"> </w:t>
      </w:r>
      <w:r>
        <w:t>氧</w:t>
      </w:r>
      <w:r>
        <w:t xml:space="preserve"> </w:t>
      </w:r>
      <w:r>
        <w:t>2-δ</w:t>
      </w:r>
      <w:r>
        <w:t xml:space="preserve"> </w:t>
      </w:r>
      <w:r>
        <w:t>催化剂在氨分解中表现出显着的催化活性和260小时的长期稳定性，优于Ru浸渍催化剂。此外，根据文献值进行基准测试表明，Ru‐exsolved@Ce</w:t>
      </w:r>
      <w:r>
        <w:t xml:space="preserve"> </w:t>
      </w:r>
      <w:r>
        <w:t>0.8</w:t>
      </w:r>
      <w:r>
        <w:t xml:space="preserve"> </w:t>
      </w:r>
      <w:r>
        <w:t>钆</w:t>
      </w:r>
      <w:r>
        <w:t xml:space="preserve"> </w:t>
      </w:r>
      <w:r>
        <w:t>0.2</w:t>
      </w:r>
      <w:r>
        <w:t xml:space="preserve"> </w:t>
      </w:r>
      <w:r>
        <w:t>氧</w:t>
      </w:r>
      <w:r>
        <w:t xml:space="preserve"> </w:t>
      </w:r>
      <w:r>
        <w:t>2-δ</w:t>
      </w:r>
      <w:r>
        <w:t xml:space="preserve"> </w:t>
      </w:r>
      <w:r>
        <w:t>是 400 °C 时最活跃的催化剂之一。这项工作凸显了 CeO 晶格修饰的潜力</w:t>
      </w:r>
      <w:r>
        <w:rPr>
          <w:vertAlign w:val="subscript"/>
        </w:rPr>
        <w:t>2</w:t>
      </w:r>
      <w:r>
        <w:t>通过受体掺杂的基于催化载体，导致显着的金属脱溶</w:t>
      </w:r>
    </w:p>
    <w:p>
      <w:pPr>
        <w:spacing w:before="0" w:after="200" w:lineRule="auto" w:line="276"/>
      </w:pPr>
      <w:r>
        <w:rPr>
          <w:b/>
        </w:rPr>
        <w:t xml:space="preserve">Abstract (EN): </w:t>
      </w:r>
      <w:r>
        <w:t>The development of advanced catalysts with enhanced activity and durability is essential for driving sustainable hydrogen production through ammonia cracking. In this sense, exsolution has gained prominence for generating stable and active nanoparticles socketed into the oxide support with high resistance to sintering. However, challenges remain in expanding these methods to CeO</w:t>
      </w:r>
      <w:r>
        <w:rPr>
          <w:vertAlign w:val="subscript"/>
        </w:rPr>
        <w:t>2</w:t>
      </w:r>
      <w:r>
        <w:t>‐based systems due to the limited solubility of transition metals in fluorite oxides. Here, it is demonstrated that incorporating Gd into the CeO</w:t>
      </w:r>
      <w:r>
        <w:rPr>
          <w:vertAlign w:val="subscript"/>
        </w:rPr>
        <w:t>2</w:t>
      </w:r>
      <w:r>
        <w:t>lattice enhances the successful dissolution of Ru and Rh, promoting the exsolution of highly dispersed metallic nanoparticles (∼3 nm), including RuRh alloys. The resulting Ru‐exsolved@Ce</w:t>
      </w:r>
      <w:r>
        <w:t xml:space="preserve"> </w:t>
      </w:r>
      <w:r>
        <w:t>0.8</w:t>
      </w:r>
      <w:r>
        <w:t xml:space="preserve"> </w:t>
      </w:r>
      <w:r>
        <w:t>Gd</w:t>
      </w:r>
      <w:r>
        <w:t xml:space="preserve"> </w:t>
      </w:r>
      <w:r>
        <w:t>0.2</w:t>
      </w:r>
      <w:r>
        <w:t xml:space="preserve"> </w:t>
      </w:r>
      <w:r>
        <w:t>O</w:t>
      </w:r>
      <w:r>
        <w:t xml:space="preserve"> </w:t>
      </w:r>
      <w:r>
        <w:t>2‐δ</w:t>
      </w:r>
      <w:r>
        <w:t xml:space="preserve"> </w:t>
      </w:r>
      <w:r>
        <w:t>catalyst exhibits remarkable catalytic activity and long‐term stability in ammonia decomposition for 260 h, outperforming Ru‐impregnated catalysts. In addition, benchmarking against literature values demonstrates that the Ru‐exsolved@Ce</w:t>
      </w:r>
      <w:r>
        <w:t xml:space="preserve"> </w:t>
      </w:r>
      <w:r>
        <w:t>0.8</w:t>
      </w:r>
      <w:r>
        <w:t xml:space="preserve"> </w:t>
      </w:r>
      <w:r>
        <w:t>Gd</w:t>
      </w:r>
      <w:r>
        <w:t xml:space="preserve"> </w:t>
      </w:r>
      <w:r>
        <w:t>0.2</w:t>
      </w:r>
      <w:r>
        <w:t xml:space="preserve"> </w:t>
      </w:r>
      <w:r>
        <w:t>O</w:t>
      </w:r>
      <w:r>
        <w:t xml:space="preserve"> </w:t>
      </w:r>
      <w:r>
        <w:t>2‐δ</w:t>
      </w:r>
      <w:r>
        <w:t xml:space="preserve"> </w:t>
      </w:r>
      <w:r>
        <w:t>are among the most active catalysts at 400 °C. This work highlights the potential of lattice modification of CeO</w:t>
      </w:r>
      <w:r>
        <w:rPr>
          <w:vertAlign w:val="subscript"/>
        </w:rPr>
        <w:t>2</w:t>
      </w:r>
      <w:r>
        <w:t>‐based catalytic supports via acceptor doping, resulting in significant metal‐exsolution dispersion and remarkably active catalysts for hydrogen generation via ammonia decomposition, with potential applications that can be expanded to other (electro)catalytic systems.</w:t>
      </w:r>
    </w:p>
    <w:p>
      <w:pPr>
        <w:spacing w:before="120" w:after="120"/>
      </w:pPr>
      <w:r>
        <w:rPr>
          <w:sz w:val="18"/>
        </w:rPr>
        <w:t>——————————————————————————————————————————————————————————————————————</w:t>
      </w:r>
    </w:p>
    <w:p>
      <w:pPr>
        <w:spacing w:before="160" w:after="40" w:line="240" w:lineRule="auto"/>
      </w:pPr>
      <w:r>
        <w:rPr>
          <w:b/>
        </w:rPr>
        <w:t xml:space="preserve">[20] </w:t>
      </w:r>
      <w:hyperlink r:id="rId282">
        <w:r>
          <w:rPr>
            <w:color w:val="1155CC"/>
            <w:u w:val="single"/>
          </w:rPr>
          <w:t>开放式支架三相界面可减轻 Pt 中毒并促进 PEMFC 中的传质</w:t>
        </w:r>
      </w:hyperlink>
    </w:p>
    <w:p>
      <w:pPr>
        <w:spacing w:before="0" w:after="80"/>
      </w:pPr>
      <w:r>
        <w:rPr>
          <w:i/>
          <w:sz w:val="20"/>
        </w:rPr>
        <w:t>EN: Open Scaffolded Triple‐Phase Interface for Alleviating Pt Poisoning and Boosting Mass Transport in PEMFCs</w:t>
      </w:r>
    </w:p>
    <w:p>
      <w:pPr>
        <w:spacing w:before="0" w:after="120"/>
      </w:pPr>
      <w:r>
        <w:rPr>
          <w:b/>
        </w:rPr>
        <w:t xml:space="preserve">Source: </w:t>
      </w:r>
      <w:r>
        <w:t>Wiley: Advanced Energy Materials: Table of Contents</w:t>
      </w:r>
      <w:r>
        <w:t xml:space="preserve">    </w:t>
      </w:r>
      <w:r>
        <w:rPr>
          <w:b/>
        </w:rPr>
        <w:t xml:space="preserve">Pub date: </w:t>
      </w:r>
      <w:r>
        <w:t>2026-07-25 14:30:50+00:00</w:t>
      </w:r>
      <w:r>
        <w:t xml:space="preserve">    </w:t>
      </w:r>
      <w:r>
        <w:rPr>
          <w:b/>
        </w:rPr>
        <w:t xml:space="preserve">DOI: </w:t>
      </w:r>
      <w:hyperlink r:id="rId283">
        <w:r>
          <w:rPr>
            <w:color w:val="1155CC"/>
            <w:u w:val="single"/>
          </w:rPr>
          <w:t>10.1002/aenm.71353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质子交换膜燃料电池（PEMFC）中的传统三相界面（TPI）依靠致密的离聚物封装来传导质子，但这不可避免地会导致铂（Pt）催化剂中毒并阻碍氧传输。在这里，我们用开放式支架 TPI 取代了这种封闭的结构，该 TPI 是通过引入磺化共价有机框架 (SCOF) 纳米片作为 Pt 离聚物基质内的刚性多孔支架而构建的。与紧密涂覆 Pt 的传统离聚物薄膜不同，SCOF 支架充当物理间隔物，抑制直接离聚物吸附，而其有序纳米通道充当专用的质子高速公路，其固有的孔隙率有利于氧扩散。这种开放式架构解耦了质子传导和催化剂可及性的竞争要求，同时减轻了 Pt 中毒并增强了质量传输。因此，工程阴极表现出大幅降低的磺酸基覆盖率和改善的质子传导性，同时显着降低了与压力无关的氧传输阻力。 0.05 mg 超低铂负载量</w:t>
      </w:r>
      <w:r>
        <w:t xml:space="preserve"> </w:t>
      </w:r>
      <w:r>
        <w:t>铂</w:t>
      </w:r>
      <w:r>
        <w:t xml:space="preserve"> </w:t>
      </w:r>
      <w:r>
        <w:t>厘米</w:t>
      </w:r>
      <w:r>
        <w:t xml:space="preserve"> </w:t>
      </w:r>
      <w:r>
        <w:t>−2</w:t>
      </w:r>
      <w:r>
        <w:t xml:space="preserve"> </w:t>
      </w:r>
      <w:r>
        <w:t>，系统的峰值功率密度为 0.86 W cm</w:t>
      </w:r>
      <w:r>
        <w:t xml:space="preserve"> </w:t>
      </w:r>
      <w:r>
        <w:t>−2</w:t>
      </w:r>
      <w:r>
        <w:t xml:space="preserve"> </w:t>
      </w:r>
      <w:r>
        <w:t>在H下</w:t>
      </w:r>
      <w:r>
        <w:rPr>
          <w:vertAlign w:val="subscript"/>
        </w:rPr>
        <w:t>2</w:t>
      </w:r>
      <w:r>
        <w:t>/air，比传统的同类产品提高了 24%。这项工作建立了一种开放式支架设计范式，从根本上打破了传统</w:t>
      </w:r>
    </w:p>
    <w:p>
      <w:pPr>
        <w:spacing w:before="0" w:after="200" w:lineRule="auto" w:line="276"/>
      </w:pPr>
      <w:r>
        <w:rPr>
          <w:b/>
        </w:rPr>
        <w:t xml:space="preserve">Abstract (EN): </w:t>
      </w:r>
      <w:r>
        <w:t>The conventional triple‐phase interface (TPI) in proton exchange membrane fuel cells (PEMFCs) relies on dense ionomer encapsulation to conduct protons, but this inevitably poisons platinum (Pt) catalysts and blocks oxygen transport. Here, we replace this closed architecture with an open, scaffolded TPI constructed by introducing sulfonated covalent organic framework (SCOF) nanosheets as a rigid, porous scaffold within the Pt‐ionomer matrix. Unlike the conventional ionomer film that intimately coats Pt, the SCOF scaffold acts as a physical spacer that suppresses direct ionomer adsorption, while its ordered nanochannels serve as dedicated proton highways and its intrinsic porosity facilitates oxygen diffusion. This open architecture decouples the competing requirements of proton conduction and catalyst accessibility, concurrently mitigating Pt poisoning and enhancing mass transport. Accordingly, the engineered cathode exhibits substantially reduced sulfonate‐group coverage and improved proton conduction, alongside a significantly decreased pressure‐independent oxygen transport resistance. At an ultralow Pt loading of 0.05 mg</w:t>
      </w:r>
      <w:r>
        <w:t xml:space="preserve"> </w:t>
      </w:r>
      <w:r>
        <w:t>Pt</w:t>
      </w:r>
      <w:r>
        <w:t xml:space="preserve"> </w:t>
      </w:r>
      <w:r>
        <w:t>cm</w:t>
      </w:r>
      <w:r>
        <w:t xml:space="preserve"> </w:t>
      </w:r>
      <w:r>
        <w:t>−2</w:t>
      </w:r>
      <w:r>
        <w:t xml:space="preserve"> </w:t>
      </w:r>
      <w:r>
        <w:t>, the system delivers a peak power density of 0.86 W cm</w:t>
      </w:r>
      <w:r>
        <w:t xml:space="preserve"> </w:t>
      </w:r>
      <w:r>
        <w:t>−2</w:t>
      </w:r>
      <w:r>
        <w:t xml:space="preserve"> </w:t>
      </w:r>
      <w:r>
        <w:t>under H</w:t>
      </w:r>
      <w:r>
        <w:rPr>
          <w:vertAlign w:val="subscript"/>
        </w:rPr>
        <w:t>2</w:t>
      </w:r>
      <w:r>
        <w:t>/air, representing a 24% improvement over the conventional counterpart. This work establishes an open‐scaffold design paradigm that fundamentally breaks away from the traditional ionomer‐encapsulated TPI, offering a generalizable route to high‐performance, low‐Pt‐loading PEMFCs.</w:t>
      </w:r>
    </w:p>
    <w:p>
      <w:pPr>
        <w:spacing w:before="120" w:after="120"/>
      </w:pPr>
      <w:r>
        <w:rPr>
          <w:sz w:val="18"/>
        </w:rPr>
        <w:t>——————————————————————————————————————————————————————————————————————</w:t>
      </w:r>
    </w:p>
    <w:p>
      <w:pPr>
        <w:spacing w:before="160" w:after="40" w:line="240" w:lineRule="auto"/>
      </w:pPr>
      <w:r>
        <w:rPr>
          <w:b/>
        </w:rPr>
        <w:t xml:space="preserve">[21] </w:t>
      </w:r>
      <w:hyperlink r:id="rId284">
        <w:r>
          <w:rPr>
            <w:color w:val="1155CC"/>
            <w:u w:val="single"/>
          </w:rPr>
          <w:t>选择性电化学将氮氧化物还原为氮气，用于可持续氨能源系统</w:t>
        </w:r>
      </w:hyperlink>
    </w:p>
    <w:p>
      <w:pPr>
        <w:spacing w:before="0" w:after="80"/>
      </w:pPr>
      <w:r>
        <w:rPr>
          <w:i/>
          <w:sz w:val="20"/>
        </w:rPr>
        <w:t>EN: Selective Electrochemical NOx Reduction to N2 for Sustainable Ammonia Energy Systems</w:t>
      </w:r>
    </w:p>
    <w:p>
      <w:pPr>
        <w:spacing w:before="0" w:after="120"/>
      </w:pPr>
      <w:r>
        <w:rPr>
          <w:b/>
        </w:rPr>
        <w:t xml:space="preserve">Source: </w:t>
      </w:r>
      <w:r>
        <w:t>Wiley: Advanced Materials: Table of Contents</w:t>
      </w:r>
      <w:r>
        <w:t xml:space="preserve">    </w:t>
      </w:r>
      <w:r>
        <w:rPr>
          <w:b/>
        </w:rPr>
        <w:t xml:space="preserve">Pub date: </w:t>
      </w:r>
      <w:r>
        <w:t>2026-07-25 21:27:08+00:00</w:t>
      </w:r>
      <w:r>
        <w:t xml:space="preserve">    </w:t>
      </w:r>
      <w:r>
        <w:rPr>
          <w:b/>
        </w:rPr>
        <w:t xml:space="preserve">DOI: </w:t>
      </w:r>
      <w:hyperlink r:id="rId285">
        <w:r>
          <w:rPr>
            <w:color w:val="1155CC"/>
            <w:u w:val="single"/>
          </w:rPr>
          <w:t>10.1002/adma.74253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以氨为基础的能源系统提供了一条通往无碳能源的途径，但一氧化氮</w:t>
      </w:r>
      <w:r>
        <w:t xml:space="preserve"> </w:t>
      </w:r>
      <w:r>
        <w:t>x</w:t>
      </w:r>
      <w:r>
        <w:t xml:space="preserve"> </w:t>
      </w:r>
      <w:r>
        <w:t>氨燃烧的排放阻碍了可持续闭环的实现。电化学NO</w:t>
      </w:r>
      <w:r>
        <w:t xml:space="preserve"> </w:t>
      </w:r>
      <w:r>
        <w:t>x</w:t>
      </w:r>
      <w:r>
        <w:t xml:space="preserve"> </w:t>
      </w:r>
      <w:r>
        <w:t>还原反应（eNO</w:t>
      </w:r>
      <w:r>
        <w:t xml:space="preserve"> </w:t>
      </w:r>
      <w:r>
        <w:t>x</w:t>
      </w:r>
      <w:r>
        <w:t xml:space="preserve"> </w:t>
      </w:r>
      <w:r>
        <w:t>RR) 提供了一种有前景的 NO 转化途径</w:t>
      </w:r>
      <w:r>
        <w:t xml:space="preserve"> </w:t>
      </w:r>
      <w:r>
        <w:t>x</w:t>
      </w:r>
      <w:r>
        <w:t xml:space="preserve"> </w:t>
      </w:r>
      <w:r>
        <w:t>良性 N</w:t>
      </w:r>
      <w:r>
        <w:rPr>
          <w:vertAlign w:val="subscript"/>
        </w:rPr>
        <w:t>2</w:t>
      </w:r>
      <w:r>
        <w:t>在温和的条件下。但在低NO条件下</w:t>
      </w:r>
      <w:r>
        <w:t xml:space="preserve"> </w:t>
      </w:r>
      <w:r>
        <w:t>x</w:t>
      </w:r>
      <w:r>
        <w:t xml:space="preserve"> </w:t>
      </w:r>
      <w:r>
        <w:t>实际废气流的典型浓度，N</w:t>
      </w:r>
      <w:r>
        <w:rPr>
          <w:vertAlign w:val="subscript"/>
        </w:rPr>
        <w:t>2</w:t>
      </w:r>
      <w:r>
        <w:t>选择性受到竞争氢化、析氢和低效中间体利用的限制。在这里，我们提出了选择性 NO 的机制观点</w:t>
      </w:r>
      <w:r>
        <w:t xml:space="preserve"> </w:t>
      </w:r>
      <w:r>
        <w:t>x</w:t>
      </w:r>
      <w:r>
        <w:t xml:space="preserve"> </w:t>
      </w:r>
      <w:r>
        <w:t>‐到‐N</w:t>
      </w:r>
      <w:r>
        <w:rPr>
          <w:vertAlign w:val="subscript"/>
        </w:rPr>
        <w:t>2</w:t>
      </w:r>
      <w:r>
        <w:t>转换，突出显示 eNO</w:t>
      </w:r>
      <w:r>
        <w:t xml:space="preserve"> </w:t>
      </w:r>
      <w:r>
        <w:t>x</w:t>
      </w:r>
      <w:r>
        <w:t xml:space="preserve"> </w:t>
      </w:r>
      <w:r>
        <w:t>RR 通过 *NO 介导的 N 途径进行</w:t>
      </w:r>
      <w:r>
        <w:rPr>
          <w:vertAlign w:val="subscript"/>
        </w:rPr>
        <w:t>2</w:t>
      </w:r>
      <w:r>
        <w:t>O作为关键中间体，而低表面覆盖率限制了N-N耦合。我们建议将串联催化与界面微环境调节相结合，为增强 N 提供了统一的策略。</w:t>
      </w:r>
      <w:r>
        <w:rPr>
          <w:vertAlign w:val="subscript"/>
        </w:rPr>
        <w:t>2</w:t>
      </w:r>
      <w:r>
        <w:t>选择性。最后，我们概述了气相和稀释条件下实际实施的关键挑战，提供了高效电化学脱氮的设计原则。这个框架有</w:t>
      </w:r>
    </w:p>
    <w:p>
      <w:pPr>
        <w:spacing w:before="0" w:after="200" w:lineRule="auto" w:line="276"/>
      </w:pPr>
      <w:r>
        <w:rPr>
          <w:b/>
        </w:rPr>
        <w:t xml:space="preserve">Abstract (EN): </w:t>
      </w:r>
      <w:r>
        <w:t>Ammonia‐based energy systems offer a pathway toward carbon‐free energy, yet NO</w:t>
      </w:r>
      <w:r>
        <w:t xml:space="preserve"> </w:t>
      </w:r>
      <w:r>
        <w:t>x</w:t>
      </w:r>
      <w:r>
        <w:t xml:space="preserve"> </w:t>
      </w:r>
      <w:r>
        <w:t>emissions from ammonia combustion hinder the realization of a sustainable closed‐loop. Electrochemical NO</w:t>
      </w:r>
      <w:r>
        <w:t xml:space="preserve"> </w:t>
      </w:r>
      <w:r>
        <w:t>x</w:t>
      </w:r>
      <w:r>
        <w:t xml:space="preserve"> </w:t>
      </w:r>
      <w:r>
        <w:t>reduction reaction (eNO</w:t>
      </w:r>
      <w:r>
        <w:t xml:space="preserve"> </w:t>
      </w:r>
      <w:r>
        <w:t>x</w:t>
      </w:r>
      <w:r>
        <w:t xml:space="preserve"> </w:t>
      </w:r>
      <w:r>
        <w:t>RR) provides a promising route to convert NO</w:t>
      </w:r>
      <w:r>
        <w:t xml:space="preserve"> </w:t>
      </w:r>
      <w:r>
        <w:t>x</w:t>
      </w:r>
      <w:r>
        <w:t xml:space="preserve"> </w:t>
      </w:r>
      <w:r>
        <w:t>to benign N</w:t>
      </w:r>
      <w:r>
        <w:rPr>
          <w:vertAlign w:val="subscript"/>
        </w:rPr>
        <w:t>2</w:t>
      </w:r>
      <w:r>
        <w:t>under mild conditions. However, under the low NO</w:t>
      </w:r>
      <w:r>
        <w:t xml:space="preserve"> </w:t>
      </w:r>
      <w:r>
        <w:t>x</w:t>
      </w:r>
      <w:r>
        <w:t xml:space="preserve"> </w:t>
      </w:r>
      <w:r>
        <w:t>concentrations typical of practical exhaust streams, N</w:t>
      </w:r>
      <w:r>
        <w:rPr>
          <w:vertAlign w:val="subscript"/>
        </w:rPr>
        <w:t>2</w:t>
      </w:r>
      <w:r>
        <w:t>selectivity is limited by competing hydrogenation, hydrogen evolution, and inefficient intermediate utilization. Here, we present a mechanistic perspective on selective NO</w:t>
      </w:r>
      <w:r>
        <w:t xml:space="preserve"> </w:t>
      </w:r>
      <w:r>
        <w:t>x</w:t>
      </w:r>
      <w:r>
        <w:t xml:space="preserve"> </w:t>
      </w:r>
      <w:r>
        <w:t>‐to‐N</w:t>
      </w:r>
      <w:r>
        <w:rPr>
          <w:vertAlign w:val="subscript"/>
        </w:rPr>
        <w:t>2</w:t>
      </w:r>
      <w:r>
        <w:t>conversion, highlighting that eNO</w:t>
      </w:r>
      <w:r>
        <w:t xml:space="preserve"> </w:t>
      </w:r>
      <w:r>
        <w:t>x</w:t>
      </w:r>
      <w:r>
        <w:t xml:space="preserve"> </w:t>
      </w:r>
      <w:r>
        <w:t>RR proceeds through *NO‐mediated pathways with N</w:t>
      </w:r>
      <w:r>
        <w:rPr>
          <w:vertAlign w:val="subscript"/>
        </w:rPr>
        <w:t>2</w:t>
      </w:r>
      <w:r>
        <w:t>O as a key intermediate, while low surface coverage restricts N–N coupling. We propose that integrating tandem catalysis with interfacial microenvironment regulation offers a unified strategy to enhance N</w:t>
      </w:r>
      <w:r>
        <w:rPr>
          <w:vertAlign w:val="subscript"/>
        </w:rPr>
        <w:t>2</w:t>
      </w:r>
      <w:r>
        <w:t>selectivity. Finally, we outline key challenges for practical implementation under gas‐phase and dilute conditions, providing design principles for efficient electrochemical denitrification. This framework has the potential to enable scalable NO</w:t>
      </w:r>
      <w:r>
        <w:t xml:space="preserve"> </w:t>
      </w:r>
      <w:r>
        <w:t>x</w:t>
      </w:r>
      <w:r>
        <w:t xml:space="preserve"> </w:t>
      </w:r>
      <w:r>
        <w:t>removal and support a closed‐loop ammonia energy system.</w:t>
      </w:r>
    </w:p>
    <w:p>
      <w:pPr>
        <w:spacing w:before="120" w:after="120"/>
      </w:pPr>
      <w:r>
        <w:rPr>
          <w:sz w:val="18"/>
        </w:rPr>
        <w:t>——————————————————————————————————————————————————————————————————————</w:t>
      </w:r>
    </w:p>
    <w:p>
      <w:pPr>
        <w:spacing w:before="160" w:after="40" w:line="240" w:lineRule="auto"/>
      </w:pPr>
      <w:r>
        <w:rPr>
          <w:b/>
        </w:rPr>
        <w:t xml:space="preserve">[22] </w:t>
      </w:r>
      <w:hyperlink r:id="rId286">
        <w:r>
          <w:rPr>
            <w:color w:val="1155CC"/>
            <w:u w:val="single"/>
          </w:rPr>
          <w:t>前景的基础：固态储氢共价有机框架的合成调节</w:t>
        </w:r>
      </w:hyperlink>
    </w:p>
    <w:p>
      <w:pPr>
        <w:spacing w:before="0" w:after="80"/>
      </w:pPr>
      <w:r>
        <w:rPr>
          <w:i/>
          <w:sz w:val="20"/>
        </w:rPr>
        <w:t>EN: Fundamentals to Prospects: Synthetic Tuning of Covalent Organic Frameworks for Solid‐State Hydrogen Storage</w:t>
      </w:r>
    </w:p>
    <w:p>
      <w:pPr>
        <w:spacing w:before="0" w:after="120"/>
      </w:pPr>
      <w:r>
        <w:rPr>
          <w:b/>
        </w:rPr>
        <w:t xml:space="preserve">Source: </w:t>
      </w:r>
      <w:r>
        <w:t>Wiley: Advanced Materials: Table of Contents</w:t>
      </w:r>
      <w:r>
        <w:t xml:space="preserve">    </w:t>
      </w:r>
      <w:r>
        <w:rPr>
          <w:b/>
        </w:rPr>
        <w:t xml:space="preserve">Pub date: </w:t>
      </w:r>
      <w:r>
        <w:t>2026-07-25 21:36:35+00:00</w:t>
      </w:r>
      <w:r>
        <w:t xml:space="preserve">    </w:t>
      </w:r>
      <w:r>
        <w:rPr>
          <w:b/>
        </w:rPr>
        <w:t xml:space="preserve">DOI: </w:t>
      </w:r>
      <w:hyperlink r:id="rId287">
        <w:r>
          <w:rPr>
            <w:color w:val="1155CC"/>
            <w:u w:val="single"/>
          </w:rPr>
          <w:t>10.1002/adma.74347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共价有机框架（COF）中实现最佳储氢性能需要精确的合成调节，以平衡孔结构、功能化和结构稳定性，同时确保可扩展性。然而，将实验室规模的进步转化为实际应用仍然存在重大挑战。这篇综述批判性地审视了 COF 合成中的关键挑战，包括孔隙率和功能化之间的权衡、对分层孔隙结构精确控制的需要以及再现性和大规模制造的限制。我们强调了当前合成策略的瓶颈，例如在保持结晶度的同时实现高氢结合亲和力的困难，以及在不影响材料性能的情况下集成可扩展合成技术的挑战。我们探索新兴的可扩展合成方法，包括微波辅助、机械化学和界面合成，这些方法为工业可行性提供了途径。此外，我们还讨论了 COF 设计的未来前景，强调机器学习、高通量筛选和预测建模在加速材料发现和优化中的作用。通过整合计算和实验见解，我们提出了一个数据驱动的路线图来指导 COF 的合理设计，旨在弥合基础研究和实际储氢应用之间的差距。</w:t>
      </w:r>
    </w:p>
    <w:p>
      <w:pPr>
        <w:spacing w:before="0" w:after="200" w:lineRule="auto" w:line="276"/>
      </w:pPr>
      <w:r>
        <w:rPr>
          <w:b/>
        </w:rPr>
        <w:t xml:space="preserve">Abstract (EN): </w:t>
      </w:r>
      <w:r>
        <w:t>Achieving optimal hydrogen storage performance in covalent organic frameworks (COFs) requires precise synthetic tuning to balance pore architecture, functionalization, and structural stability while ensuring scalability. However, significant challenges remain in translating laboratory‐scale advancements into practical applications. This review critically examines the key challenges in COF synthesis, including the trade‐off between porosity and functionalization, the need for precise control over hierarchical pore structures, and limitations in reproducibility and large‐scale fabrication. We highlight the bottlenecks in current synthetic strategies, such as the difficulty in maintaining crystallinity while achieving high hydrogen binding affinity, and the challenges of integrating scalable synthesis techniques without compromising material performance. We explore emerging scalable synthesis approaches, including microwave‐assisted, mechanochemical, and interfacial synthesis, which offer pathways toward industrial feasibility. Additionally, we discuss the future prospects of COF design, emphasizing the role of machine learning, high‐throughput screening, and predictive modeling in accelerating material discovery and optimization. By integrating computational and experimental insights, we propose a data‐driven roadmap for guiding the rational design of COFs, aiming to bridge the gap between fundamental research and practical hydrogen storage applications.</w:t>
      </w:r>
    </w:p>
    <w:p>
      <w:pPr>
        <w:spacing w:before="120" w:after="120"/>
      </w:pPr>
      <w:r>
        <w:rPr>
          <w:sz w:val="18"/>
        </w:rPr>
        <w:t>——————————————————————————————————————————————————————————————————————</w:t>
      </w:r>
    </w:p>
    <w:p>
      <w:pPr>
        <w:spacing w:before="160" w:after="40" w:line="240" w:lineRule="auto"/>
      </w:pPr>
      <w:r>
        <w:rPr>
          <w:b/>
        </w:rPr>
        <w:t xml:space="preserve">[23] </w:t>
      </w:r>
      <w:hyperlink r:id="rId288">
        <w:r>
          <w:rPr>
            <w:color w:val="1155CC"/>
            <w:u w:val="single"/>
          </w:rPr>
          <w:t>通过还原钌-氧-钌配位激活析氧电催化</w:t>
        </w:r>
      </w:hyperlink>
    </w:p>
    <w:p>
      <w:pPr>
        <w:spacing w:before="0" w:after="80"/>
      </w:pPr>
      <w:r>
        <w:rPr>
          <w:i/>
          <w:sz w:val="20"/>
        </w:rPr>
        <w:t>EN: Activation of Oxygen Evolution Electrocatalysis via Reduced Ruthenium–Oxygen–Ruthenium Coordination</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289">
        <w:r>
          <w:rPr>
            <w:color w:val="1155CC"/>
            <w:u w:val="single"/>
          </w:rPr>
          <w:t>10.1021/jacs.6c06781</w:t>
        </w:r>
      </w:hyperlink>
    </w:p>
    <w:p>
      <w:pPr>
        <w:spacing w:before="0" w:after="120"/>
      </w:pPr>
      <w:r>
        <w:rPr>
          <w:b/>
        </w:rPr>
        <w:t xml:space="preserve">Notes: </w:t>
      </w:r>
      <w:r>
        <w:t>abstract_source=pubmed</w:t>
      </w:r>
    </w:p>
    <w:p>
      <w:pPr>
        <w:spacing w:before="0" w:after="80" w:lineRule="auto" w:line="276"/>
      </w:pPr>
      <w:r>
        <w:rPr>
          <w:b/>
        </w:rPr>
        <w:t xml:space="preserve">摘要（ZH）: </w:t>
      </w:r>
      <w:r>
        <w:t>RuO2 等贵金属氧化物是酸性电解质中阳极反应的最先进的电催化剂，但它们的稀缺性和温和的活性极大地限制了新兴的可再生能源技术。在这里，我们发现地球上丰富的氧化锰（MnO2/o-RuOx）纳米晶体载体上的钌氧化覆盖层表现出与还原的Ru-O-Ru配位相关的Ru化学态，从而实现氢键的动态切换，*OH中间体氢键合到表面O，*OOH中间体键合到突出的RuOx簇。所得电催化剂在酸中的析氧反应中在 10 mA cm-2 下表现出 218.9 ± 0.3 mV 的过电势，相当于与 RuO2 相比，Ru 质量活性增加了 2425%，从而能够构建在 1.646 V 下实现 3 A cm-2、在 1.8 V 下实现 5.54 A cm-2 的电解槽，并在100毫安厘米-2。这些发现激励人们进一步努力开发纳米材料，利用减少的 Ru-O-Ru 配位来实现新兴的可再生能源技术。</w:t>
      </w:r>
    </w:p>
    <w:p>
      <w:pPr>
        <w:spacing w:before="0" w:after="200" w:lineRule="auto" w:line="276"/>
      </w:pPr>
      <w:r>
        <w:rPr>
          <w:b/>
        </w:rPr>
        <w:t xml:space="preserve">Abstract (EN): </w:t>
      </w:r>
      <w:r>
        <w:t>Noble metal oxides such as RuO2 are the state-of-the-art electrocatalysts for anodic reactions in acidic electrolytes, but their scarcity and moderate activity greatly limit emerging renewable energy technologies. Here, we show that oxidized overlayers of ruthenium on earth-abundant manganese oxide (MnO2/o-RuOx) nanocrystal supports exhibit Ru chemical states associated with reduced Ru-O-Ru coordination that enable dynamic switching of hydrogen bonding, with *OH intermediates hydrogen bonding to surface O and *OOH intermediates bonding to protruding RuOx clusters. The resulting electrocatalysts exhibit an overpotential of 218.9 ± 0.3 mV at 10 mA cm-2 for the oxygen evolution reaction in acid, corresponding to a 2425% increase in Ru mass activity compared to RuO2, enabling the construction of electrolyzers that achieved 3 A cm-2 at 1.646 V, 5.54 A cm-2 at 1.8 V, and exhibited over 3000-h stability at 100 mA cm-2. These findings motivate further efforts to develop nanomaterials that harness reduced Ru-O-Ru coordination to enable emerging renewable energy technologies.</w:t>
      </w:r>
    </w:p>
    <w:p>
      <w:pPr>
        <w:spacing w:before="120" w:after="120"/>
      </w:pPr>
      <w:r>
        <w:rPr>
          <w:sz w:val="18"/>
        </w:rPr>
        <w:t>——————————————————————————————————————————————————————————————————————</w:t>
      </w:r>
    </w:p>
    <w:p>
      <w:pPr>
        <w:spacing w:before="160" w:after="40" w:line="240" w:lineRule="auto"/>
      </w:pPr>
      <w:r>
        <w:rPr>
          <w:b/>
        </w:rPr>
        <w:t xml:space="preserve">[24] </w:t>
      </w:r>
      <w:hyperlink r:id="rId290">
        <w:r>
          <w:rPr>
            <w:color w:val="1155CC"/>
            <w:u w:val="single"/>
          </w:rPr>
          <w:t>高功率质子交换膜燃料电池堆的冷启动：不均匀性控制和边缘电池性能增强</w:t>
        </w:r>
      </w:hyperlink>
    </w:p>
    <w:p>
      <w:pPr>
        <w:spacing w:before="0" w:after="80"/>
      </w:pPr>
      <w:r>
        <w:rPr>
          <w:i/>
          <w:sz w:val="20"/>
        </w:rPr>
        <w:t>EN: Cold-start of high-power PEMFC stacks: inhomogeneity control and edge cell performance enhancement</w:t>
      </w:r>
    </w:p>
    <w:p>
      <w:pPr>
        <w:spacing w:before="0" w:after="120"/>
      </w:pPr>
      <w:r>
        <w:rPr>
          <w:b/>
        </w:rPr>
        <w:t xml:space="preserve">Source: </w:t>
      </w:r>
      <w:r>
        <w:t>ScienceDirect Publication: Applied Energy</w:t>
      </w:r>
      <w:r>
        <w:t xml:space="preserve">    </w:t>
      </w:r>
      <w:r>
        <w:rPr>
          <w:b/>
        </w:rPr>
        <w:t xml:space="preserve">Pub date: </w:t>
      </w:r>
      <w:r>
        <w:t>2026-07-26 00:00:00+00:00</w:t>
      </w:r>
      <w:r>
        <w:t xml:space="preserve">    </w:t>
      </w:r>
      <w:r>
        <w:rPr>
          <w:b/>
        </w:rPr>
        <w:t xml:space="preserve">DOI: </w:t>
      </w:r>
      <w:hyperlink r:id="rId291">
        <w:r>
          <w:rPr>
            <w:color w:val="1155CC"/>
            <w:u w:val="single"/>
          </w:rPr>
          <w:t>10.1016/j.apenergy.2026.128395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 </w:t>
      </w:r>
      <w:hyperlink r:id="rId292">
        <w:r>
          <w:rPr>
            <w:color w:val="1155CC"/>
            <w:u w:val="single"/>
          </w:rPr>
          <w:t>用于质子交换膜燃料电池寿命预测的物理引导半经验退化模型</w:t>
        </w:r>
      </w:hyperlink>
    </w:p>
    <w:p>
      <w:pPr>
        <w:spacing w:before="0" w:after="80"/>
      </w:pPr>
      <w:r>
        <w:rPr>
          <w:i/>
          <w:sz w:val="20"/>
        </w:rPr>
        <w:t>EN: A physics-guided semi-empirical degradation model for lifetime prediction of proton exchange membrane fuel cells</w:t>
      </w:r>
    </w:p>
    <w:p>
      <w:pPr>
        <w:spacing w:before="0" w:after="120"/>
      </w:pPr>
      <w:r>
        <w:rPr>
          <w:b/>
        </w:rPr>
        <w:t xml:space="preserve">Source: </w:t>
      </w:r>
      <w:r>
        <w:t>ScienceDirect Publication: Applied Energy</w:t>
      </w:r>
      <w:r>
        <w:t xml:space="preserve">    </w:t>
      </w:r>
      <w:r>
        <w:rPr>
          <w:b/>
        </w:rPr>
        <w:t xml:space="preserve">Pub date: </w:t>
      </w:r>
      <w:r>
        <w:t>2026-07-26 00:00:00+00:00</w:t>
      </w:r>
      <w:r>
        <w:t xml:space="preserve">    </w:t>
      </w:r>
      <w:r>
        <w:rPr>
          <w:b/>
        </w:rPr>
        <w:t xml:space="preserve">DOI: </w:t>
      </w:r>
      <w:hyperlink r:id="rId293">
        <w:r>
          <w:rPr>
            <w:color w:val="1155CC"/>
            <w:u w:val="single"/>
          </w:rPr>
          <w:t>10.1016/j.apenergy.2026.128509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294">
        <w:r>
          <w:rPr>
            <w:color w:val="1155CC"/>
            <w:u w:val="single"/>
          </w:rPr>
          <w:t>水并非普遍推广：甲醇蒸汽重整中水效应的尺寸依赖性反转</w:t>
        </w:r>
      </w:hyperlink>
    </w:p>
    <w:p>
      <w:pPr>
        <w:spacing w:before="0" w:after="80"/>
      </w:pPr>
      <w:r>
        <w:rPr>
          <w:i/>
          <w:sz w:val="20"/>
        </w:rPr>
        <w:t>EN: Water Is Not Universally Promotional: Size‐Dependent Inversion of Water Effects in Methanol Steam Reforming</w:t>
      </w:r>
    </w:p>
    <w:p>
      <w:pPr>
        <w:spacing w:before="0" w:after="120"/>
      </w:pPr>
      <w:r>
        <w:rPr>
          <w:b/>
        </w:rPr>
        <w:t xml:space="preserve">Source: </w:t>
      </w:r>
      <w:r>
        <w:t>Wiley: Angewandte Chemie International Edition: Table of Contents</w:t>
      </w:r>
      <w:r>
        <w:t xml:space="preserve">    </w:t>
      </w:r>
      <w:r>
        <w:rPr>
          <w:b/>
        </w:rPr>
        <w:t xml:space="preserve">Pub date: </w:t>
      </w:r>
      <w:r>
        <w:t>2026-07-26 17:56:46+00:00</w:t>
      </w:r>
      <w:r>
        <w:t xml:space="preserve">    </w:t>
      </w:r>
      <w:r>
        <w:rPr>
          <w:b/>
        </w:rPr>
        <w:t xml:space="preserve">DOI: </w:t>
      </w:r>
      <w:hyperlink r:id="rId295">
        <w:r>
          <w:rPr>
            <w:color w:val="1155CC"/>
            <w:u w:val="single"/>
          </w:rPr>
          <w:t>10.1002/anie.1134406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人们普遍认为水在甲醇蒸汽重整中具有普遍的促进作用。在这里，我们表明，当考虑金属核和载体羟基化学时，这种假设不成立。使用一组明确的负载在富含羟基的 CeO 上的 Pt 单原子和纳米粒子催化剂</w:t>
      </w:r>
      <w:r>
        <w:rPr>
          <w:vertAlign w:val="subscript"/>
        </w:rPr>
        <w:t>2</w:t>
      </w:r>
      <w:r>
        <w:t>和贫羟基铝</w:t>
      </w:r>
      <w:r>
        <w:rPr>
          <w:vertAlign w:val="subscript"/>
        </w:rPr>
        <w:t>2</w:t>
      </w:r>
      <w:r>
        <w:t>氧</w:t>
      </w:r>
      <w:r>
        <w:rPr>
          <w:vertAlign w:val="subscript"/>
        </w:rPr>
        <w:t>3</w:t>
      </w:r>
      <w:r>
        <w:t>，我们发现了一种引人注目的、与尺寸相关的水效应反转。氧化铈上</w:t>
      </w:r>
      <w:r>
        <w:rPr>
          <w:vertAlign w:val="subscript"/>
        </w:rPr>
        <w:t>2</w:t>
      </w:r>
      <w:r>
        <w:t>‐负载的Pt纳米颗粒，水活化产生表面羟基，从Pt上吸收电子密度，削弱CO吸附并减轻CO中毒，从而增强活性。相比之下，相同的羟基物质通过竞争吸附位点和稳定动力学捕获的甲酸盐中间体来抑制单原子 Pt 上的甲醇转化。这些相反的影响在铝上消失了</w:t>
      </w:r>
      <w:r>
        <w:rPr>
          <w:vertAlign w:val="subscript"/>
        </w:rPr>
        <w:t>2</w:t>
      </w:r>
      <w:r>
        <w:t>氧</w:t>
      </w:r>
      <w:r>
        <w:rPr>
          <w:vertAlign w:val="subscript"/>
        </w:rPr>
        <w:t>3</w:t>
      </w:r>
      <w:r>
        <w:t>，其中水的活化受到限制。这种尺寸依赖性的反转扩展到其他单原子催化剂和可还原载体（例如，Pd</w:t>
      </w:r>
      <w:r>
        <w:rPr>
          <w:vertAlign w:val="subscript"/>
        </w:rPr>
        <w:t>1</w:t>
      </w:r>
      <w:r>
        <w:t>/氧化铈</w:t>
      </w:r>
      <w:r>
        <w:rPr>
          <w:vertAlign w:val="subscript"/>
        </w:rPr>
        <w:t>2</w:t>
      </w:r>
      <w:r>
        <w:t>, 铑</w:t>
      </w:r>
      <w:r>
        <w:rPr>
          <w:vertAlign w:val="subscript"/>
        </w:rPr>
        <w:t>1</w:t>
      </w:r>
      <w:r>
        <w:t>/氧化铈</w:t>
      </w:r>
      <w:r>
        <w:rPr>
          <w:vertAlign w:val="subscript"/>
        </w:rPr>
        <w:t>2</w:t>
      </w:r>
      <w:r>
        <w:t>），确认其普遍性并建立一个预测框架来理解和控制重整催化中的水效应。</w:t>
      </w:r>
    </w:p>
    <w:p>
      <w:pPr>
        <w:spacing w:before="0" w:after="200" w:lineRule="auto" w:line="276"/>
      </w:pPr>
      <w:r>
        <w:rPr>
          <w:b/>
        </w:rPr>
        <w:t xml:space="preserve">Abstract (EN): </w:t>
      </w:r>
      <w:r>
        <w:t>Water is widely assumed to be universally promotional in methanol steam reforming. Here, we show that this assumption fails when metal nuclearity and support hydroxyl chemistry are considered. Using a well‐defined set of Pt single‐atom and nanoparticle catalysts supported on hydroxyl‐rich CeO</w:t>
      </w:r>
      <w:r>
        <w:rPr>
          <w:vertAlign w:val="subscript"/>
        </w:rPr>
        <w:t>2</w:t>
      </w:r>
      <w:r>
        <w:t>and hydroxyl‐poor Al</w:t>
      </w:r>
      <w:r>
        <w:rPr>
          <w:vertAlign w:val="subscript"/>
        </w:rPr>
        <w:t>2</w:t>
      </w:r>
      <w:r>
        <w:t>O</w:t>
      </w:r>
      <w:r>
        <w:rPr>
          <w:vertAlign w:val="subscript"/>
        </w:rPr>
        <w:t>3</w:t>
      </w:r>
      <w:r>
        <w:t>, we uncover a striking, size‐dependent inversion of water effects. On CeO</w:t>
      </w:r>
      <w:r>
        <w:rPr>
          <w:vertAlign w:val="subscript"/>
        </w:rPr>
        <w:t>2</w:t>
      </w:r>
      <w:r>
        <w:t>‐supported Pt nanoparticles, water activation generates surface hydroxyls that withdraw electron density from Pt, weaken CO adsorption and alleviate CO poisoning, thereby enhancing activity. In contrast, the same hydroxyl species inhibit methanol conversion on single‐atom Pt by competing for adsorption sites and stabilizing kinetically trapped formate intermediates. These opposing effects vanish on Al</w:t>
      </w:r>
      <w:r>
        <w:rPr>
          <w:vertAlign w:val="subscript"/>
        </w:rPr>
        <w:t>2</w:t>
      </w:r>
      <w:r>
        <w:t>O</w:t>
      </w:r>
      <w:r>
        <w:rPr>
          <w:vertAlign w:val="subscript"/>
        </w:rPr>
        <w:t>3</w:t>
      </w:r>
      <w:r>
        <w:t>, where water activation is limited. This size‐dependent inversion extends to other single‐atom catalysts and reducible supports (e.g., Pd</w:t>
      </w:r>
      <w:r>
        <w:rPr>
          <w:vertAlign w:val="subscript"/>
        </w:rPr>
        <w:t>1</w:t>
      </w:r>
      <w:r>
        <w:t>/CeO</w:t>
      </w:r>
      <w:r>
        <w:rPr>
          <w:vertAlign w:val="subscript"/>
        </w:rPr>
        <w:t>2</w:t>
      </w:r>
      <w:r>
        <w:t>, Rh</w:t>
      </w:r>
      <w:r>
        <w:rPr>
          <w:vertAlign w:val="subscript"/>
        </w:rPr>
        <w:t>1</w:t>
      </w:r>
      <w:r>
        <w:t>/CeO</w:t>
      </w:r>
      <w:r>
        <w:rPr>
          <w:vertAlign w:val="subscript"/>
        </w:rPr>
        <w:t>2</w:t>
      </w:r>
      <w:r>
        <w:t>), confirming its generality and establishing a predictive framework for understanding and controlling water effects in reforming catalysis.</w:t>
      </w:r>
    </w:p>
    <w:p>
      <w:pPr>
        <w:spacing w:before="120" w:after="120"/>
      </w:pPr>
      <w:r>
        <w:rPr>
          <w:sz w:val="18"/>
        </w:rPr>
        <w:t>——————————————————————————————————————————————————————————————————————</w:t>
      </w:r>
    </w:p>
    <w:p>
      <w:pPr>
        <w:spacing w:before="160" w:after="40" w:line="240" w:lineRule="auto"/>
      </w:pPr>
      <w:r>
        <w:rPr>
          <w:b/>
        </w:rPr>
        <w:t xml:space="preserve">[27] </w:t>
      </w:r>
      <w:hyperlink r:id="rId296">
        <w:r>
          <w:rPr>
            <w:color w:val="1155CC"/>
            <w:u w:val="single"/>
          </w:rPr>
          <w:t>用于高效光电催化氮还原的 Fe-多金属氧酸盐亚 1 nm 组件的相工程</w:t>
        </w:r>
      </w:hyperlink>
    </w:p>
    <w:p>
      <w:pPr>
        <w:spacing w:before="0" w:after="80"/>
      </w:pPr>
      <w:r>
        <w:rPr>
          <w:i/>
          <w:sz w:val="20"/>
        </w:rPr>
        <w:t>EN: Phase Engineering of Fe-Polyoxometalate Sub-1 nm Assemblies for High-Efficiency Photoelectrocatalytic Nitrogen Reduction</w:t>
      </w:r>
    </w:p>
    <w:p>
      <w:pPr>
        <w:spacing w:before="0" w:after="120"/>
      </w:pPr>
      <w:r>
        <w:rPr>
          <w:b/>
        </w:rPr>
        <w:t xml:space="preserve">Source: </w:t>
      </w:r>
      <w:r>
        <w:t>Journal of the American Chemical Society: Latest Articles (ACS Publications)</w:t>
      </w:r>
      <w:r>
        <w:t xml:space="preserve">    </w:t>
      </w:r>
      <w:r>
        <w:rPr>
          <w:b/>
        </w:rPr>
        <w:t xml:space="preserve">Pub date: </w:t>
      </w:r>
      <w:r>
        <w:t>2026-07-27 00:00:00+00:00</w:t>
      </w:r>
      <w:r>
        <w:t xml:space="preserve">    </w:t>
      </w:r>
      <w:r>
        <w:rPr>
          <w:b/>
        </w:rPr>
        <w:t xml:space="preserve">DOI: </w:t>
      </w:r>
      <w:hyperlink r:id="rId297">
        <w:r>
          <w:rPr>
            <w:color w:val="1155CC"/>
            <w:u w:val="single"/>
          </w:rPr>
          <w:t>10.1021/jacs.6c07954</w:t>
        </w:r>
      </w:hyperlink>
    </w:p>
    <w:p>
      <w:pPr>
        <w:spacing w:before="0" w:after="120"/>
      </w:pPr>
      <w:r>
        <w:rPr>
          <w:b/>
        </w:rPr>
        <w:t xml:space="preserve">Notes: </w:t>
      </w:r>
      <w:r>
        <w:t>abstract_source=pubmed</w:t>
      </w:r>
    </w:p>
    <w:p>
      <w:pPr>
        <w:spacing w:before="0" w:after="80" w:lineRule="auto" w:line="276"/>
      </w:pPr>
      <w:r>
        <w:rPr>
          <w:b/>
        </w:rPr>
        <w:t xml:space="preserve">摘要（ZH）: </w:t>
      </w:r>
      <w:r>
        <w:t>铁取代的多金属氧酸盐（Fe-POM）簇由于其光敏性和电子缓冲能力而成为光电催化氮还原的有希望的候选者。然而，它们的催化性能受到固有簇结构和电极上溶解引起的分离的严重阻碍。在这里，我们使用 Fe-POM 作为“超原子”构建块，制备了一系列由不同阳离子配体驱动的一维（1D）亚纳米线和二维（2D）亚纳米片，其中簇通过可控排列直接连接。三种 Keggin 型簇可以用作构建块，表明该合成策略的通用性。一维亚纳米线对光电催化氮还原反应（PEC-NRR）表现出非凡的催化活性，氨产率高达 72.0 μg h-1 mg-1，比​​离散簇提高了 4.47 倍。实验和理论证据表明，Fe-POM 组件之间的电子离域会导致带隙变窄并增强光捕获，这也降低了速率决定步骤（*NNH 形成）的能垒。与活性位点的微环境设计不同，超结构工程可以为催化剂的电子结构调制提供通用的范例。</w:t>
      </w:r>
    </w:p>
    <w:p>
      <w:pPr>
        <w:spacing w:before="0" w:after="200" w:lineRule="auto" w:line="276"/>
      </w:pPr>
      <w:r>
        <w:rPr>
          <w:b/>
        </w:rPr>
        <w:t xml:space="preserve">Abstract (EN): </w:t>
      </w:r>
      <w:r>
        <w:t>Iron-substituted polyoxometalate (Fe-POM) clusters are promising candidates for photoelectrocatalytic nitrogen reduction due to their photosensitive and electron-buffering capabilities. However, their catalytic performances are severely hindered by the intrinsic cluster configuration and dissolution-induced detachment on the electrode. Here, using Fe-POM as "superatom" building blocks, we prepared a series of one-dimensional (1D) subnanowires and two-dimensional (2D) subnanosheets driven by different cation ligands, where clusters are connected directly with a controllable arrangement. Three kinds of Keggin-type clusters can be employed as building blocks, indicating the generality of this synthetic strategy. 1D subnanowires exhibit extraordinary catalytic activity toward the photoelectrocatalytic nitrogen reduction reaction (PEC-NRR), with a high ammonia yield of 72.0 μg h-1 mg-1, representing a 4.47-fold enhancement over the discrete clusters. Experimental and theoretical evidence demonstrate that electron delocalization among Fe-POM assemblies results in narrower band gaps and enhanced light harvesting, which also lowers the energy barrier for the rate-determining step (*NNH formation). Different from the microenvironment design of active sites, the superstructural engineering may offer a versatile paradigm for the electronic structure modulation of catalysts.</w:t>
      </w:r>
    </w:p>
    <w:p>
      <w:pPr>
        <w:spacing w:before="120" w:after="120"/>
      </w:pPr>
      <w:r>
        <w:rPr>
          <w:sz w:val="18"/>
        </w:rPr>
        <w:t>——————————————————————————————————————————————————————————————————————</w:t>
      </w:r>
    </w:p>
    <w:p>
      <w:pPr>
        <w:spacing w:before="160" w:after="40" w:line="240" w:lineRule="auto"/>
      </w:pPr>
      <w:r>
        <w:rPr>
          <w:b/>
        </w:rPr>
        <w:t xml:space="preserve">[28] </w:t>
      </w:r>
      <w:hyperlink r:id="rId298">
        <w:r>
          <w:rPr>
            <w:color w:val="1155CC"/>
            <w:u w:val="single"/>
          </w:rPr>
          <w:t>阴离子钝化可实现免重建海水电解</w:t>
        </w:r>
      </w:hyperlink>
    </w:p>
    <w:p>
      <w:pPr>
        <w:spacing w:before="0" w:after="80"/>
      </w:pPr>
      <w:r>
        <w:rPr>
          <w:i/>
          <w:sz w:val="20"/>
        </w:rPr>
        <w:t>EN: Anionic Passivation Enables Reconstruction-Free Seawater Electrolysis</w:t>
      </w:r>
    </w:p>
    <w:p>
      <w:pPr>
        <w:spacing w:before="0" w:after="120"/>
      </w:pPr>
      <w:r>
        <w:rPr>
          <w:b/>
        </w:rPr>
        <w:t xml:space="preserve">Source: </w:t>
      </w:r>
      <w:r>
        <w:t>Journal of the American Chemical Society: Latest Articles (ACS Publications)</w:t>
      </w:r>
      <w:r>
        <w:t xml:space="preserve">    </w:t>
      </w:r>
      <w:r>
        <w:rPr>
          <w:b/>
        </w:rPr>
        <w:t xml:space="preserve">Pub date: </w:t>
      </w:r>
      <w:r>
        <w:t>2026-07-27 00:00:00+00:00</w:t>
      </w:r>
      <w:r>
        <w:t xml:space="preserve">    </w:t>
      </w:r>
      <w:r>
        <w:rPr>
          <w:b/>
        </w:rPr>
        <w:t xml:space="preserve">DOI: </w:t>
      </w:r>
      <w:hyperlink r:id="rId299">
        <w:r>
          <w:rPr>
            <w:color w:val="1155CC"/>
            <w:u w:val="single"/>
          </w:rPr>
          <w:t>10.1021/jacs.6c10541</w:t>
        </w:r>
      </w:hyperlink>
    </w:p>
    <w:p>
      <w:pPr>
        <w:spacing w:before="0" w:after="120"/>
      </w:pPr>
      <w:r>
        <w:rPr>
          <w:b/>
        </w:rPr>
        <w:t xml:space="preserve">Notes: </w:t>
      </w:r>
      <w:r>
        <w:t>abstract_source=crossref</w:t>
      </w:r>
    </w:p>
    <w:p>
      <w:pPr>
        <w:spacing w:before="0" w:after="80" w:lineRule="auto" w:line="276"/>
      </w:pPr>
      <w:r>
        <w:rPr>
          <w:b/>
        </w:rPr>
        <w:t xml:space="preserve">摘要（ZH）: </w:t>
      </w:r>
      <w:r>
        <w:t>摘要 非氧化物电催化剂在高效海水氧化方面具有广阔的前景，但其实际应用受到高阳极电位下不可避免的表面重构和明显腐蚀的阻碍。在此，我们通过开发合理的阴离子配体钝化策略来解决这一长期存在的挑战，该策略可以稳定磷化物晶格以防止氧化降解，同时保留固有的电催化活性。利用路易斯酸碱相互作用，我们在 FeNiP (FNP) 载体上生长了超薄、欠配位的 TiOx 覆盖层。该覆盖层从晶格磷中吸出电子，使 P p 带中心下移，并在热力学上稳定整个阴离子亚晶格以防止氧化浸出。抗氧化支架进一步能够以～2.8 Å的明确原子间间距锚定原子有序的Ir阵列，通过氧化物途径机制促进直接O-O自由基偶联，并有效地绕过腐蚀性晶格氧途径。原位光谱和 18O 同位素示踪证实了完全无重建的 OER 行为，且晶格氧的参与可以忽略不计。所开发的TiIr@FNP催化剂实现了超低过电势（1 A cm-2时仅为310 mV），在碱性海水中稳定运行超过1200小时，并保持接近一致的法拉第效率。这项工作展示了在工业相关条件下设计耐用、高性能非氧化物阳极电催化剂的通用策略。</w:t>
      </w:r>
    </w:p>
    <w:p>
      <w:pPr>
        <w:spacing w:before="0" w:after="200" w:lineRule="auto" w:line="276"/>
      </w:pPr>
      <w:r>
        <w:rPr>
          <w:b/>
        </w:rPr>
        <w:t xml:space="preserve">Abstract (EN): </w:t>
      </w:r>
      <w:r>
        <w:t>Nonoxide electrocatalysts hold great promise for high-efficiency seawater oxidation, yet their practical application is hindered by the inevitable surface reconstruction and pronounced corrosion under high anodic potentials. Herein, we solve this longstanding challenge by developing a rational anionic ligand passivation strategy that stabilizes phosphide lattices against oxidative degradation while preserving inherent electrocatalytic activity. Leveraging Lewis acid–base interactions, we grow an ultrathin, undercoordinated TiOx overlayer on a FeNiP (FNP) support. This overlayer withdraws electrons from lattice phosphorus, downshifts the P p-band center, and thermodynamically stabilizes the entire anionic sublattice against oxidative leaching. The oxidation-resistant scaffold further enables the anchoring of atomically ordered Ir arrays with a well-defined interatomic spacing of ∼2.8 Å, promoting direct O–O radical coupling via the oxide pathway mechanism and effectively circumventing the corrosive lattice oxygen route. Operando spectroscopy and 18O isotope tracing confirm fully reconstruction-free OER behavior with negligible lattice oxygen participation. The as-developed TiIr@FNP catalyst achieves ultralow overpotentials (only 310 mV at 1 A cm–2), operates stably for over 1200 h in alkaline seawater, and maintains near-unity Faradaic efficiency. The work demonstrates a generalizable strategy for designing durable, high-performance nonoxide anodic electrocatalysts under industrially relevant conditions.</w:t>
      </w:r>
    </w:p>
    <w:p>
      <w:pPr>
        <w:spacing w:before="120" w:after="120"/>
      </w:pPr>
      <w:r>
        <w:rPr>
          <w:sz w:val="18"/>
        </w:rPr>
        <w:t>——————————————————————————————————————————————————————————————————————</w:t>
      </w:r>
    </w:p>
    <w:p>
      <w:pPr>
        <w:spacing w:before="160" w:after="40" w:line="240" w:lineRule="auto"/>
      </w:pPr>
      <w:r>
        <w:rPr>
          <w:b/>
        </w:rPr>
        <w:t xml:space="preserve">[29] </w:t>
      </w:r>
      <w:hyperlink r:id="rId300">
        <w:r>
          <w:rPr>
            <w:color w:val="1155CC"/>
            <w:u w:val="single"/>
          </w:rPr>
          <w:t>木质素衍生碳中的界面唐南水合漏斗协调RuNi协同作用用于醛辅助双氢电合成</w:t>
        </w:r>
      </w:hyperlink>
    </w:p>
    <w:p>
      <w:pPr>
        <w:spacing w:before="0" w:after="80"/>
      </w:pPr>
      <w:r>
        <w:rPr>
          <w:i/>
          <w:sz w:val="20"/>
        </w:rPr>
        <w:t>EN: Interfacial Donnan Hydration Funnels in Lignin-Derived Carbon Orchestrate RuNi Synergy for Aldehyde-Assisted Dual-Hydrogen Electrosynthesis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2026-07-27 00:00:00+00:00</w:t>
      </w:r>
      <w:r>
        <w:t xml:space="preserve">    </w:t>
      </w:r>
      <w:r>
        <w:rPr>
          <w:b/>
        </w:rPr>
        <w:t xml:space="preserve">DOI: </w:t>
      </w:r>
      <w:hyperlink r:id="rId301">
        <w:r>
          <w:rPr>
            <w:color w:val="1155CC"/>
            <w:u w:val="single"/>
          </w:rPr>
          <w:t>10.1021/jacs.6c07813</w:t>
        </w:r>
      </w:hyperlink>
    </w:p>
    <w:p>
      <w:pPr>
        <w:spacing w:before="0" w:after="120"/>
      </w:pPr>
      <w:r>
        <w:rPr>
          <w:b/>
        </w:rPr>
        <w:t xml:space="preserve">Notes: </w:t>
      </w:r>
      <w:r>
        <w:t>abstract_source=pubmed</w:t>
      </w:r>
    </w:p>
    <w:p>
      <w:pPr>
        <w:spacing w:before="0" w:after="80" w:lineRule="auto" w:line="276"/>
      </w:pPr>
      <w:r>
        <w:rPr>
          <w:b/>
        </w:rPr>
        <w:t xml:space="preserve">摘要（ZH）: </w:t>
      </w:r>
      <w:r>
        <w:t>醛氧化耦合制氢可以显着降低电解的能量需求，同时能够从两个隔室产生和收集氢气。然而，高电流密度操作依赖于在强界面梯度下维持快速动力学和高选择性的催化剂。采用电氧化木质素构建木质素-金属超分子骨架复合材料，经碳化后生成 RuNi@NOLC，这是一种限制在富氧、氮掺杂木质素衍生碳 (NOLC) 微环境中的富镍 RuNi 合金。在使用RuNi@NOLC作为阴极和阳极催化剂的无膜流动电解槽中，耦合过程实现了0.76 kWh Nm-3 H2的单位能耗、99.5%的甲酸盐法拉第效率和199.6%的双室产氢和收集氢的表观氢法拉第效率。 NOLC微环境为唐南水合提供了水合漏斗效应，能够在含氮位点定向富集H2O和OH-，并稳定水分解的过渡构型，从而显着加速以Ni为中心的Volmer步骤作为速率决定过程，并建立以Ni为中心的水活化、Ru介导的氢释放以及NOLC定向的水和氢氧化物运输的3倍协同作用。在甲醛氧化偏压下，Ru-OH 和 RuOxH 物质在低电位引发中占主导地位。在邻近的 Ni-OHad 的协助下，这些以 Ru 为中心的含氧物质驱动中间体形成 OCHO 并最终形成</w:t>
      </w:r>
    </w:p>
    <w:p>
      <w:pPr>
        <w:spacing w:before="0" w:after="200" w:lineRule="auto" w:line="276"/>
      </w:pPr>
      <w:r>
        <w:rPr>
          <w:b/>
        </w:rPr>
        <w:t xml:space="preserve">Abstract (EN): </w:t>
      </w:r>
      <w:r>
        <w:t>Aldehyde oxidation-coupled hydrogen production can markedly reduce the energy demand of electrolysis while enabling hydrogen generation and collection from two compartments. However, high-current-density operation relies on catalysts that sustain fast kinetics and high selectivity under strong interfacial gradients. Electro-oxidized lignin is employed to construct a lignin-metal supramolecular framework composite, which upon carbonization yields RuNi@NOLC, a Ni-enriched RuNi alloy confined within an oxygen-enriched, nitrogen-doped lignin-derived carbon (NOLC) microenvironment. In a membrane-free flow electrolyzer using RuNi@NOLC as both cathode and anode catalysts, the coupled process achieves a specific energy consumption of 0.76 kWh Nm-3 H2, a formate Faradaic efficiency of 99.5%, and an apparent hydrogen Faradaic efficiency of 199.6% arising from dual-compartment hydrogen generation and collection. The NOLC microenvironment provides Donnan hydration with a hydration-funnel effect, enabling directional enrichment of H2O together with OH- at N-containing sites and stabilization of the transition configuration for water splitting, thereby markedly accelerating the Ni-centered Volmer step as the rate-determining process and establishing a 3-fold synergy of Ni-centered water activation, Ru-mediated hydrogen release, and NOLC-directed transport of water and hydroxide. Under formaldehyde oxidation bias, Ru-OH and RuOxH species dominate low-potential initiation. Assisted by neighboring Ni-OHads, these Ru-centered oxygenated species drive intermediates toward OCHO formation and formate production, while alloy electronic effects mitigate poisoning by strongly adsorbed intermediates before transport limitations prevail at higher potentials. This work converts the coordination-chemistry programmability of lignin into quantifiable interfacial-solvation advantages, providing a clear paradigm for understanding and designing microenvironment-dominated mechanisms in paired electrolysis.</w:t>
      </w:r>
    </w:p>
    <w:p>
      <w:pPr>
        <w:spacing w:before="120" w:after="120"/>
      </w:pPr>
      <w:r>
        <w:rPr>
          <w:sz w:val="18"/>
        </w:rPr>
        <w:t>——————————————————————————————————————————————————————————————————————</w:t>
      </w:r>
    </w:p>
    <w:p>
      <w:pPr>
        <w:spacing w:before="160" w:after="40" w:line="240" w:lineRule="auto"/>
      </w:pPr>
      <w:r>
        <w:rPr>
          <w:b/>
        </w:rPr>
        <w:t xml:space="preserve">[30] </w:t>
      </w:r>
      <w:hyperlink r:id="rId302">
        <w:r>
          <w:rPr>
            <w:color w:val="1155CC"/>
            <w:u w:val="single"/>
          </w:rPr>
          <w:t>高温下镍基高温合金的氢致损伤</w:t>
        </w:r>
      </w:hyperlink>
    </w:p>
    <w:p>
      <w:pPr>
        <w:spacing w:before="0" w:after="80"/>
      </w:pPr>
      <w:r>
        <w:rPr>
          <w:i/>
          <w:sz w:val="20"/>
        </w:rPr>
        <w:t>EN: Hydrogen-induced damage in Ni-based superalloys at elevated temperatures</w:t>
      </w:r>
    </w:p>
    <w:p>
      <w:pPr>
        <w:spacing w:before="0" w:after="120"/>
      </w:pPr>
      <w:r>
        <w:rPr>
          <w:b/>
        </w:rPr>
        <w:t xml:space="preserve">Source: </w:t>
      </w:r>
      <w:r>
        <w:t>Nature Materials</w:t>
      </w:r>
      <w:r>
        <w:t xml:space="preserve">    </w:t>
      </w:r>
      <w:r>
        <w:rPr>
          <w:b/>
        </w:rPr>
        <w:t xml:space="preserve">Pub date: </w:t>
      </w:r>
      <w:r>
        <w:t>2026-07-27 00:00:00+00:00</w:t>
      </w:r>
      <w:r>
        <w:t xml:space="preserve">    </w:t>
      </w:r>
      <w:r>
        <w:rPr>
          <w:b/>
        </w:rPr>
        <w:t xml:space="preserve">DOI: </w:t>
      </w:r>
      <w:hyperlink r:id="rId303">
        <w:r>
          <w:rPr>
            <w:color w:val="1155CC"/>
            <w:u w:val="single"/>
          </w:rPr>
          <w:t>10.1038/s41563-026-02680-w</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能源和运输行业脱碳的迫切需要促使发电和航空应用的燃气轮机使用含氢燃料，将安全关键部件暴露在高温的氢气环境中。长期以来，环境温度氢脆一直通过氢与界面和位错等微观结构缺陷之间的物理相互作用来解释。在这里，我们表明这种理解并不能完全捕捉高温下的行为，与环境条件相比，氢和特定微观结构成分之间的空位驱动的化学反应可以显着加剧脆化。在典型的面心立方镍基高温合金中，我们的近原子尺度表征和从头计算揭示了碳化物中碳空位中氢原子的强烈捕获，驱动其部分分解，同时触发碳化物-基体界面处的局部甲烷形成。结果，异质界面被削弱，使其容易受到变形引起的损坏。我们的工作为镍基合金高温氢脆的机械建模提供了物理基础，这是一个对氢燃料涡轮机和相关高温技术至关重要的新兴领域。</w:t>
      </w:r>
    </w:p>
    <w:p>
      <w:pPr>
        <w:spacing w:before="0" w:after="200" w:lineRule="auto" w:line="276"/>
      </w:pPr>
      <w:r>
        <w:rPr>
          <w:b/>
        </w:rPr>
        <w:t xml:space="preserve">Abstract (EN): </w:t>
      </w:r>
      <w:r>
        <w:t>The urgent need to decarbonize the energy and transport sectors motivates the use of hydrogen-containing fuels in gas turbines for power generation and aviation applications, exposing safety-critical components to hydrogen environments at elevated temperatures. Ambient-temperature hydrogen embrittlement has long been interpreted through the physical interactions between hydrogen and microstructural defects like interfaces and dislocations. Here we show that this understanding does not fully capture the behaviour at elevated temperatures, where vacancy-driven chemical reactions between hydrogen and specific microstructural constituents can markedly intensify embrittlement compared with ambient conditions. In a prototypical face-centred cubic Ni-based superalloy, our near-atomic-scale characterization and ab initio calculations reveal strong trapping of hydrogen atoms in carbon vacancies in carbides, driving their partial decomposition while simultaneously triggering localized methane formation at the carbide–matrix interface. As a result, the heterointerfaces are weakened, rendering them vulnerable to deformation-induced damage. Our work provides a physical foundation for mechanistic modelling of elevated-temperature hydrogen embrittlement in Ni-based alloys, an emerging area critical to hydrogen-fuelled turbines and related high-temperature technologies.</w:t>
      </w:r>
    </w:p>
    <w:p>
      <w:pPr>
        <w:spacing w:before="120" w:after="120"/>
      </w:pPr>
      <w:r>
        <w:rPr>
          <w:sz w:val="18"/>
        </w:rPr>
        <w:t>——————————————————————————————————————————————————————————————————————</w:t>
      </w:r>
    </w:p>
    <w:p>
      <w:pPr>
        <w:spacing w:before="160" w:after="40" w:line="240" w:lineRule="auto"/>
      </w:pPr>
      <w:r>
        <w:rPr>
          <w:b/>
        </w:rPr>
        <w:t xml:space="preserve">[31] </w:t>
      </w:r>
      <w:hyperlink r:id="rId304">
        <w:r>
          <w:rPr>
            <w:color w:val="1155CC"/>
            <w:u w:val="single"/>
          </w:rPr>
          <w:t>氢如何在高温下损坏镍基高温合金</w:t>
        </w:r>
      </w:hyperlink>
    </w:p>
    <w:p>
      <w:pPr>
        <w:spacing w:before="0" w:after="80"/>
      </w:pPr>
      <w:r>
        <w:rPr>
          <w:i/>
          <w:sz w:val="20"/>
        </w:rPr>
        <w:t>EN: How hydrogen damages Ni-based superalloys in the heat</w:t>
      </w:r>
    </w:p>
    <w:p>
      <w:pPr>
        <w:spacing w:before="0" w:after="120"/>
      </w:pPr>
      <w:r>
        <w:rPr>
          <w:b/>
        </w:rPr>
        <w:t xml:space="preserve">Source: </w:t>
      </w:r>
      <w:r>
        <w:t>Nature Materials</w:t>
      </w:r>
      <w:r>
        <w:t xml:space="preserve">    </w:t>
      </w:r>
      <w:r>
        <w:rPr>
          <w:b/>
        </w:rPr>
        <w:t xml:space="preserve">Pub date: </w:t>
      </w:r>
      <w:r>
        <w:t>2026-07-27 00:00:00+00:00</w:t>
      </w:r>
      <w:r>
        <w:t xml:space="preserve">    </w:t>
      </w:r>
      <w:r>
        <w:rPr>
          <w:b/>
        </w:rPr>
        <w:t xml:space="preserve">DOI: </w:t>
      </w:r>
      <w:hyperlink r:id="rId305">
        <w:r>
          <w:rPr>
            <w:color w:val="1155CC"/>
            <w:u w:val="single"/>
          </w:rPr>
          <w:t>10.1038/s41563-026-02707-2</w:t>
        </w:r>
      </w:hyperlink>
    </w:p>
    <w:p>
      <w:pPr>
        <w:spacing w:before="0" w:after="120"/>
      </w:pPr>
      <w:r>
        <w:rPr>
          <w:b/>
        </w:rPr>
        <w:t xml:space="preserve">Notes: </w:t>
      </w:r>
      <w:r>
        <w:t>abstract_source=rss_nature</w:t>
      </w:r>
    </w:p>
    <w:p>
      <w:pPr>
        <w:spacing w:before="0" w:after="80" w:lineRule="auto" w:line="276"/>
      </w:pPr>
      <w:r>
        <w:rPr>
          <w:b/>
        </w:rPr>
        <w:t xml:space="preserve">摘要（ZH）: </w:t>
      </w:r>
      <w:r>
        <w:t>氢会损害金属材料的机械性能，但尽管氢动力能源系统中的应用不断涌现，但人们对高温下氢与材料的相互作用仍然知之甚少。现在，在高温氢气氛中测试的镍基高温合金的多尺度损伤分析揭示了与在接近室温下运行的退化机制不同的退化机制。</w:t>
      </w:r>
    </w:p>
    <w:p>
      <w:pPr>
        <w:spacing w:before="0" w:after="200" w:lineRule="auto" w:line="276"/>
      </w:pPr>
      <w:r>
        <w:rPr>
          <w:b/>
        </w:rPr>
        <w:t xml:space="preserve">Abstract (EN): </w:t>
      </w:r>
      <w:r>
        <w:t>Hydrogen compromises the mechanical performance of metallic materials, but hydrogen–material interactions at high temperatures remain poorly understood despite emerging applications in hydrogen-powered energy systems. Now, multiscale damage analysis of Ni-based superalloys tested in a high-temperature hydrogen atmosphere uncovers degradation mechanisms that differ from those operating at near-room temperature.</w:t>
      </w:r>
    </w:p>
    <w:p>
      <w:pPr>
        <w:spacing w:before="120" w:after="120"/>
      </w:pPr>
      <w:r>
        <w:rPr>
          <w:sz w:val="18"/>
        </w:rPr>
        <w:t>——————————————————————————————————————————————————————————————————————</w:t>
      </w:r>
    </w:p>
    <w:p>
      <w:pPr>
        <w:spacing w:before="160" w:after="40" w:line="240" w:lineRule="auto"/>
      </w:pPr>
      <w:r>
        <w:rPr>
          <w:b/>
        </w:rPr>
        <w:t xml:space="preserve">[32] </w:t>
      </w:r>
      <w:hyperlink r:id="rId306">
        <w:r>
          <w:rPr>
            <w:color w:val="1155CC"/>
            <w:u w:val="single"/>
          </w:rPr>
          <w:t>利用氯化物驱动催化剂重构，实现持久高效的海水电解</w:t>
        </w:r>
      </w:hyperlink>
    </w:p>
    <w:p>
      <w:pPr>
        <w:spacing w:before="0" w:after="80"/>
      </w:pPr>
      <w:r>
        <w:rPr>
          <w:i/>
          <w:sz w:val="20"/>
        </w:rPr>
        <w:t>EN: Harnessing chloride to drive catalyst reconstruction for durable and efficient seawater electrolysis</w:t>
      </w:r>
    </w:p>
    <w:p>
      <w:pPr>
        <w:spacing w:before="0" w:after="120"/>
      </w:pPr>
      <w:r>
        <w:rPr>
          <w:b/>
        </w:rPr>
        <w:t xml:space="preserve">Source: </w:t>
      </w:r>
      <w:r>
        <w:t>Physical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直接海水电解为可持续制氢提供了一条有吸引力的途径，但其实际实施仍然受到氯离子（Cl−）的腐蚀性的限制。在这里，我们发现痕量的 Cl− 非但不会有害，反而可以在指导过渡金属催化剂的结构演化方面发挥建设性作用。在这一见解的指导下，在 NiFe-MOF 纳米片（表示为 NiFe-MOF-S）上控制负载量的 NiS2 纳米粒子被设计为能够精细调节 Cl− 与活性金属位点的接近度。这种设计促进了催化剂原位重构为具有短Ni-Fe键长的致密γ-NiFeOOH相，从而引发了从晶格氧介导途径到氧化物途径机制的机械转变。 NiFe-MOF-S在碱性海水（1 M KOH +海水）中实现了高析氧性能，在碱性海水中达到500 mA cm−2所需的过电势比在碱性水（1 M KOH）（268 mV）低得多，为213 mV。此外，该电催化剂表现出高耐久性，在碱性海水中1.0 A cm-2下7000小时以上的降解率仅为1.4 μV h-1。配备 NiFe-MOF-S/NF 的千瓦级碱性海水电解槽在工业相关条件下可靠运行超过 1500 小时。</w:t>
      </w:r>
    </w:p>
    <w:p>
      <w:pPr>
        <w:spacing w:before="0" w:after="200" w:lineRule="auto" w:line="276"/>
      </w:pPr>
      <w:r>
        <w:rPr>
          <w:b/>
        </w:rPr>
        <w:t xml:space="preserve">Abstract (EN): </w:t>
      </w:r>
      <w:r>
        <w:t>Direct seawater electrolysis offers an attractive route for sustainable hydrogen production, yet its practical implementation remains constrained by the corrosive nature of chlorion (Cl−). Here, we reveal that trace amounts of Cl−, rather than being detrimental, can play a constructive role in directing the structural evolution of transition-metal catalysts. Guided by this insight, NiS2 nanoparticles with controlled loading amounts on NiFe-MOF nanosheets (denoted as NiFe-MOF-S) are designed to enable fine regulation of Cl− proximity to the active metal sites. This design promotes the in situ reconstruction of catalyst into a dense γ-NiFeOOH phase with short Ni–Fe bond lengths, which triggers a mechanistic shift from the lattice-oxygen-mediated pathway to oxide path mechanism. NiFe-MOF-S achieves high oxygen evolution performance in alkaline seawater (1 M KOH + seawater), requiring a much lower overpotential of 213 mV to reach 500 mA cm−2 in alkaline seawater than that in alkaline water (1 M KOH) (268 mV). Furthermore, the electrocatalyst demonstrates high durability with a degradation rate of only 1.4 μV h−1 for over 7000 hours at 1.0 A cm−2 in alkaline seawater. A kilowatt-level alkaline seawater electrolyzer equipped with NiFe-MOF-S/NF operates reliably for over 1500 hours at industrially relevant conditions.</w:t>
      </w:r>
    </w:p>
    <w:p>
      <w:pPr>
        <w:spacing w:before="120" w:after="120"/>
      </w:pPr>
      <w:r>
        <w:rPr>
          <w:sz w:val="18"/>
        </w:rPr>
        <w:t>——————————————————————————————————————————————————————————————————————</w:t>
      </w:r>
    </w:p>
    <w:p>
      <w:pPr>
        <w:spacing w:before="160" w:after="40" w:line="240" w:lineRule="auto"/>
      </w:pPr>
      <w:r>
        <w:rPr>
          <w:b/>
        </w:rPr>
        <w:t xml:space="preserve">[33] </w:t>
      </w:r>
      <w:hyperlink r:id="rId307">
        <w:r>
          <w:rPr>
            <w:color w:val="1155CC"/>
            <w:u w:val="single"/>
          </w:rPr>
          <w:t>钛中心辅助配体控制的二氮裂解和转化</w:t>
        </w:r>
      </w:hyperlink>
    </w:p>
    <w:p>
      <w:pPr>
        <w:spacing w:before="0" w:after="80"/>
      </w:pPr>
      <w:r>
        <w:rPr>
          <w:i/>
          <w:sz w:val="20"/>
        </w:rPr>
        <w:t>EN: Ancillary Ligand‐Controlled Dinitrogen Cleavage and Transformation at Titanium Centers</w:t>
      </w:r>
    </w:p>
    <w:p>
      <w:pPr>
        <w:spacing w:before="0" w:after="120"/>
      </w:pPr>
      <w:r>
        <w:rPr>
          <w:b/>
        </w:rPr>
        <w:t xml:space="preserve">Source: </w:t>
      </w:r>
      <w:r>
        <w:t>Wiley: Angewandte Chemie International Edition: Table of Contents</w:t>
      </w:r>
      <w:r>
        <w:t xml:space="preserve">    </w:t>
      </w:r>
      <w:r>
        <w:rPr>
          <w:b/>
        </w:rPr>
        <w:t xml:space="preserve">Pub date: </w:t>
      </w:r>
      <w:r>
        <w:t>2026-07-27 11:52:22+00:00</w:t>
      </w:r>
      <w:r>
        <w:t xml:space="preserve">    </w:t>
      </w:r>
      <w:r>
        <w:rPr>
          <w:b/>
        </w:rPr>
        <w:t xml:space="preserve">DOI: </w:t>
      </w:r>
      <w:hyperlink r:id="rId308">
        <w:r>
          <w:rPr>
            <w:color w:val="1155CC"/>
            <w:u w:val="single"/>
          </w:rPr>
          <w:t>10.1002/anie.4029889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二氮（N</w:t>
      </w:r>
      <w:r>
        <w:rPr>
          <w:vertAlign w:val="subscript"/>
        </w:rPr>
        <w:t>2</w:t>
      </w:r>
      <w:r>
        <w:t>）代表了一项重大的科学挑战。特别是，虽然金属氮化物是关键的中间体，但与钛等 3d 金属实现 N─N 键断裂的情况仍然很少。在这里，我们报告了对 N 的前所未有的辅助配体控制</w:t>
      </w:r>
      <w:r>
        <w:rPr>
          <w:vertAlign w:val="subscript"/>
        </w:rPr>
        <w:t>2</w:t>
      </w:r>
      <w:r>
        <w:t>PCP 连接的激活途径（PCP = 2,6-（</w:t>
      </w:r>
      <w:r>
        <w:t xml:space="preserve"> </w:t>
      </w:r>
      <w:r>
        <w:t>t</w:t>
      </w:r>
      <w:r>
        <w:t xml:space="preserve"> </w:t>
      </w:r>
      <w:r>
        <w:t>卜</w:t>
      </w:r>
      <w:r>
        <w:rPr>
          <w:vertAlign w:val="subscript"/>
        </w:rPr>
        <w:t>2</w:t>
      </w:r>
      <w:r>
        <w:t>聚氯乙烯</w:t>
      </w:r>
      <w:r>
        <w:rPr>
          <w:vertAlign w:val="subscript"/>
        </w:rPr>
        <w:t>2</w:t>
      </w:r>
      <w:r>
        <w:t>）</w:t>
      </w:r>
      <w:r>
        <w:rPr>
          <w:vertAlign w:val="subscript"/>
        </w:rPr>
        <w:t>2</w:t>
      </w:r>
      <w:r>
        <w:t>‐C</w:t>
      </w:r>
      <w:r>
        <w:rPr>
          <w:vertAlign w:val="subscript"/>
        </w:rPr>
        <w:t>6</w:t>
      </w:r>
      <w:r>
        <w:t>H</w:t>
      </w:r>
      <w:r>
        <w:rPr>
          <w:vertAlign w:val="subscript"/>
        </w:rPr>
        <w:t>3</w:t>
      </w:r>
      <w:r>
        <w:t>) 还原后的钛配合物，其中芳氧基或二芳基酰胺基团促进 N─N 键完全断裂，形成二钛双(</w:t>
      </w:r>
      <w:r>
        <w:t xml:space="preserve"> </w:t>
      </w:r>
      <w:r>
        <w:t>μ</w:t>
      </w:r>
      <w:r>
        <w:t xml:space="preserve"> </w:t>
      </w:r>
      <w:r>
        <w:t>‐氮化物）复合物，而苯基类似物则导致钳子的 C─P 键激活。计算研究表明杂原子介导的与 K 的相互作用</w:t>
      </w:r>
      <w:r>
        <w:t xml:space="preserve"> </w:t>
      </w:r>
      <w:r>
        <w:t>+</w:t>
      </w:r>
      <w:r>
        <w:t xml:space="preserve"> </w:t>
      </w:r>
      <w:r>
        <w:t>二级配位层中的离子促进 N 的异构化</w:t>
      </w:r>
      <w:r>
        <w:rPr>
          <w:vertAlign w:val="subscript"/>
        </w:rPr>
        <w:t>2</w:t>
      </w:r>
      <w:r>
        <w:t>从端上桥到侧上，从而促进N─N键断裂。此外，这些配合物催化N的甲硅烷基化</w:t>
      </w:r>
      <w:r>
        <w:rPr>
          <w:vertAlign w:val="subscript"/>
        </w:rPr>
        <w:t>2</w:t>
      </w:r>
      <w:r>
        <w:t>，产量高达 22.0 当量。 N(SiMe</w:t>
      </w:r>
      <w:r>
        <w:rPr>
          <w:vertAlign w:val="subscript"/>
        </w:rPr>
        <w:t>3</w:t>
      </w:r>
      <w:r>
        <w:t>）</w:t>
      </w:r>
      <w:r>
        <w:rPr>
          <w:vertAlign w:val="subscript"/>
        </w:rPr>
        <w:t>3</w:t>
      </w:r>
      <w:r>
        <w:t>, 代表</w:t>
      </w:r>
    </w:p>
    <w:p>
      <w:pPr>
        <w:spacing w:before="0" w:after="200" w:lineRule="auto" w:line="276"/>
      </w:pPr>
      <w:r>
        <w:rPr>
          <w:b/>
        </w:rPr>
        <w:t xml:space="preserve">Abstract (EN): </w:t>
      </w:r>
      <w:r>
        <w:t>The activation and transformation of dinitrogen (N</w:t>
      </w:r>
      <w:r>
        <w:rPr>
          <w:vertAlign w:val="subscript"/>
        </w:rPr>
        <w:t>2</w:t>
      </w:r>
      <w:r>
        <w:t>) represents a significant scientific challenge. In particular, while metal nitrides are pivotal intermediates, achieving N─N bond cleavage with 3d metals such as titanium remains scarce. Here we report unprecedented ancillary ligand control over the N</w:t>
      </w:r>
      <w:r>
        <w:rPr>
          <w:vertAlign w:val="subscript"/>
        </w:rPr>
        <w:t>2</w:t>
      </w:r>
      <w:r>
        <w:t>activation pathway in PCP‐ligated (PCP = 2,6‐(</w:t>
      </w:r>
      <w:r>
        <w:t xml:space="preserve"> </w:t>
      </w:r>
      <w:r>
        <w:t>t</w:t>
      </w:r>
      <w:r>
        <w:t xml:space="preserve"> </w:t>
      </w:r>
      <w:r>
        <w:t>Bu</w:t>
      </w:r>
      <w:r>
        <w:rPr>
          <w:vertAlign w:val="subscript"/>
        </w:rPr>
        <w:t>2</w:t>
      </w:r>
      <w:r>
        <w:t>PCH</w:t>
      </w:r>
      <w:r>
        <w:rPr>
          <w:vertAlign w:val="subscript"/>
        </w:rPr>
        <w:t>2</w:t>
      </w:r>
      <w:r>
        <w:t>)</w:t>
      </w:r>
      <w:r>
        <w:rPr>
          <w:vertAlign w:val="subscript"/>
        </w:rPr>
        <w:t>2</w:t>
      </w:r>
      <w:r>
        <w:t>‐C</w:t>
      </w:r>
      <w:r>
        <w:rPr>
          <w:vertAlign w:val="subscript"/>
        </w:rPr>
        <w:t>6</w:t>
      </w:r>
      <w:r>
        <w:t>H</w:t>
      </w:r>
      <w:r>
        <w:rPr>
          <w:vertAlign w:val="subscript"/>
        </w:rPr>
        <w:t>3</w:t>
      </w:r>
      <w:r>
        <w:t>) titanium complexes upon reduction, wherein aryloxide or diarylamide groups facilitate complete N─N bond scission to dititanium bis(</w:t>
      </w:r>
      <w:r>
        <w:t xml:space="preserve"> </w:t>
      </w:r>
      <w:r>
        <w:t>μ</w:t>
      </w:r>
      <w:r>
        <w:t xml:space="preserve"> </w:t>
      </w:r>
      <w:r>
        <w:t>‐nitrido) complexes, whereas the phenyl analogue leads to C─P bond activation of the pincer. Computational studies suggest that heteroatom‐mediated interactions with K</w:t>
      </w:r>
      <w:r>
        <w:t xml:space="preserve"> </w:t>
      </w:r>
      <w:r>
        <w:t>+</w:t>
      </w:r>
      <w:r>
        <w:t xml:space="preserve"> </w:t>
      </w:r>
      <w:r>
        <w:t>ions in the secondary coordination sphere facilitate isomerization of the N</w:t>
      </w:r>
      <w:r>
        <w:rPr>
          <w:vertAlign w:val="subscript"/>
        </w:rPr>
        <w:t>2</w:t>
      </w:r>
      <w:r>
        <w:t>bridge from end‐on to side‐on, thereby promoting N─N bond rupture. Moreover, these complexes catalyze the silylation of N</w:t>
      </w:r>
      <w:r>
        <w:rPr>
          <w:vertAlign w:val="subscript"/>
        </w:rPr>
        <w:t>2</w:t>
      </w:r>
      <w:r>
        <w:t>, producing up to 22.0 equiv. of N(SiMe</w:t>
      </w:r>
      <w:r>
        <w:rPr>
          <w:vertAlign w:val="subscript"/>
        </w:rPr>
        <w:t>3</w:t>
      </w:r>
      <w:r>
        <w:t>)</w:t>
      </w:r>
      <w:r>
        <w:rPr>
          <w:vertAlign w:val="subscript"/>
        </w:rPr>
        <w:t>3</w:t>
      </w:r>
      <w:r>
        <w:t>, representing the highest turnover number (TON) for Group IV metal systems to date. These findings highlight the role of ligand environment in N</w:t>
      </w:r>
      <w:r>
        <w:rPr>
          <w:vertAlign w:val="subscript"/>
        </w:rPr>
        <w:t>2</w:t>
      </w:r>
      <w:r>
        <w:t>activation and provide new insights into the design of efficient early‐metal catalysts for nitrogen fixation.</w:t>
      </w:r>
    </w:p>
    <w:p>
      <w:pPr>
        <w:spacing w:before="120" w:after="120"/>
      </w:pPr>
      <w:r>
        <w:rPr>
          <w:sz w:val="18"/>
        </w:rPr>
        <w:t>——————————————————————————————————————————————————————————————————————</w:t>
      </w:r>
    </w:p>
    <w:p>
      <w:pPr>
        <w:spacing w:before="160" w:after="40" w:line="240" w:lineRule="auto"/>
      </w:pPr>
      <w:r>
        <w:rPr>
          <w:b/>
        </w:rPr>
        <w:t xml:space="preserve">[34] </w:t>
      </w:r>
      <w:hyperlink r:id="rId309">
        <w:r>
          <w:rPr>
            <w:color w:val="1155CC"/>
            <w:u w:val="single"/>
          </w:rPr>
          <w:t>用于 PEM 水电解槽的 MoS2 纳米片上桥配位 Fe 原子的功能化介导合成</w:t>
        </w:r>
      </w:hyperlink>
    </w:p>
    <w:p>
      <w:pPr>
        <w:spacing w:before="0" w:after="80"/>
      </w:pPr>
      <w:r>
        <w:rPr>
          <w:i/>
          <w:sz w:val="20"/>
        </w:rPr>
        <w:t>EN: Functionalization‐Mediated Synthesis of Bridge‐Coordinated Fe Atoms on MoS2 Nanosheets for PEM Water Electrolyzers</w:t>
      </w:r>
    </w:p>
    <w:p>
      <w:pPr>
        <w:spacing w:before="0" w:after="120"/>
      </w:pPr>
      <w:r>
        <w:rPr>
          <w:b/>
        </w:rPr>
        <w:t xml:space="preserve">Source: </w:t>
      </w:r>
      <w:r>
        <w:t>Wiley: Angewandte Chemie International Edition: Table of Contents</w:t>
      </w:r>
      <w:r>
        <w:t xml:space="preserve">    </w:t>
      </w:r>
      <w:r>
        <w:rPr>
          <w:b/>
        </w:rPr>
        <w:t xml:space="preserve">Pub date: </w:t>
      </w:r>
      <w:r>
        <w:t>2026-07-27 11:56:35+00:00</w:t>
      </w:r>
      <w:r>
        <w:t xml:space="preserve">    </w:t>
      </w:r>
      <w:r>
        <w:rPr>
          <w:b/>
        </w:rPr>
        <w:t xml:space="preserve">DOI: </w:t>
      </w:r>
      <w:hyperlink r:id="rId310">
        <w:r>
          <w:rPr>
            <w:color w:val="1155CC"/>
            <w:u w:val="single"/>
          </w:rPr>
          <w:t>10.1002/anie.6960943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过渡金属硫属化物是质子交换膜水电解槽（PEMWE）中最有前途的无铂族金属（无PGM）制氢催化剂之一。然而，实现高活性和长期稳定性仍然是其实际部署的关键挑战。在这里，我们报告了一种功能化介导的硫化钼合成方法，其中含有桥配位的铁原子（</w:t>
      </w:r>
      <w:r>
        <w:t xml:space="preserve"> </w:t>
      </w:r>
      <w:r>
        <w:t>乙</w:t>
      </w:r>
      <w:r>
        <w:t xml:space="preserve"> </w:t>
      </w:r>
      <w:r>
        <w:t>‐Fe‐MoS2</w:t>
      </w:r>
      <w:r>
        <w:rPr>
          <w:vertAlign w:val="subscript"/>
        </w:rPr>
        <w:t>2</w:t>
      </w:r>
      <w:r>
        <w:t>），提高析氢反应（HER）的催化性能。结合详细的光谱和电化学表征表明，半胱氨酸功能化促进了 Fe 原子在 MoS2 上桥状配位环境中的锚定</w:t>
      </w:r>
      <w:r>
        <w:rPr>
          <w:vertAlign w:val="subscript"/>
        </w:rPr>
        <w:t>2</w:t>
      </w:r>
      <w:r>
        <w:t>纳米片，导致 Fe 位点附近的电子密度可调，并提高了原子位点的鲁棒性，正如我们的支持的</w:t>
      </w:r>
      <w:r>
        <w:t xml:space="preserve"> </w:t>
      </w:r>
      <w:r>
        <w:t>操作</w:t>
      </w:r>
      <w:r>
        <w:t xml:space="preserve"> </w:t>
      </w:r>
      <w:r>
        <w:t>和尸检调查。实验结果与密度泛函理论（DFT）计算相补充，揭示了Fe原子独特的配位环境调节氢吸附自由能。当集成在 25 cm 中时</w:t>
      </w:r>
      <w:r>
        <w:rPr>
          <w:vertAlign w:val="subscript"/>
        </w:rPr>
        <w:t>2</w:t>
      </w:r>
      <w:r>
        <w:t>催化剂涂层质子交换膜水电解槽，</w:t>
      </w:r>
      <w:r>
        <w:t xml:space="preserve"> </w:t>
      </w:r>
      <w:r>
        <w:t>乙</w:t>
      </w:r>
      <w:r>
        <w:t xml:space="preserve"> </w:t>
      </w:r>
      <w:r>
        <w:t>‐Fe‐MoS2</w:t>
      </w:r>
      <w:r>
        <w:rPr>
          <w:vertAlign w:val="subscript"/>
        </w:rPr>
        <w:t>2</w:t>
      </w:r>
      <w:r>
        <w:t>取得了卓越的性能，提供 1.55 A cm</w:t>
      </w:r>
      <w:r>
        <w:t xml:space="preserve"> </w:t>
      </w:r>
      <w:r>
        <w:t>-</w:t>
      </w:r>
    </w:p>
    <w:p>
      <w:pPr>
        <w:spacing w:before="0" w:after="200" w:lineRule="auto" w:line="276"/>
      </w:pPr>
      <w:r>
        <w:rPr>
          <w:b/>
        </w:rPr>
        <w:t xml:space="preserve">Abstract (EN): </w:t>
      </w:r>
      <w:r>
        <w:t>Transition metal chalcogenides are among the most promising platinum group metal‐free (PGM‐free) catalysts for hydrogen production in a proton exchange membrane water electrolyzer (PEMWE). However, achieving both high activity and long‐term stability remains a critical challenge for their practical deployment. Here, we report a functionalization‐mediated synthesis of molybdenum sulfide, containing bridge‐coordinated Fe atoms (</w:t>
      </w:r>
      <w:r>
        <w:t xml:space="preserve"> </w:t>
      </w:r>
      <w:r>
        <w:t>b</w:t>
      </w:r>
      <w:r>
        <w:t xml:space="preserve"> </w:t>
      </w:r>
      <w:r>
        <w:t>‐Fe‐MoS</w:t>
      </w:r>
      <w:r>
        <w:rPr>
          <w:vertAlign w:val="subscript"/>
        </w:rPr>
        <w:t>2</w:t>
      </w:r>
      <w:r>
        <w:t>), achieving enhanced catalytic performance for the hydrogen evolution reaction (HER). Combined detailed spectroscopic and electrochemical characterizations revealed that cysteine functionalization promotes the anchoring of Fe atoms in a bridge‐like coordination environment on the MoS</w:t>
      </w:r>
      <w:r>
        <w:rPr>
          <w:vertAlign w:val="subscript"/>
        </w:rPr>
        <w:t>2</w:t>
      </w:r>
      <w:r>
        <w:t>nanosheets, resulting in tunable electron density near the Fe sites and improved robustness of the atomic sites, as supported by our</w:t>
      </w:r>
      <w:r>
        <w:t xml:space="preserve"> </w:t>
      </w:r>
      <w:r>
        <w:t>operando</w:t>
      </w:r>
      <w:r>
        <w:t xml:space="preserve"> </w:t>
      </w:r>
      <w:r>
        <w:t>and post‐mortem investigations. The experimental results are complemented with density functional theory (DFT) calculations revealing that the unique coordination environment of Fe atoms modulates the hydrogen adsorption free energy. When integrated in a 25 cm</w:t>
      </w:r>
      <w:r>
        <w:rPr>
          <w:vertAlign w:val="subscript"/>
        </w:rPr>
        <w:t>2</w:t>
      </w:r>
      <w:r>
        <w:t>catalyst‐coated membrane PEM water electrolyzer,</w:t>
      </w:r>
      <w:r>
        <w:t xml:space="preserve"> </w:t>
      </w:r>
      <w:r>
        <w:t>b</w:t>
      </w:r>
      <w:r>
        <w:t xml:space="preserve"> </w:t>
      </w:r>
      <w:r>
        <w:t>‐Fe‐MoS</w:t>
      </w:r>
      <w:r>
        <w:rPr>
          <w:vertAlign w:val="subscript"/>
        </w:rPr>
        <w:t>2</w:t>
      </w:r>
      <w:r>
        <w:t>achieved remarkable performance, delivering 1.55 A cm</w:t>
      </w:r>
      <w:r>
        <w:t xml:space="preserve"> </w:t>
      </w:r>
      <w:r>
        <w:t>−2</w:t>
      </w:r>
      <w:r>
        <w:t xml:space="preserve"> </w:t>
      </w:r>
      <w:r>
        <w:t>at 2 V and showed stable operation over 360 h following initial activation. These results demonstrate the effectiveness of the functionalization‐mediated approach for preparing robust HER catalysts and highlight the potential of bridge‐coordinated Fe–MoS</w:t>
      </w:r>
      <w:r>
        <w:rPr>
          <w:vertAlign w:val="subscript"/>
        </w:rPr>
        <w:t>2</w:t>
      </w:r>
      <w:r>
        <w:t>cathodes for PGM‐free PEM water electrolyzers.</w:t>
      </w:r>
    </w:p>
    <w:p>
      <w:pPr>
        <w:spacing w:before="120" w:after="120"/>
      </w:pPr>
      <w:r>
        <w:rPr>
          <w:sz w:val="18"/>
        </w:rPr>
        <w:t>——————————————————————————————————————————————————————————————————————</w:t>
      </w:r>
    </w:p>
    <w:p>
      <w:pPr>
        <w:spacing w:before="160" w:after="40" w:line="240" w:lineRule="auto"/>
      </w:pPr>
      <w:r>
        <w:rPr>
          <w:b/>
        </w:rPr>
        <w:t xml:space="preserve">[35] </w:t>
      </w:r>
      <w:hyperlink r:id="rId311">
        <w:r>
          <w:rPr>
            <w:color w:val="1155CC"/>
            <w:u w:val="single"/>
          </w:rPr>
          <w:t>用于高效空气等离子体氨电合成的单 Ga 原子稳定 Cu+-Cu0 界面位点</w:t>
        </w:r>
      </w:hyperlink>
    </w:p>
    <w:p>
      <w:pPr>
        <w:spacing w:before="0" w:after="80"/>
      </w:pPr>
      <w:r>
        <w:rPr>
          <w:i/>
          <w:sz w:val="20"/>
        </w:rPr>
        <w:t>EN: Single Ga‐Atom Stabilized Cu+–Cu0 Interfacial Sites for Efficient Air Plasma‐Derived Ammonia Electrosynthesis</w:t>
      </w:r>
    </w:p>
    <w:p>
      <w:pPr>
        <w:spacing w:before="0" w:after="120"/>
      </w:pPr>
      <w:r>
        <w:rPr>
          <w:b/>
        </w:rPr>
        <w:t xml:space="preserve">Source: </w:t>
      </w:r>
      <w:r>
        <w:t>Wiley: Angewandte Chemie International Edition: Table of Contents</w:t>
      </w:r>
      <w:r>
        <w:t xml:space="preserve">    </w:t>
      </w:r>
      <w:r>
        <w:rPr>
          <w:b/>
        </w:rPr>
        <w:t xml:space="preserve">Pub date: </w:t>
      </w:r>
      <w:r>
        <w:t>2026-07-27 12:03:49+00:00</w:t>
      </w:r>
      <w:r>
        <w:t xml:space="preserve">    </w:t>
      </w:r>
      <w:r>
        <w:rPr>
          <w:b/>
        </w:rPr>
        <w:t xml:space="preserve">DOI: </w:t>
      </w:r>
      <w:hyperlink r:id="rId312">
        <w:r>
          <w:rPr>
            <w:color w:val="1155CC"/>
            <w:u w:val="single"/>
          </w:rPr>
          <w:t>10.1002/anie.3319404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电催化NO</w:t>
      </w:r>
      <w:r>
        <w:t xml:space="preserve"> </w:t>
      </w:r>
      <w:r>
        <w:t>x</w:t>
      </w:r>
      <w:r>
        <w:t xml:space="preserve"> </w:t>
      </w:r>
      <w:r>
        <w:t>还原成氨（NO</w:t>
      </w:r>
      <w:r>
        <w:t xml:space="preserve"> </w:t>
      </w:r>
      <w:r>
        <w:t>x</w:t>
      </w:r>
      <w:r>
        <w:t xml:space="preserve"> </w:t>
      </w:r>
      <w:r>
        <w:t>RR) 为去中心化 NH 提供了一条可持续的途径</w:t>
      </w:r>
      <w:r>
        <w:rPr>
          <w:vertAlign w:val="subscript"/>
        </w:rPr>
        <w:t>3</w:t>
      </w:r>
      <w:r>
        <w:t>然而，其合成过程中缓慢的氢化动力学和活性物质的不稳定性阻碍了其实际应用。在此，我们开发了Ga单原子修饰的CuO</w:t>
      </w:r>
      <w:r>
        <w:t xml:space="preserve"> </w:t>
      </w:r>
      <w:r>
        <w:t>x</w:t>
      </w:r>
      <w:r>
        <w:t xml:space="preserve"> </w:t>
      </w:r>
      <w:r>
        <w:t>/铜（镓</w:t>
      </w:r>
      <w:r>
        <w:t xml:space="preserve"> </w:t>
      </w:r>
      <w:r>
        <w:t>SA</w:t>
      </w:r>
      <w:r>
        <w:t xml:space="preserve"> </w:t>
      </w:r>
      <w:r>
        <w:t>‐氧化铜</w:t>
      </w:r>
      <w:r>
        <w:t xml:space="preserve"> </w:t>
      </w:r>
      <w:r>
        <w:t>x</w:t>
      </w:r>
      <w:r>
        <w:t xml:space="preserve"> </w:t>
      </w:r>
      <w:r>
        <w:t>/Cu) 催化剂具有强耦合的 Ga-O-Cu 配位结构。高亲电子Ga的引入</w:t>
      </w:r>
      <w:r>
        <w:t xml:space="preserve"> </w:t>
      </w:r>
      <w:r>
        <w:t>3+</w:t>
      </w:r>
      <w:r>
        <w:t xml:space="preserve"> </w:t>
      </w:r>
      <w:r>
        <w:t>通过 p-d 相互作用调节 Cu 的电子结构，降低 Cu 的电子结构</w:t>
      </w:r>
      <w:r>
        <w:t xml:space="preserve"> </w:t>
      </w:r>
      <w:r>
        <w:t>d</w:t>
      </w:r>
      <w:r>
        <w:t xml:space="preserve"> </w:t>
      </w:r>
      <w:r>
        <w:t>‐能带中心减弱过度的中间结合，同时稳定 Cu</w:t>
      </w:r>
      <w:r>
        <w:t xml:space="preserve"> </w:t>
      </w:r>
      <w:r>
        <w:t>+</w:t>
      </w:r>
      <w:r>
        <w:t xml:space="preserve"> </w:t>
      </w:r>
      <w:r>
        <w:t>形成高活性铜的物种</w:t>
      </w:r>
      <w:r>
        <w:t xml:space="preserve"> </w:t>
      </w:r>
      <w:r>
        <w:t>+</w:t>
      </w:r>
      <w:r>
        <w:t xml:space="preserve"> </w:t>
      </w:r>
      <w:r>
        <w:t>–铜</w:t>
      </w:r>
      <w:r>
        <w:rPr>
          <w:vertAlign w:val="subscript"/>
        </w:rPr>
        <w:t>0</w:t>
      </w:r>
      <w:r>
        <w:t>界面位点。同时，Ga位点促进活性氢的供应并加速邻近Cu中心的氢化动力学。受益于这些协同效应，优化后的 Ga</w:t>
      </w:r>
      <w:r>
        <w:t xml:space="preserve"> </w:t>
      </w:r>
      <w:r>
        <w:t>SA</w:t>
      </w:r>
      <w:r>
        <w:t xml:space="preserve"> </w:t>
      </w:r>
      <w:r>
        <w:t>‐氧化铜</w:t>
      </w:r>
      <w:r>
        <w:t xml:space="preserve"> </w:t>
      </w:r>
      <w:r>
        <w:t>x</w:t>
      </w:r>
      <w:r>
        <w:t xml:space="preserve"> </w:t>
      </w:r>
      <w:r>
        <w:t>/Cu 实现了卓越的 NH</w:t>
      </w:r>
      <w:r>
        <w:rPr>
          <w:vertAlign w:val="subscript"/>
        </w:rPr>
        <w:t>3</w:t>
      </w:r>
      <w:r>
        <w:t>与 RHE 相比，-0.4 V 时的法拉第效率 (FE) 为 96.21%，-0.5 A cm 时具有高耐久性</w:t>
      </w:r>
      <w:r>
        <w:t xml:space="preserve"> </w:t>
      </w:r>
      <w:r>
        <w:t>−2</w:t>
      </w:r>
    </w:p>
    <w:p>
      <w:pPr>
        <w:spacing w:before="0" w:after="200" w:lineRule="auto" w:line="276"/>
      </w:pPr>
      <w:r>
        <w:rPr>
          <w:b/>
        </w:rPr>
        <w:t xml:space="preserve">Abstract (EN): </w:t>
      </w:r>
      <w:r>
        <w:t>Electrocatalytic NO</w:t>
      </w:r>
      <w:r>
        <w:t xml:space="preserve"> </w:t>
      </w:r>
      <w:r>
        <w:t>x</w:t>
      </w:r>
      <w:r>
        <w:t xml:space="preserve"> </w:t>
      </w:r>
      <w:r>
        <w:t>reduction to ammonia (NO</w:t>
      </w:r>
      <w:r>
        <w:t xml:space="preserve"> </w:t>
      </w:r>
      <w:r>
        <w:t>x</w:t>
      </w:r>
      <w:r>
        <w:t xml:space="preserve"> </w:t>
      </w:r>
      <w:r>
        <w:t>RR) offers a sustainable route for decentralized NH</w:t>
      </w:r>
      <w:r>
        <w:rPr>
          <w:vertAlign w:val="subscript"/>
        </w:rPr>
        <w:t>3</w:t>
      </w:r>
      <w:r>
        <w:t>synthesis, however, its practical implementation is impeded by sluggish hydrogenation kinetics and the instability of active species. Herein, we develop a Ga single‐atom decorated CuO</w:t>
      </w:r>
      <w:r>
        <w:t xml:space="preserve"> </w:t>
      </w:r>
      <w:r>
        <w:t>x</w:t>
      </w:r>
      <w:r>
        <w:t xml:space="preserve"> </w:t>
      </w:r>
      <w:r>
        <w:t>/Cu (Ga</w:t>
      </w:r>
      <w:r>
        <w:t xml:space="preserve"> </w:t>
      </w:r>
      <w:r>
        <w:t>SA</w:t>
      </w:r>
      <w:r>
        <w:t xml:space="preserve"> </w:t>
      </w:r>
      <w:r>
        <w:t>‐CuO</w:t>
      </w:r>
      <w:r>
        <w:t xml:space="preserve"> </w:t>
      </w:r>
      <w:r>
        <w:t>x</w:t>
      </w:r>
      <w:r>
        <w:t xml:space="preserve"> </w:t>
      </w:r>
      <w:r>
        <w:t>/Cu) catalyst featuring a strongly coupled Ga–O–Cu coordination structure. The introduction of highly electrophilic Ga</w:t>
      </w:r>
      <w:r>
        <w:t xml:space="preserve"> </w:t>
      </w:r>
      <w:r>
        <w:t>3+</w:t>
      </w:r>
      <w:r>
        <w:t xml:space="preserve"> </w:t>
      </w:r>
      <w:r>
        <w:t>modulates the electronic structure of Cu via p–d interactions, downshifting the Cu</w:t>
      </w:r>
      <w:r>
        <w:t xml:space="preserve"> </w:t>
      </w:r>
      <w:r>
        <w:t>d</w:t>
      </w:r>
      <w:r>
        <w:t xml:space="preserve"> </w:t>
      </w:r>
      <w:r>
        <w:t>‐band center to weaken excessive intermediate binding, while stabilizing Cu</w:t>
      </w:r>
      <w:r>
        <w:t xml:space="preserve"> </w:t>
      </w:r>
      <w:r>
        <w:t>+</w:t>
      </w:r>
      <w:r>
        <w:t xml:space="preserve"> </w:t>
      </w:r>
      <w:r>
        <w:t>species to form highly active Cu</w:t>
      </w:r>
      <w:r>
        <w:t xml:space="preserve"> </w:t>
      </w:r>
      <w:r>
        <w:t>+</w:t>
      </w:r>
      <w:r>
        <w:t xml:space="preserve"> </w:t>
      </w:r>
      <w:r>
        <w:t>–Cu</w:t>
      </w:r>
      <w:r>
        <w:rPr>
          <w:vertAlign w:val="subscript"/>
        </w:rPr>
        <w:t>0</w:t>
      </w:r>
      <w:r>
        <w:t>interfacial sites. Meanwhile, Ga sites promote active hydrogen supply and accelerate hydrogenation kinetics on adjacent Cu centers. Benefiting from these synergistic effects, the optimized Ga</w:t>
      </w:r>
      <w:r>
        <w:t xml:space="preserve"> </w:t>
      </w:r>
      <w:r>
        <w:t>SA</w:t>
      </w:r>
      <w:r>
        <w:t xml:space="preserve"> </w:t>
      </w:r>
      <w:r>
        <w:t>‐CuO</w:t>
      </w:r>
      <w:r>
        <w:t xml:space="preserve"> </w:t>
      </w:r>
      <w:r>
        <w:t>x</w:t>
      </w:r>
      <w:r>
        <w:t xml:space="preserve"> </w:t>
      </w:r>
      <w:r>
        <w:t>/Cu achieves a remarkable NH</w:t>
      </w:r>
      <w:r>
        <w:rPr>
          <w:vertAlign w:val="subscript"/>
        </w:rPr>
        <w:t>3</w:t>
      </w:r>
      <w:r>
        <w:t>Faradaic efficiency (FE) of 96.21% at −0.4 V versus RHE and high durability at −0.5 A cm</w:t>
      </w:r>
      <w:r>
        <w:t xml:space="preserve"> </w:t>
      </w:r>
      <w:r>
        <w:t>−2</w:t>
      </w:r>
      <w:r>
        <w:t xml:space="preserve"> </w:t>
      </w:r>
      <w:r>
        <w:t>. Moreover, a Zn‐NO</w:t>
      </w:r>
      <w:r>
        <w:rPr>
          <w:vertAlign w:val="subscript"/>
        </w:rPr>
        <w:t>2</w:t>
      </w:r>
      <w:r>
        <w:t>−</w:t>
      </w:r>
      <w:r>
        <w:t>/ethanol battery delivers a peak power density of 17.47 mW cm</w:t>
      </w:r>
      <w:r>
        <w:t xml:space="preserve"> </w:t>
      </w:r>
      <w:r>
        <w:t>−2</w:t>
      </w:r>
      <w:r>
        <w:t xml:space="preserve"> </w:t>
      </w:r>
      <w:r>
        <w:t>with improved charging efficiency, while a plasma‐assisted hybrid electrolyzer achieves &amp;gt;95% FEs for both NH</w:t>
      </w:r>
      <w:r>
        <w:rPr>
          <w:vertAlign w:val="subscript"/>
        </w:rPr>
        <w:t>3</w:t>
      </w:r>
      <w:r>
        <w:t>and formate at −400 mA cm</w:t>
      </w:r>
      <w:r>
        <w:t xml:space="preserve"> </w:t>
      </w:r>
      <w:r>
        <w:t>−2</w:t>
      </w:r>
      <w:r>
        <w:t xml:space="preserve"> </w:t>
      </w:r>
      <w:r>
        <w:t>and operates stably for 200 h at 0.5 A cm</w:t>
      </w:r>
      <w:r>
        <w:t xml:space="preserve"> </w:t>
      </w:r>
      <w:r>
        <w:t>−2</w:t>
      </w:r>
      <w:r>
        <w:t xml:space="preserve"> </w:t>
      </w:r>
      <w:r>
        <w:t>, demonstrating its strong applicability in integrated energy‐chemical conversion systems.</w:t>
      </w:r>
    </w:p>
    <w:p>
      <w:pPr>
        <w:spacing w:before="120" w:after="120"/>
      </w:pPr>
      <w:r>
        <w:rPr>
          <w:sz w:val="18"/>
        </w:rPr>
        <w:t>——————————————————————————————————————————————————————————————————————</w:t>
      </w:r>
    </w:p>
    <w:p>
      <w:pPr>
        <w:spacing w:before="160" w:after="40" w:line="240" w:lineRule="auto"/>
      </w:pPr>
      <w:r>
        <w:rPr>
          <w:b/>
        </w:rPr>
        <w:t xml:space="preserve">[36] </w:t>
      </w:r>
      <w:hyperlink r:id="rId313">
        <w:r>
          <w:rPr>
            <w:color w:val="1155CC"/>
            <w:u w:val="single"/>
          </w:rPr>
          <w:t>15e-CpCr(CO)2 异氰化物类似物的氧化还原态依赖性二氮结合</w:t>
        </w:r>
      </w:hyperlink>
    </w:p>
    <w:p>
      <w:pPr>
        <w:spacing w:before="0" w:after="80"/>
      </w:pPr>
      <w:r>
        <w:rPr>
          <w:i/>
          <w:sz w:val="20"/>
        </w:rPr>
        <w:t>EN: Redox State‐Dependent Dinitrogen Binding by an Isocyanide Analogue of 15e– CpCr(CO)2</w:t>
      </w:r>
    </w:p>
    <w:p>
      <w:pPr>
        <w:spacing w:before="0" w:after="120"/>
      </w:pPr>
      <w:r>
        <w:rPr>
          <w:b/>
        </w:rPr>
        <w:t xml:space="preserve">Source: </w:t>
      </w:r>
      <w:r>
        <w:t>Wiley: Angewandte Chemie International Edition: Table of Contents</w:t>
      </w:r>
      <w:r>
        <w:t xml:space="preserve">    </w:t>
      </w:r>
      <w:r>
        <w:rPr>
          <w:b/>
        </w:rPr>
        <w:t xml:space="preserve">Pub date: </w:t>
      </w:r>
      <w:r>
        <w:t>2026-07-28 07:32:58+00:00</w:t>
      </w:r>
      <w:r>
        <w:t xml:space="preserve">    </w:t>
      </w:r>
      <w:r>
        <w:rPr>
          <w:b/>
        </w:rPr>
        <w:t xml:space="preserve">DOI: </w:t>
      </w:r>
      <w:hyperlink r:id="rId314">
        <w:r>
          <w:rPr>
            <w:color w:val="1155CC"/>
            <w:u w:val="single"/>
          </w:rPr>
          <w:t>10.1002/anie.4911353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低价15e</w:t>
      </w:r>
      <w:r>
        <w:t xml:space="preserve"> </w:t>
      </w:r>
      <w:r>
        <w:t>-</w:t>
      </w:r>
      <w:r>
        <w:t>一价铬络合物，Cp*Cr(CNAr</w:t>
      </w:r>
      <w:r>
        <w:t xml:space="preserve"> </w:t>
      </w:r>
      <w:r>
        <w:t>迪普2</w:t>
      </w:r>
      <w:r>
        <w:t xml:space="preserve"> </w:t>
      </w:r>
      <w:r>
        <w:t>）</w:t>
      </w:r>
      <w:r>
        <w:rPr>
          <w:vertAlign w:val="subscript"/>
        </w:rPr>
        <w:t>2</w:t>
      </w:r>
      <w:r>
        <w:t>（</w:t>
      </w:r>
      <w:r>
        <w:rPr>
          <w:vertAlign w:val="subscript"/>
        </w:rPr>
        <w:t>2</w:t>
      </w:r>
      <w:r>
        <w:t>) (CNAr</w:t>
      </w:r>
      <w:r>
        <w:t xml:space="preserve"> </w:t>
      </w:r>
      <w:r>
        <w:t>迪普2</w:t>
      </w:r>
      <w:r>
        <w:t xml:space="preserve"> </w:t>
      </w:r>
      <w:r>
        <w:t>= 2,6-(2,6-(</w:t>
      </w:r>
      <w:r>
        <w:t xml:space="preserve"> </w:t>
      </w:r>
      <w:r>
        <w:t>我</w:t>
      </w:r>
      <w:r>
        <w:t xml:space="preserve"> </w:t>
      </w:r>
      <w:r>
        <w:t>）</w:t>
      </w:r>
      <w:r>
        <w:rPr>
          <w:vertAlign w:val="subscript"/>
        </w:rPr>
        <w:t>2</w:t>
      </w:r>
      <w:r>
        <w:t>C</w:t>
      </w:r>
      <w:r>
        <w:rPr>
          <w:vertAlign w:val="subscript"/>
        </w:rPr>
        <w:t>6</w:t>
      </w:r>
      <w:r>
        <w:t>H</w:t>
      </w:r>
      <w:r>
        <w:rPr>
          <w:vertAlign w:val="subscript"/>
        </w:rPr>
        <w:t>3</w:t>
      </w:r>
      <w:r>
        <w:t>）</w:t>
      </w:r>
      <w:r>
        <w:rPr>
          <w:vertAlign w:val="subscript"/>
        </w:rPr>
        <w:t>2</w:t>
      </w:r>
      <w:r>
        <w:t>C</w:t>
      </w:r>
      <w:r>
        <w:rPr>
          <w:vertAlign w:val="subscript"/>
        </w:rPr>
        <w:t>6</w:t>
      </w:r>
      <w:r>
        <w:t>H</w:t>
      </w:r>
      <w:r>
        <w:rPr>
          <w:vertAlign w:val="subscript"/>
        </w:rPr>
        <w:t>3</w:t>
      </w:r>
      <w:r>
        <w:t>)，被分离出来并作为不稳定单体 CpCr(CO) 的同瓣类似物</w:t>
      </w:r>
      <w:r>
        <w:rPr>
          <w:vertAlign w:val="subscript"/>
        </w:rPr>
        <w:t>2</w:t>
      </w:r>
      <w:r>
        <w:t>片段。综合体</w:t>
      </w:r>
      <w:r>
        <w:rPr>
          <w:vertAlign w:val="subscript"/>
        </w:rPr>
        <w:t>2</w:t>
      </w:r>
      <w:r>
        <w:t>被发现具有不寻常的中间自旋基态（</w:t>
      </w:r>
      <w:r>
        <w:t xml:space="preserve"> </w:t>
      </w:r>
      <w:r>
        <w:t>S</w:t>
      </w:r>
      <w:r>
        <w:t xml:space="preserve"> </w:t>
      </w:r>
      <w:r>
        <w:t>= 3/2)，这使得可逆 N</w:t>
      </w:r>
      <w:r>
        <w:rPr>
          <w:vertAlign w:val="subscript"/>
        </w:rPr>
        <w:t>2</w:t>
      </w:r>
      <w:r>
        <w:t>绑定负担得起 17e</w:t>
      </w:r>
      <w:r>
        <w:t xml:space="preserve"> </w:t>
      </w:r>
      <w:r>
        <w:t>-</w:t>
      </w:r>
      <w:r>
        <w:t>低自旋（</w:t>
      </w:r>
      <w:r>
        <w:t xml:space="preserve"> </w:t>
      </w:r>
      <w:r>
        <w:t>S</w:t>
      </w:r>
      <w:r>
        <w:t xml:space="preserve"> </w:t>
      </w:r>
      <w:r>
        <w:t>= 1/2) 复合体，Cp*Cr(N</w:t>
      </w:r>
      <w:r>
        <w:rPr>
          <w:vertAlign w:val="subscript"/>
        </w:rPr>
        <w:t>2</w:t>
      </w:r>
      <w:r>
        <w:t>)(CNAr</w:t>
      </w:r>
      <w:r>
        <w:t xml:space="preserve"> </w:t>
      </w:r>
      <w:r>
        <w:t>迪普2</w:t>
      </w:r>
      <w:r>
        <w:t xml:space="preserve"> </w:t>
      </w:r>
      <w:r>
        <w:t>）</w:t>
      </w:r>
      <w:r>
        <w:rPr>
          <w:vertAlign w:val="subscript"/>
        </w:rPr>
        <w:t>2</w:t>
      </w:r>
      <w:r>
        <w:t>（</w:t>
      </w:r>
      <w:r>
        <w:t xml:space="preserve"> </w:t>
      </w:r>
      <w:r>
        <w:t>2-N</w:t>
      </w:r>
      <w:r>
        <w:rPr>
          <w:vertAlign w:val="subscript"/>
        </w:rPr>
        <w:t>2</w:t>
      </w:r>
      <w:r>
        <w:t xml:space="preserve"> </w:t>
      </w:r>
      <w:r>
        <w:t>），这是 N 的罕见例子</w:t>
      </w:r>
      <w:r>
        <w:rPr>
          <w:vertAlign w:val="subscript"/>
        </w:rPr>
        <w:t>2</w:t>
      </w:r>
      <w:r>
        <w:t>引起的自旋态变化。综合体</w:t>
      </w:r>
      <w:r>
        <w:rPr>
          <w:vertAlign w:val="subscript"/>
        </w:rPr>
        <w:t>2</w:t>
      </w:r>
      <w:r>
        <w:t>表现出与众不同</w:t>
      </w:r>
    </w:p>
    <w:p>
      <w:pPr>
        <w:spacing w:before="0" w:after="200" w:lineRule="auto" w:line="276"/>
      </w:pPr>
      <w:r>
        <w:rPr>
          <w:b/>
        </w:rPr>
        <w:t xml:space="preserve">Abstract (EN): </w:t>
      </w:r>
      <w:r>
        <w:t>The low‐valent 15e</w:t>
      </w:r>
      <w:r>
        <w:t xml:space="preserve"> </w:t>
      </w:r>
      <w:r>
        <w:t>−</w:t>
      </w:r>
      <w:r>
        <w:t>monovalent chromium complex, Cp*Cr(CNAr</w:t>
      </w:r>
      <w:r>
        <w:t xml:space="preserve"> </w:t>
      </w:r>
      <w:r>
        <w:t>Dipp2</w:t>
      </w:r>
      <w:r>
        <w:t xml:space="preserve"> </w:t>
      </w:r>
      <w:r>
        <w:t>)</w:t>
      </w:r>
      <w:r>
        <w:rPr>
          <w:vertAlign w:val="subscript"/>
        </w:rPr>
        <w:t>2</w:t>
      </w:r>
      <w:r>
        <w:t>(</w:t>
      </w:r>
      <w:r>
        <w:rPr>
          <w:vertAlign w:val="subscript"/>
        </w:rPr>
        <w:t>2</w:t>
      </w:r>
      <w:r>
        <w:t>) (CNAr</w:t>
      </w:r>
      <w:r>
        <w:t xml:space="preserve"> </w:t>
      </w:r>
      <w:r>
        <w:t>Dipp2</w:t>
      </w:r>
      <w:r>
        <w:t xml:space="preserve"> </w:t>
      </w:r>
      <w:r>
        <w:t>= 2,6‐(2,6‐(</w:t>
      </w:r>
      <w:r>
        <w:t xml:space="preserve"> </w:t>
      </w:r>
      <w:r>
        <w:t>i</w:t>
      </w:r>
      <w:r>
        <w:t xml:space="preserve"> </w:t>
      </w:r>
      <w:r>
        <w:t>Pr)</w:t>
      </w:r>
      <w:r>
        <w:rPr>
          <w:vertAlign w:val="subscript"/>
        </w:rPr>
        <w:t>2</w:t>
      </w:r>
      <w:r>
        <w:t>C</w:t>
      </w:r>
      <w:r>
        <w:rPr>
          <w:vertAlign w:val="subscript"/>
        </w:rPr>
        <w:t>6</w:t>
      </w:r>
      <w:r>
        <w:t>H</w:t>
      </w:r>
      <w:r>
        <w:rPr>
          <w:vertAlign w:val="subscript"/>
        </w:rPr>
        <w:t>3</w:t>
      </w:r>
      <w:r>
        <w:t>)</w:t>
      </w:r>
      <w:r>
        <w:rPr>
          <w:vertAlign w:val="subscript"/>
        </w:rPr>
        <w:t>2</w:t>
      </w:r>
      <w:r>
        <w:t>C</w:t>
      </w:r>
      <w:r>
        <w:rPr>
          <w:vertAlign w:val="subscript"/>
        </w:rPr>
        <w:t>6</w:t>
      </w:r>
      <w:r>
        <w:t>H</w:t>
      </w:r>
      <w:r>
        <w:rPr>
          <w:vertAlign w:val="subscript"/>
        </w:rPr>
        <w:t>3</w:t>
      </w:r>
      <w:r>
        <w:t>), was isolated and serves as an isolobal analogue of the unstable, monomeric CpCr(CO)</w:t>
      </w:r>
      <w:r>
        <w:rPr>
          <w:vertAlign w:val="subscript"/>
        </w:rPr>
        <w:t>2</w:t>
      </w:r>
      <w:r>
        <w:t>fragment. Complex</w:t>
      </w:r>
      <w:r>
        <w:rPr>
          <w:vertAlign w:val="subscript"/>
        </w:rPr>
        <w:t>2</w:t>
      </w:r>
      <w:r>
        <w:t>was found to have an unusual intermediate spin ground state (</w:t>
      </w:r>
      <w:r>
        <w:t xml:space="preserve"> </w:t>
      </w:r>
      <w:r>
        <w:t>S</w:t>
      </w:r>
      <w:r>
        <w:t xml:space="preserve"> </w:t>
      </w:r>
      <w:r>
        <w:t>= 3/2), which enables reversible N</w:t>
      </w:r>
      <w:r>
        <w:rPr>
          <w:vertAlign w:val="subscript"/>
        </w:rPr>
        <w:t>2</w:t>
      </w:r>
      <w:r>
        <w:t>binding to afford the 17e</w:t>
      </w:r>
      <w:r>
        <w:t xml:space="preserve"> </w:t>
      </w:r>
      <w:r>
        <w:t>−</w:t>
      </w:r>
      <w:r>
        <w:t>low‐spin (</w:t>
      </w:r>
      <w:r>
        <w:t xml:space="preserve"> </w:t>
      </w:r>
      <w:r>
        <w:t>S</w:t>
      </w:r>
      <w:r>
        <w:t xml:space="preserve"> </w:t>
      </w:r>
      <w:r>
        <w:t>= 1/2) complex, Cp*Cr(N</w:t>
      </w:r>
      <w:r>
        <w:rPr>
          <w:vertAlign w:val="subscript"/>
        </w:rPr>
        <w:t>2</w:t>
      </w:r>
      <w:r>
        <w:t>)(CNAr</w:t>
      </w:r>
      <w:r>
        <w:t xml:space="preserve"> </w:t>
      </w:r>
      <w:r>
        <w:t>Dipp2</w:t>
      </w:r>
      <w:r>
        <w:t xml:space="preserve"> </w:t>
      </w:r>
      <w:r>
        <w:t>)</w:t>
      </w:r>
      <w:r>
        <w:rPr>
          <w:vertAlign w:val="subscript"/>
        </w:rPr>
        <w:t>2</w:t>
      </w:r>
      <w:r>
        <w:t>(</w:t>
      </w:r>
      <w:r>
        <w:t xml:space="preserve"> </w:t>
      </w:r>
      <w:r>
        <w:t>2‐N</w:t>
      </w:r>
      <w:r>
        <w:rPr>
          <w:vertAlign w:val="subscript"/>
        </w:rPr>
        <w:t>2</w:t>
      </w:r>
      <w:r>
        <w:t xml:space="preserve"> </w:t>
      </w:r>
      <w:r>
        <w:t>), which is a rare example of an N</w:t>
      </w:r>
      <w:r>
        <w:rPr>
          <w:vertAlign w:val="subscript"/>
        </w:rPr>
        <w:t>2</w:t>
      </w:r>
      <w:r>
        <w:t>‐induced spin state change. Complex</w:t>
      </w:r>
      <w:r>
        <w:rPr>
          <w:vertAlign w:val="subscript"/>
        </w:rPr>
        <w:t>2</w:t>
      </w:r>
      <w:r>
        <w:t>demonstrates distinct redox activity, which allowed for a stepwise investigation of its N</w:t>
      </w:r>
      <w:r>
        <w:rPr>
          <w:vertAlign w:val="subscript"/>
        </w:rPr>
        <w:t>2</w:t>
      </w:r>
      <w:r>
        <w:t>binding ability as a function of its redox state. While 1e</w:t>
      </w:r>
      <w:r>
        <w:t xml:space="preserve"> </w:t>
      </w:r>
      <w:r>
        <w:t>–</w:t>
      </w:r>
      <w:r>
        <w:t xml:space="preserve"> </w:t>
      </w:r>
      <w:r>
        <w:t>reduction of</w:t>
      </w:r>
      <w:r>
        <w:rPr>
          <w:vertAlign w:val="subscript"/>
        </w:rPr>
        <w:t>2</w:t>
      </w:r>
      <w:r>
        <w:t>or</w:t>
      </w:r>
      <w:r>
        <w:t xml:space="preserve"> </w:t>
      </w:r>
      <w:r>
        <w:t>2‐N</w:t>
      </w:r>
      <w:r>
        <w:rPr>
          <w:vertAlign w:val="subscript"/>
        </w:rPr>
        <w:t>2</w:t>
      </w:r>
      <w:r>
        <w:t xml:space="preserve"> </w:t>
      </w:r>
      <w:r>
        <w:t>under an N</w:t>
      </w:r>
      <w:r>
        <w:rPr>
          <w:vertAlign w:val="subscript"/>
        </w:rPr>
        <w:t>2</w:t>
      </w:r>
      <w:r>
        <w:t>atmosphere suppresses N</w:t>
      </w:r>
      <w:r>
        <w:rPr>
          <w:vertAlign w:val="subscript"/>
        </w:rPr>
        <w:t>2</w:t>
      </w:r>
      <w:r>
        <w:t>dissociation to give a saturated dinitrogen‐bound monoanionic species, KCp*CrN</w:t>
      </w:r>
      <w:r>
        <w:rPr>
          <w:vertAlign w:val="subscript"/>
        </w:rPr>
        <w:t>2</w:t>
      </w:r>
      <w:r>
        <w:t>(CNAr</w:t>
      </w:r>
      <w:r>
        <w:t xml:space="preserve"> </w:t>
      </w:r>
      <w:r>
        <w:t>Dipp2</w:t>
      </w:r>
      <w:r>
        <w:t xml:space="preserve"> </w:t>
      </w:r>
      <w:r>
        <w:t>)</w:t>
      </w:r>
      <w:r>
        <w:rPr>
          <w:vertAlign w:val="subscript"/>
        </w:rPr>
        <w:t>2</w:t>
      </w:r>
      <w:r>
        <w:t>(</w:t>
      </w:r>
      <w:r>
        <w:rPr>
          <w:vertAlign w:val="subscript"/>
        </w:rPr>
        <w:t>4</w:t>
      </w:r>
      <w:r>
        <w:t>), further reduction leads to complete N</w:t>
      </w:r>
      <w:r>
        <w:rPr>
          <w:vertAlign w:val="subscript"/>
        </w:rPr>
        <w:t>2</w:t>
      </w:r>
      <w:r>
        <w:t>dissociation to afford the dianionic unsaturated metalloradical, K</w:t>
      </w:r>
      <w:r>
        <w:rPr>
          <w:vertAlign w:val="subscript"/>
        </w:rPr>
        <w:t>2</w:t>
      </w:r>
      <w:r>
        <w:t>Cp*Cr(CNAr</w:t>
      </w:r>
      <w:r>
        <w:t xml:space="preserve"> </w:t>
      </w:r>
      <w:r>
        <w:t>Dipp2</w:t>
      </w:r>
      <w:r>
        <w:t xml:space="preserve"> </w:t>
      </w:r>
      <w:r>
        <w:t>)</w:t>
      </w:r>
      <w:r>
        <w:rPr>
          <w:vertAlign w:val="subscript"/>
        </w:rPr>
        <w:t>2</w:t>
      </w:r>
      <w:r>
        <w:t>(</w:t>
      </w:r>
      <w:r>
        <w:rPr>
          <w:vertAlign w:val="subscript"/>
        </w:rPr>
        <w:t>5</w:t>
      </w:r>
      <w:r>
        <w:t>). This demonstrates how N</w:t>
      </w:r>
      <w:r>
        <w:rPr>
          <w:vertAlign w:val="subscript"/>
        </w:rPr>
        <w:t>2</w:t>
      </w:r>
      <w:r>
        <w:t>binding at metal centers is affected by subtle changes to electronic structure, a concept of critical importance to catalytic N</w:t>
      </w:r>
      <w:r>
        <w:rPr>
          <w:vertAlign w:val="subscript"/>
        </w:rPr>
        <w:t>2</w:t>
      </w:r>
      <w:r>
        <w:t>reduction.</w:t>
      </w:r>
    </w:p>
    <w:p>
      <w:pPr>
        <w:spacing w:before="120" w:after="120"/>
      </w:pPr>
      <w:r>
        <w:rPr>
          <w:sz w:val="18"/>
        </w:rPr>
        <w:t>——————————————————————————————————————————————————————————————————————</w:t>
      </w:r>
    </w:p>
    <w:p>
      <w:pPr>
        <w:spacing w:before="160" w:after="40" w:line="240" w:lineRule="auto"/>
      </w:pPr>
      <w:r>
        <w:rPr>
          <w:b/>
        </w:rPr>
        <w:t xml:space="preserve">[37] </w:t>
      </w:r>
      <w:hyperlink r:id="rId315">
        <w:r>
          <w:rPr>
            <w:color w:val="1155CC"/>
            <w:u w:val="single"/>
          </w:rPr>
          <w:t>人工智能辅助高熵氧化物催化剂设计</w:t>
        </w:r>
      </w:hyperlink>
    </w:p>
    <w:p>
      <w:pPr>
        <w:spacing w:before="0" w:after="80"/>
      </w:pPr>
      <w:r>
        <w:rPr>
          <w:i/>
          <w:sz w:val="20"/>
        </w:rPr>
        <w:t>EN: Artificial Intelligence‐Assisted Design of High‐Entropy Oxide Catalysts</w:t>
      </w:r>
    </w:p>
    <w:p>
      <w:pPr>
        <w:spacing w:before="0" w:after="120"/>
      </w:pPr>
      <w:r>
        <w:rPr>
          <w:b/>
        </w:rPr>
        <w:t xml:space="preserve">Source: </w:t>
      </w:r>
      <w:r>
        <w:t>Wiley: Advanced Materials: Table of Contents</w:t>
      </w:r>
      <w:r>
        <w:t xml:space="preserve">    </w:t>
      </w:r>
      <w:r>
        <w:rPr>
          <w:b/>
        </w:rPr>
        <w:t xml:space="preserve">Pub date: </w:t>
      </w:r>
      <w:r>
        <w:t>2026-07-28 10:23:14+00:00</w:t>
      </w:r>
      <w:r>
        <w:t xml:space="preserve">    </w:t>
      </w:r>
      <w:r>
        <w:rPr>
          <w:b/>
        </w:rPr>
        <w:t xml:space="preserve">DOI: </w:t>
      </w:r>
      <w:hyperlink r:id="rId316">
        <w:r>
          <w:rPr>
            <w:color w:val="1155CC"/>
            <w:u w:val="single"/>
          </w:rPr>
          <w:t>10.1002/adma.74305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高熵氧化物（HEO）包含具有不同价态的多种阳离子和高度无序的局部环境，比传统的单组分氧化物提供更广泛的组成和活性位点空间。这种多样性为定制催化性能创造了机会，但也使合理设计变得更加困难。 HEOs 相的形成和稳定性取决于构型熵、混合焓、氧化势、价态相容性和合成条件的综合影响。同时，它们的催化行为通常受到氧空位、表面偏析、原位重构和操作条件下动态演化的活性位点的控制。人工智能（AI）通过学习成分、结构、缺陷、吸附行为和催化性能之间的关系，提供了一种管理这种复杂性的有前景的方法。这篇综述总结了 HEO 催化剂设计的主要挑战，讨论了数据表示和模型选择，并研究了人工智能在相稳定性预测、制氢、析氧、热催化、光催化和电催化剂发现中的应用。它进一步强调需要超越单一属性预测，转向多目标优化以及人工智能、DFT、基于 MLIP 的采样、操作表征和实验验证的闭环集成。</w:t>
      </w:r>
    </w:p>
    <w:p>
      <w:pPr>
        <w:spacing w:before="0" w:after="200" w:lineRule="auto" w:line="276"/>
      </w:pPr>
      <w:r>
        <w:rPr>
          <w:b/>
        </w:rPr>
        <w:t xml:space="preserve">Abstract (EN): </w:t>
      </w:r>
      <w:r>
        <w:t>High‐entropy oxides (HEOs), which contain multiple cations with diverse valence states and highly disordered local environments, offer a much broader compositional and active‐site space than conventional single‐component oxides. This diversity creates opportunities for tailoring catalytic properties, but it also makes rational design considerably more difficult. The formation and stability of HEOs phases depend on the combined effects of configurational entropy, mixing enthalpy, oxidation potential, valence compatibility, and synthesis conditions. Meanwhile, their catalytic behavior is often controlled by oxygen vacancies, surface segregation, in situ reconstruction, and dynamically evolving active sites under operating conditions. Artificial intelligence (AI) provides a promising means of managing this complexity by learning relationships among composition, structure, defects, adsorption behavior, and catalytic performance. This review summarizes the major challenges in HEOs catalyst design, discusses data representation and model selection, and examines AI applications in phase stability prediction, hydrogen production, oxygen evolution, thermal catalysis, photocatalysis, and electrocatalyst discovery. It further emphasizes the need to move beyond single‐property prediction toward multi‐objective optimization and closed‐loop integration of AI, DFT, MLIP‐based sampling, operando characterization, and experimental validation.</w:t>
      </w:r>
    </w:p>
    <w:p>
      <w:pPr>
        <w:spacing w:before="120" w:after="120"/>
      </w:pPr>
      <w:r>
        <w:rPr>
          <w:sz w:val="18"/>
        </w:rPr>
        <w:t>——————————————————————————————————————————————————————————————————————</w:t>
      </w:r>
    </w:p>
    <w:p>
      <w:pPr>
        <w:spacing w:before="160" w:after="40" w:line="240" w:lineRule="auto"/>
      </w:pPr>
      <w:r>
        <w:rPr>
          <w:b/>
        </w:rPr>
        <w:t xml:space="preserve">[38] </w:t>
      </w:r>
      <w:hyperlink r:id="rId317">
        <w:r>
          <w:rPr>
            <w:color w:val="1155CC"/>
            <w:u w:val="single"/>
          </w:rPr>
          <w:t>具有可逆价态动力学的低价RuIr氧化物和用于析氧电催化的稳健框架</w:t>
        </w:r>
      </w:hyperlink>
    </w:p>
    <w:p>
      <w:pPr>
        <w:spacing w:before="0" w:after="80"/>
      </w:pPr>
      <w:r>
        <w:rPr>
          <w:i/>
          <w:sz w:val="20"/>
        </w:rPr>
        <w:t>EN: Low‐Valent RuIr Oxide With Reversible Valence Dynamics and Robust Framework for Oxygen Evolution Electrocatalysis</w:t>
      </w:r>
    </w:p>
    <w:p>
      <w:pPr>
        <w:spacing w:before="0" w:after="120"/>
      </w:pPr>
      <w:r>
        <w:rPr>
          <w:b/>
        </w:rPr>
        <w:t xml:space="preserve">Source: </w:t>
      </w:r>
      <w:r>
        <w:t>Wiley: Advanced Materials: Table of Contents</w:t>
      </w:r>
      <w:r>
        <w:t xml:space="preserve">    </w:t>
      </w:r>
      <w:r>
        <w:rPr>
          <w:b/>
        </w:rPr>
        <w:t xml:space="preserve">Pub date: </w:t>
      </w:r>
      <w:r>
        <w:t>2026-07-28 12:04:45+00:00</w:t>
      </w:r>
      <w:r>
        <w:t xml:space="preserve">    </w:t>
      </w:r>
      <w:r>
        <w:rPr>
          <w:b/>
        </w:rPr>
        <w:t xml:space="preserve">DOI: </w:t>
      </w:r>
      <w:hyperlink r:id="rId318">
        <w:r>
          <w:rPr>
            <w:color w:val="1155CC"/>
            <w:u w:val="single"/>
          </w:rPr>
          <w:t>10.1002/adma.74362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由于缺乏用于析氧反应（OER）的耐用且活性的阳极电催化剂，阻碍了用于制氢的质子交换膜水电解槽的广泛部署。在这里，我们报道了一类低价 RuIr 氧化物纳米催化剂，它同时实现了高 OER 活性和耐久性。通过乙二醇介导的还原，具有四价氧化态金属的传统RuIr氧化物骨架转化为扭曲的单斜结构，其中Ru和Ir稳定在+4以下的还原价态。原位光谱和同位素示踪质谱的结合揭示了化学还原催化剂的动态但结构稳健的行为。在OER过程中，Ru和Ir经历可逆的价态变化并在电位弛豫后恢复，而氧化物骨架保持不变，催化剂遵循吸附质演化机制。在 PEMWE 电池中，最佳催化剂可实现 1.0 A cm 的电流密度</w:t>
      </w:r>
      <w:r>
        <w:t xml:space="preserve"> </w:t>
      </w:r>
      <w:r>
        <w:t>−2</w:t>
      </w:r>
      <w:r>
        <w:t xml:space="preserve"> </w:t>
      </w:r>
      <w:r>
        <w:t>在 1.61 V 和 2.0 A cm 下</w:t>
      </w:r>
      <w:r>
        <w:t xml:space="preserve"> </w:t>
      </w:r>
      <w:r>
        <w:t>−2</w:t>
      </w:r>
      <w:r>
        <w:t xml:space="preserve"> </w:t>
      </w:r>
      <w:r>
        <w:t>在 1.74 V 下，每个电流密度在 2000 小时内具有较低的降解率，并且在 40000 个动态电压循环后保留了 94% 以上的初始活性。具有动态适应性和结构鲁棒性的低价策略为高性能RuIr基催化剂提供了有效的设计原理。</w:t>
      </w:r>
    </w:p>
    <w:p>
      <w:pPr>
        <w:spacing w:before="0" w:after="200" w:lineRule="auto" w:line="276"/>
      </w:pPr>
      <w:r>
        <w:rPr>
          <w:b/>
        </w:rPr>
        <w:t xml:space="preserve">Abstract (EN): </w:t>
      </w:r>
      <w:r>
        <w:t>The widespread deployment of proton exchange membrane water electrolyzers for hydrogen production is hindered by a lack of durable and active anode electrocatalysts for the oxygen evolution reaction (OER). Here, we report a class of low‐valent RuIr oxide nanocatalysts that simultaneously achieve high OER activity and durability. Through an ethylene glycol‐mediated reduction, the conventional RuIr oxide framework with metals in tetravalent oxidation states is transformed into a distorted monoclinic structure in which Ru and Ir are stabilized at reduced valence states below +4. A combination of in situ spectroscopies and isotope‐tracing mass spectrometry reveals a dynamic yet structurally robust behavior of the chemically reduced catalyst. During OER, Ru and Ir undergo reversible valence changes and recover after potential relaxation, while the oxide framework remains unchanged and the catalyst follows the adsorbate evolution mechanism. In a PEMWE cell, the optimal catalyst achieves current densities of 1.0 A cm</w:t>
      </w:r>
      <w:r>
        <w:t xml:space="preserve"> </w:t>
      </w:r>
      <w:r>
        <w:t>−2</w:t>
      </w:r>
      <w:r>
        <w:t xml:space="preserve"> </w:t>
      </w:r>
      <w:r>
        <w:t>at 1.61 V and 2.0 A cm</w:t>
      </w:r>
      <w:r>
        <w:t xml:space="preserve"> </w:t>
      </w:r>
      <w:r>
        <w:t>−2</w:t>
      </w:r>
      <w:r>
        <w:t xml:space="preserve"> </w:t>
      </w:r>
      <w:r>
        <w:t>at 1.74 V, with low degradation rates over 2000 h for each current density, and retains more than 94% of its initial activity after 40 000 dynamic voltage cycles. The low‐valent strategy, with dynamic adaptability and structural robustness, offers an efficient design principle for high‐performance RuIr‐based catalysts.</w:t>
      </w:r>
    </w:p>
    <w:p>
      <w:pPr>
        <w:spacing w:before="120" w:after="120"/>
      </w:pPr>
      <w:r>
        <w:rPr>
          <w:sz w:val="18"/>
        </w:rPr>
        <w:t>——————————————————————————————————————————————————————————————————————</w:t>
      </w:r>
    </w:p>
    <w:p>
      <w:pPr>
        <w:spacing w:before="160" w:after="40" w:line="240" w:lineRule="auto"/>
      </w:pPr>
      <w:r>
        <w:rPr>
          <w:b/>
        </w:rPr>
        <w:t xml:space="preserve">[39] </w:t>
      </w:r>
      <w:hyperlink r:id="rId319">
        <w:r>
          <w:rPr>
            <w:color w:val="1155CC"/>
            <w:u w:val="single"/>
          </w:rPr>
          <w:t>用于高温、耐用质子交换膜水电解的磺化 MOF 增强型 Nafion 膜</w:t>
        </w:r>
      </w:hyperlink>
    </w:p>
    <w:p>
      <w:pPr>
        <w:spacing w:before="0" w:after="80"/>
      </w:pPr>
      <w:r>
        <w:rPr>
          <w:i/>
          <w:sz w:val="20"/>
        </w:rPr>
        <w:t>EN: Sulfonated MOF‑Enhanced Nafion Membranes for High‑Temperature, Durable Proton Exchange Membrane Water Electrolysis</w:t>
      </w:r>
    </w:p>
    <w:p>
      <w:pPr>
        <w:spacing w:before="0" w:after="120"/>
      </w:pPr>
      <w:r>
        <w:rPr>
          <w:b/>
        </w:rPr>
        <w:t xml:space="preserve">Source: </w:t>
      </w:r>
      <w:r>
        <w:t>Wiley: Advanced Materials: Table of Contents</w:t>
      </w:r>
      <w:r>
        <w:t xml:space="preserve">    </w:t>
      </w:r>
      <w:r>
        <w:rPr>
          <w:b/>
        </w:rPr>
        <w:t xml:space="preserve">Pub date: </w:t>
      </w:r>
      <w:r>
        <w:t>2026-07-28 12:37:13+00:00</w:t>
      </w:r>
      <w:r>
        <w:t xml:space="preserve">    </w:t>
      </w:r>
      <w:r>
        <w:rPr>
          <w:b/>
        </w:rPr>
        <w:t xml:space="preserve">DOI: </w:t>
      </w:r>
      <w:hyperlink r:id="rId320">
        <w:r>
          <w:rPr>
            <w:color w:val="1155CC"/>
            <w:u w:val="single"/>
          </w:rPr>
          <w:t>10.1002/adma.74396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温质子交换膜水电解（HT-PEMWE）是低能耗、高效制氢的一种有前景的策略。然而，实际实施关键取决于新型质子交换膜的开发，该质子交换膜同时具有高质子传导性和高温下的长期稳定性。虽然金属有机框架（MOF）作为高性能质子传导材料已被广泛研究，但它们在 HT-PEMWE 的 Nafion 基质中的具体结合仍然很大程度上尚未被探索。在这项工作中，我们设计并制造了磺化 MOF 增强 Nafion (S/N-Nafion) 复合膜。 S/N-Nafion膜的质子电导率达到154.7 mS cm</w:t>
      </w:r>
      <w:r>
        <w:t xml:space="preserve"> </w:t>
      </w:r>
      <w:r>
        <w:t>−1</w:t>
      </w:r>
      <w:r>
        <w:t xml:space="preserve"> </w:t>
      </w:r>
      <w:r>
        <w:t>在 100 °C 时，是重铸 Nafion 的两倍 (75.6 mS cm</w:t>
      </w:r>
      <w:r>
        <w:t xml:space="preserve"> </w:t>
      </w:r>
      <w:r>
        <w:t>−1</w:t>
      </w:r>
      <w:r>
        <w:t xml:space="preserve"> </w:t>
      </w:r>
      <w:r>
        <w:t>），同时在高温下还具有优异的机械强度和尺寸稳定性。当用作固体电解质时，采用 S/N-Nafion 的电解槽在 120 °C 和 3.0 A cm 下仅达到 1.59 V</w:t>
      </w:r>
      <w:r>
        <w:t xml:space="preserve"> </w:t>
      </w:r>
      <w:r>
        <w:t>−2</w:t>
      </w:r>
      <w:r>
        <w:t xml:space="preserve"> </w:t>
      </w:r>
      <w:r>
        <w:t>，在相同条件下比重铸 Nafion (1.71 V) 低 120 mV。此外，在 120 °C 和 1.0 A cm 下进行 300 小时耐久性测试</w:t>
      </w:r>
      <w:r>
        <w:t xml:space="preserve"> </w:t>
      </w:r>
      <w:r>
        <w:t>−2</w:t>
      </w:r>
      <w:r>
        <w:t xml:space="preserve"> </w:t>
      </w:r>
      <w:r>
        <w:t>，S/N-Nafion-PEMWE 表现出 6.0 µV h 的极低电压衰减率</w:t>
      </w:r>
      <w:r>
        <w:t xml:space="preserve"> </w:t>
      </w:r>
      <w:r>
        <w:t>−1</w:t>
      </w:r>
      <w:r>
        <w:t xml:space="preserve"> </w:t>
      </w:r>
      <w:r>
        <w:t>。这些结果强调了 S/N-Nafion 膜在实现高效、稳定方面的巨大潜力。</w:t>
      </w:r>
    </w:p>
    <w:p>
      <w:pPr>
        <w:spacing w:before="0" w:after="200" w:lineRule="auto" w:line="276"/>
      </w:pPr>
      <w:r>
        <w:rPr>
          <w:b/>
        </w:rPr>
        <w:t xml:space="preserve">Abstract (EN): </w:t>
      </w:r>
      <w:r>
        <w:t>High‐temperature proton exchange membrane water electrolysis (HT‐PEMWE) is a promising strategy for low‐energy, high‐efficiency hydrogen production. However, practical implementation relies critically on the development of novel PEMs that simultaneously offer high proton conductivity and long‐term stability at high temperatures. While metal–organic frameworks (MOFs) have been widely investigated as high‐performance proton‐conducting materials, their specific incorporation into Nafion matrices for HT‐PEMWE remains largely unexplored. In this work, we designed and fabricated a sulfonated MOF‐reinforced Nafion (S/N‐Nafion) composite membrane. The S/N‐Nafion membrane achieved a proton conductivity of 154.7 mS cm</w:t>
      </w:r>
      <w:r>
        <w:t xml:space="preserve"> </w:t>
      </w:r>
      <w:r>
        <w:t>−1</w:t>
      </w:r>
      <w:r>
        <w:t xml:space="preserve"> </w:t>
      </w:r>
      <w:r>
        <w:t>at 100 °C, which is twice that of recast Nafion (75.6 mS cm</w:t>
      </w:r>
      <w:r>
        <w:t xml:space="preserve"> </w:t>
      </w:r>
      <w:r>
        <w:t>−1</w:t>
      </w:r>
      <w:r>
        <w:t xml:space="preserve"> </w:t>
      </w:r>
      <w:r>
        <w:t>), while also possessing excellent mechanical strength and dimensional stability at elevated temperatures. When used as the solid electrolyte, an electrolyzer with S/N‐Nafion reached only 1.59 V at 120 °C and 3.0 A cm</w:t>
      </w:r>
      <w:r>
        <w:t xml:space="preserve"> </w:t>
      </w:r>
      <w:r>
        <w:t>−2</w:t>
      </w:r>
      <w:r>
        <w:t xml:space="preserve"> </w:t>
      </w:r>
      <w:r>
        <w:t>, which is 120 mV lower than recast Nafion (1.71 V) under the identical conditions. Moreover, during a 300‐h durability test at 120 °C and 1.0 A cm</w:t>
      </w:r>
      <w:r>
        <w:t xml:space="preserve"> </w:t>
      </w:r>
      <w:r>
        <w:t>−2</w:t>
      </w:r>
      <w:r>
        <w:t xml:space="preserve"> </w:t>
      </w:r>
      <w:r>
        <w:t>, the S/N‐Nafion‐PEMWE exhibited an extremely low voltage decay rate of 6.0 µV h</w:t>
      </w:r>
      <w:r>
        <w:t xml:space="preserve"> </w:t>
      </w:r>
      <w:r>
        <w:t>−1</w:t>
      </w:r>
      <w:r>
        <w:t xml:space="preserve"> </w:t>
      </w:r>
      <w:r>
        <w:t>. These results underscore the immense potential of the S/N‐Nafion membrane for enabling highly efficient and stable high‐temperature electrolytic hydrogen production.</w:t>
      </w:r>
    </w:p>
    <w:p>
      <w:pPr>
        <w:spacing w:before="120" w:after="120"/>
      </w:pPr>
      <w:r>
        <w:rPr>
          <w:sz w:val="18"/>
        </w:rPr>
        <w:t>——————————————————————————————————————————————————————————————————————</w:t>
      </w:r>
    </w:p>
    <w:p>
      <w:pPr>
        <w:spacing w:before="160" w:after="40" w:line="240" w:lineRule="auto"/>
      </w:pPr>
      <w:r>
        <w:rPr>
          <w:b/>
        </w:rPr>
        <w:t xml:space="preserve">[40] </w:t>
      </w:r>
      <w:hyperlink r:id="rId321">
        <w:r>
          <w:rPr>
            <w:color w:val="1155CC"/>
            <w:u w:val="single"/>
          </w:rPr>
          <w:t>全球航运能源转向氢能改善空气质量对健康和经济的影响</w:t>
        </w:r>
      </w:hyperlink>
    </w:p>
    <w:p>
      <w:pPr>
        <w:spacing w:before="0" w:after="80"/>
      </w:pPr>
      <w:r>
        <w:rPr>
          <w:i/>
          <w:sz w:val="20"/>
        </w:rPr>
        <w:t>EN: Health and economic impacts of improved air quality from transitioning global shipping energy to hydrogen</w:t>
      </w:r>
    </w:p>
    <w:p>
      <w:pPr>
        <w:spacing w:before="0" w:after="120"/>
      </w:pPr>
      <w:r>
        <w:rPr>
          <w:b/>
        </w:rPr>
        <w:t xml:space="preserve">Source: </w:t>
      </w:r>
      <w:r>
        <w:t>Earth and environmental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氢能对于难以实现电气化的航运业脱碳和改善空气质量至关重要。然而，相关的健康和经济协同效益仍不清楚。在这里，我们使用综合排放-空气质量-健康建模框架评估全球航运中可行的氢转型情景对健康和经济的影响。我们的研究结果表明，采用氢气每年可避免约 129,500 例（95% 置信区间：68,300-202,200）例过早死亡，其中 75% 归因于臭氧 (O3) 浓度降低，25% 归因于细颗粒物 (PM2.5) 下降，其中 O3 带来的健康收益最大的是南亚，PM2.5 带来的健康收益最大的是东亚。这些健康效益预计可节省约 3060 亿美元（146-4880 亿美元）的经济成本，其中印度、日本和美国获得的经济收益最大。研究结果强调了基于氢的航运脱碳在带来巨大的公共健康和经济协同效益方面的潜力。</w:t>
      </w:r>
    </w:p>
    <w:p>
      <w:pPr>
        <w:spacing w:before="0" w:after="200" w:lineRule="auto" w:line="276"/>
      </w:pPr>
      <w:r>
        <w:rPr>
          <w:b/>
        </w:rPr>
        <w:t xml:space="preserve">Abstract (EN): </w:t>
      </w:r>
      <w:r>
        <w:t>Hydrogen energy is critical for decarbonizing the hard-to-electrify shipping sector and improving air quality. However, the associated health and economic co-benefits remain unclear. Here we assess the health and economic impacts of feasible hydrogen transition scenarios in global shipping using an integrated emission-air quality-health modeling framework. Our results show that hydrogen adoption could avert approximately 129,500 (95% confidence interval: 68,300–202,200) premature mortalities annually—75% attributable to ozone (O3) concentration reduction and 25% attributable to fine particulate matter (PM2.5) decline—with the greatest O3-attributable health gains in Southern Asia and PM2.5-attributable gains in Eastern Asia. These health benefits are estimated to save an economic cost of approximately US$306 billion (US$146–488 billion), with India, Japan and the United States of America receiving the largest economic benefit. The findings highlight the potential of hydrogen-based shipping decarbonization to deliver substantial public health and economic co-benefits.</w:t>
      </w:r>
    </w:p>
    <w:p>
      <w:pPr>
        <w:spacing w:before="120" w:after="120"/>
      </w:pPr>
      <w:r>
        <w:rPr>
          <w:sz w:val="18"/>
        </w:rPr>
        <w:t>——————————————————————————————————————————————————————————————————————</w:t>
      </w:r>
    </w:p>
    <w:p>
      <w:pPr>
        <w:spacing w:before="160" w:after="40" w:line="240" w:lineRule="auto"/>
      </w:pPr>
      <w:r>
        <w:rPr>
          <w:b/>
        </w:rPr>
        <w:t xml:space="preserve">[41] </w:t>
      </w:r>
      <w:hyperlink r:id="rId322">
        <w:r>
          <w:rPr>
            <w:color w:val="1155CC"/>
            <w:u w:val="single"/>
          </w:rPr>
          <w:t>高熵光催化剂可实现协同级联 C-N 耦合，将苯甲醇转化为亚胺</w:t>
        </w:r>
      </w:hyperlink>
    </w:p>
    <w:p>
      <w:pPr>
        <w:spacing w:before="0" w:after="80"/>
      </w:pPr>
      <w:r>
        <w:rPr>
          <w:i/>
          <w:sz w:val="20"/>
        </w:rPr>
        <w:t>EN: High-entropy photocatalyst enabling collaborative cascade C–N coupling for converting benzyl alcohol to imine</w:t>
      </w:r>
    </w:p>
    <w:p>
      <w:pPr>
        <w:spacing w:before="0" w:after="120"/>
      </w:pPr>
      <w:r>
        <w:rPr>
          <w:b/>
        </w:rPr>
        <w:t xml:space="preserve">Source: </w:t>
      </w:r>
      <w:r>
        <w:t>Physical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由于 C-N 偶联的复杂串联过程和多种反应途径，将生物质衍生的醇选择性转化为含氮有机化学品（例如高价值的亚胺）是一项重大挑战。利用可再生能源将生物质衍生的醇与 NH3 进行光催化耦合提供了一种可持续的亚胺生产方法，但需要开发合适的光催化剂。在这项工作中，我们提出了一种具有集成多功能位点的有前途的高熵硫化物光催化剂（NiSnCaZnInS）。以苯甲醇（BA）为例，我们在5小时内实现了1240 μmol gcat−1" role="presentation"&gt;gcat−1{{\mbox{g}}}_{{\mbox{cat}}}^{-1}的亚胺收率，选择性为91.7%。光催化性能可归因于高熵表面的特殊构型，为级联偶联反应提供了理想的催化位点。突出了高熵材料在光催化反应中的巨大潜力，为将生物质衍生物光催化转化为有价值的化学品提供了一种可持续且有效的方法。</w:t>
      </w:r>
    </w:p>
    <w:p>
      <w:pPr>
        <w:spacing w:before="0" w:after="200" w:lineRule="auto" w:line="276"/>
      </w:pPr>
      <w:r>
        <w:rPr>
          <w:b/>
        </w:rPr>
        <w:t xml:space="preserve">Abstract (EN): </w:t>
      </w:r>
      <w:r>
        <w:t>The selective conversion of biomass-derived alcohols to nitrogen-containing organic chemicals, such as the highly valuable imine, is a significant challenge due to the complex tandem process of C–N coupling and multiple reaction pathways. The photocatalytic coupling of biomass-derived alcohols with NH3 using renewable energy offers a sustainable way to produce imines, but requires the development of suitable photocatalysts. In this work, we present a promising high-entropy sulfide photocatalyst (NiSnCaZnInS) with integrated multifunctional sites. Using benzyl alcohol (BA) as an example, we achieved an imine yield of 1240 μmol gcat&amp;#x2212;1" role="presentation"&gt;gcat−1{{\mbox{g}}}_{{\mbox{cat}}}^{-1} for 5 hours, with a selectivity of 91.7%. The photocatalytic performance can be attributed to the special configuration of the high-entropy surface, which provides ideal catalytic sites for the cascade coupling reaction. This work highlights the great potential of high-entropy materials in photocatalytic reactions, providing a sustainable and effective approach to the photocatalytic conversion of biomass derivatives into valuable chemicals.</w:t>
      </w:r>
    </w:p>
    <w:p>
      <w:pPr>
        <w:spacing w:before="120" w:after="120"/>
      </w:pPr>
      <w:r>
        <w:rPr>
          <w:sz w:val="18"/>
        </w:rPr>
        <w:t>——————————————————————————————————————————————————————————————————————</w:t>
      </w:r>
    </w:p>
    <w:p>
      <w:pPr>
        <w:spacing w:before="160" w:after="40" w:line="240" w:lineRule="auto"/>
      </w:pPr>
      <w:r>
        <w:rPr>
          <w:b/>
        </w:rPr>
        <w:t xml:space="preserve">[42] </w:t>
      </w:r>
      <w:hyperlink r:id="rId323">
        <w:r>
          <w:rPr>
            <w:color w:val="1155CC"/>
            <w:u w:val="single"/>
          </w:rPr>
          <w:t>通过稀土引起的持久海水电解的双重机制打破活性与稳定性的权衡</w:t>
        </w:r>
      </w:hyperlink>
    </w:p>
    <w:p>
      <w:pPr>
        <w:spacing w:before="0" w:after="80"/>
      </w:pPr>
      <w:r>
        <w:rPr>
          <w:i/>
          <w:sz w:val="20"/>
        </w:rPr>
        <w:t>EN: Breaking the activity-stability trade-off via dual-mechanism induced by rare earths for lasting seawater electrolysis</w:t>
      </w:r>
    </w:p>
    <w:p>
      <w:pPr>
        <w:spacing w:before="0" w:after="120"/>
      </w:pPr>
      <w:r>
        <w:rPr>
          <w:b/>
        </w:rPr>
        <w:t xml:space="preserve">Source: </w:t>
      </w:r>
      <w:r>
        <w:t>Physical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触发吸附质演化和晶格氧机制耦合路径有望克服析氧反应（OER）的活性与稳定性之间的权衡。然而，由于晶体场和配位环境的外部影响，通过3d金属修饰策略实现多个OER途径的精确调控和激活仍然具有挑战性。在此，我们提出了一种原子分散的稀土替代策略来构建空间分区的反应机制，并实现吸附质演化和晶格氧机制的双重激活。 RE中5 s/5p电子的强屏蔽作用显着降低了外界环境对4 f轨道的影响，从而增强了反应途径的可控性。优化后的 Sm-NiMoO4 表现出良好的 OER 性能。在 70 °C 的工业温度下，模拟海水中的 OER 在 0.5 A cm−2 下的过电势仅为 214 mV，同时保持稳定性 1500 小时。初步技术经济分析表明，Sm-NiMoO4 生产氢气的成本为 2.56 kg−1 美元。这种合成策略和机制分析为实现工业规模海水氢生产做出了宝贵贡献。</w:t>
      </w:r>
    </w:p>
    <w:p>
      <w:pPr>
        <w:spacing w:before="0" w:after="200" w:lineRule="auto" w:line="276"/>
      </w:pPr>
      <w:r>
        <w:rPr>
          <w:b/>
        </w:rPr>
        <w:t xml:space="preserve">Abstract (EN): </w:t>
      </w:r>
      <w:r>
        <w:t>Triggering the adsorbate evolution and lattice oxygen mechanisms coupled path holds promise for overcoming the activity-stability trade-off of oxygen evolution reaction (OER). However, achieving precise regulation and activation of multiple OER pathways via 3d-metal modification strategy remains challenging due to the external effects of crystal fields and coordination environments. Herein, we propose an atomic-dispersed rare earth substitution strategy to construct a spatially partitioned reaction mechanism, and achieve dual activation between adsorbate evolution and lattice oxygen mechanisms. The strong shielding effect of 5 s/5p electrons in RE significantly reduces the influence of the external environment on the 4 f orbitals, thereby enhancing the controllability of the reaction pathway. The optimized Sm-NiMoO4 exhibits favorable OER performance. At an industrial temperature of 70 °C, the OER in simulated seawater exhibits an overpotential of only 214 mV at 0.5 A cm−2, while maintaining stability for 1500 h. Preliminary techno-economic analysis reveals that the cost of hydrogen produced from the Sm-NiMoO4 is US$2.56 kg−1. This synthetic strategy and mechanism analysis represent a valuable contribution towards achieving industrial-scale seawater hydrogen production.</w:t>
      </w:r>
    </w:p>
    <w:p>
      <w:pPr>
        <w:spacing w:before="120" w:after="120"/>
      </w:pPr>
      <w:r>
        <w:rPr>
          <w:sz w:val="18"/>
        </w:rPr>
        <w:t>——————————————————————————————————————————————————————————————————————</w:t>
      </w:r>
    </w:p>
    <w:p>
      <w:pPr>
        <w:spacing w:before="160" w:after="40" w:line="240" w:lineRule="auto"/>
      </w:pPr>
      <w:r>
        <w:rPr>
          <w:b/>
        </w:rPr>
        <w:t xml:space="preserve">[43] </w:t>
      </w:r>
      <w:hyperlink r:id="rId324">
        <w:r>
          <w:rPr>
            <w:color w:val="1155CC"/>
            <w:u w:val="single"/>
          </w:rPr>
          <w:t>二维聚合物平面外载流光催化水分解</w:t>
        </w:r>
      </w:hyperlink>
    </w:p>
    <w:p>
      <w:pPr>
        <w:spacing w:before="0" w:after="80"/>
      </w:pPr>
      <w:r>
        <w:rPr>
          <w:i/>
          <w:sz w:val="20"/>
        </w:rPr>
        <w:t>EN: Photocatalytic water splitting by 2D polymer with out-of-plane carrier flow</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325">
        <w:r>
          <w:rPr>
            <w:color w:val="1155CC"/>
            <w:u w:val="single"/>
          </w:rPr>
          <w:t>10.1038/s41586-026-10866-0</w:t>
        </w:r>
      </w:hyperlink>
    </w:p>
    <w:p>
      <w:pPr>
        <w:spacing w:before="0" w:after="120"/>
      </w:pPr>
      <w:r>
        <w:rPr>
          <w:b/>
        </w:rPr>
        <w:t xml:space="preserve">Notes: </w:t>
      </w:r>
      <w:r>
        <w:t>abstract_source=pubmed</w:t>
      </w:r>
    </w:p>
    <w:p>
      <w:pPr>
        <w:spacing w:before="0" w:after="80" w:lineRule="auto" w:line="276"/>
      </w:pPr>
      <w:r>
        <w:rPr>
          <w:b/>
        </w:rPr>
        <w:t xml:space="preserve">摘要（ZH）: </w:t>
      </w:r>
      <w:r>
        <w:t>太阳能驱动的半导体颗粒水分解为氢气生产提供了可持续的途径1,2。二维 (2D) π 共轭聚合物因其成本效益和光电可调性而成为有前途的光催化剂3,4。然而，聚合物中的光激发态很大程度上局限于π共轭的二维平面内，使得电荷载流子容易复合。尽管对电子结构进行了广泛的修改以增强面内电荷分离，但长期的实验努力仍然凸显了量子效率的持续瓶颈5。为了最大限度地提高电荷利用效率，主要挑战在于诱导面外载流子迁移，即促进载流子流过范德华键合层。在这里，使用聚合氮化碳晶体作为模型系统，我们证明了通过将纳米薄膜封装在不同的聚合物面上，施加横向或垂直内部电场，可以在令人惊讶的长距离（约200 nm）内激活面外载流子传输。横向和垂直电场将整体水分解的表观量子效率分别提高到 53.4% 和 82.1%。我们的研究引入了一种从固有的 2D 限制激发态转变为动力学驱动的 3D 空间分离态的策略，并为通过聚合物光催化最大化能量转换铺平了道路。</w:t>
      </w:r>
    </w:p>
    <w:p>
      <w:pPr>
        <w:spacing w:before="0" w:after="200" w:lineRule="auto" w:line="276"/>
      </w:pPr>
      <w:r>
        <w:rPr>
          <w:b/>
        </w:rPr>
        <w:t xml:space="preserve">Abstract (EN): </w:t>
      </w:r>
      <w:r>
        <w:t>Solar-driven water splitting with semiconductor particulates offers a sustainable pathway for hydrogen production1,2. Two-dimensional (2D) π-conjugated polymers have emerged as promising photocatalysts owing to their cost effectiveness and optoelectronic tunability3,4. However, photoexcited states in polymers are largely confined within π-conjugated 2D planes, making charge carriers vulnerable to recombination. Despite widespread modification of the electronic structure to enhance in-plane charge separation, long-term experimental efforts continue to highlight a persistent bottleneck in quantum efficiency5. To maximize charge utilization efficiency, the main challenge lies in inducing out-of-plane carrier migration, namely, fostering carrier flow through van der Waals-bonded layers. Here, using polymeric carbon nitride crystals as model systems, we demonstrate that out-of-plane carrier transport can be activated over surprisingly long distances (about 200 nm) by applying lateral or vertical internal electric fields by means of encapsulating nanofilms on different polymer facets. The lateral and vertical electric fields boost apparent quantum efficiency for overall water splitting to 53.4% and 82.1%, respectively. Our study introduces a strategy for transitioning from intrinsic 2D-confined excited states into kinetic-driven 3D spatially separated states and paves the way for maximizing energy conversion by polymer photocatalysis.</w:t>
      </w:r>
    </w:p>
    <w:p>
      <w:pPr>
        <w:spacing w:before="120" w:after="120"/>
      </w:pPr>
      <w:r>
        <w:rPr>
          <w:sz w:val="18"/>
        </w:rPr>
        <w:t>——————————————————————————————————————————————————————————————————————</w:t>
      </w:r>
    </w:p>
    <w:p>
      <w:pPr>
        <w:spacing w:before="160" w:after="40" w:line="240" w:lineRule="auto"/>
      </w:pPr>
      <w:r>
        <w:rPr>
          <w:b/>
        </w:rPr>
        <w:t xml:space="preserve">[44] </w:t>
      </w:r>
      <w:hyperlink r:id="rId326">
        <w:r>
          <w:rPr>
            <w:color w:val="1155CC"/>
            <w:u w:val="single"/>
          </w:rPr>
          <w:t>网络受限大电网绿氢发电调度</w:t>
        </w:r>
      </w:hyperlink>
    </w:p>
    <w:p>
      <w:pPr>
        <w:spacing w:before="0" w:after="80"/>
      </w:pPr>
      <w:r>
        <w:rPr>
          <w:i/>
          <w:sz w:val="20"/>
        </w:rPr>
        <w:t>EN: Green hydrogen to power scheduling in a large power grid with network constraints</w:t>
      </w:r>
    </w:p>
    <w:p>
      <w:pPr>
        <w:spacing w:before="0" w:after="120"/>
      </w:pPr>
      <w:r>
        <w:rPr>
          <w:b/>
        </w:rPr>
        <w:t xml:space="preserve">Source: </w:t>
      </w:r>
      <w:r>
        <w:t>ScienceDirect Publication: Applied Energy</w:t>
      </w:r>
      <w:r>
        <w:t xml:space="preserve">    </w:t>
      </w:r>
      <w:r>
        <w:rPr>
          <w:b/>
        </w:rPr>
        <w:t xml:space="preserve">Pub date: </w:t>
      </w:r>
      <w:r>
        <w:t>2026-07-29 00:00:00+00:00</w:t>
      </w:r>
      <w:r>
        <w:t xml:space="preserve">    </w:t>
      </w:r>
      <w:r>
        <w:rPr>
          <w:b/>
        </w:rPr>
        <w:t xml:space="preserve">DOI: </w:t>
      </w:r>
      <w:hyperlink r:id="rId327">
        <w:r>
          <w:rPr>
            <w:color w:val="1155CC"/>
            <w:u w:val="single"/>
          </w:rPr>
          <w:t>10.1016/j.apenergy.2026.128436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 </w:t>
      </w:r>
      <w:hyperlink r:id="rId328">
        <w:r>
          <w:rPr>
            <w:color w:val="1155CC"/>
            <w:u w:val="single"/>
          </w:rPr>
          <w:t>“1+N”机制与数据混合驱动的多单元系统简化建模方法及其在多堆燃料电池系统中的应用</w:t>
        </w:r>
      </w:hyperlink>
    </w:p>
    <w:p>
      <w:pPr>
        <w:spacing w:before="0" w:after="80"/>
      </w:pPr>
      <w:r>
        <w:rPr>
          <w:i/>
          <w:sz w:val="20"/>
        </w:rPr>
        <w:t>EN: “1 + N” mechanism and data hybrid-driven simplified modeling method for multi-unit systems and its application to multi-stack fuel cell systems</w:t>
      </w:r>
    </w:p>
    <w:p>
      <w:pPr>
        <w:spacing w:before="0" w:after="120"/>
      </w:pPr>
      <w:r>
        <w:rPr>
          <w:b/>
        </w:rPr>
        <w:t xml:space="preserve">Source: </w:t>
      </w:r>
      <w:r>
        <w:t>ScienceDirect Publication: Applied Energy</w:t>
      </w:r>
      <w:r>
        <w:t xml:space="preserve">    </w:t>
      </w:r>
      <w:r>
        <w:rPr>
          <w:b/>
        </w:rPr>
        <w:t xml:space="preserve">Pub date: </w:t>
      </w:r>
      <w:r>
        <w:t>2026-07-29 00:00:00+00:00</w:t>
      </w:r>
      <w:r>
        <w:t xml:space="preserve">    </w:t>
      </w:r>
      <w:r>
        <w:rPr>
          <w:b/>
        </w:rPr>
        <w:t xml:space="preserve">DOI: </w:t>
      </w:r>
      <w:hyperlink r:id="rId329">
        <w:r>
          <w:rPr>
            <w:color w:val="1155CC"/>
            <w:u w:val="single"/>
          </w:rPr>
          <w:t>10.1016/j.apenergy.2026.128513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 </w:t>
      </w:r>
      <w:hyperlink r:id="rId330">
        <w:r>
          <w:rPr>
            <w:color w:val="1155CC"/>
            <w:u w:val="single"/>
          </w:rPr>
          <w:t>迈向高性能钒氧燃料电池：数值建模、极化分析和铋催化阳极优化</w:t>
        </w:r>
      </w:hyperlink>
    </w:p>
    <w:p>
      <w:pPr>
        <w:spacing w:before="0" w:after="80"/>
      </w:pPr>
      <w:r>
        <w:rPr>
          <w:i/>
          <w:sz w:val="20"/>
        </w:rPr>
        <w:t>EN: Toward high-performance vanadium-oxygen fuel cell: numerical modeling, polarization analysis, and bismuth-catalyzed anode optimization</w:t>
      </w:r>
    </w:p>
    <w:p>
      <w:pPr>
        <w:spacing w:before="0" w:after="120"/>
      </w:pPr>
      <w:r>
        <w:rPr>
          <w:b/>
        </w:rPr>
        <w:t xml:space="preserve">Source: </w:t>
      </w:r>
      <w:r>
        <w:t>ScienceDirect Publication: Applied Energy</w:t>
      </w:r>
      <w:r>
        <w:t xml:space="preserve">    </w:t>
      </w:r>
      <w:r>
        <w:rPr>
          <w:b/>
        </w:rPr>
        <w:t xml:space="preserve">Pub date: </w:t>
      </w:r>
      <w:r>
        <w:t>2026-07-29 00:00:00+00:00</w:t>
      </w:r>
      <w:r>
        <w:t xml:space="preserve">    </w:t>
      </w:r>
      <w:r>
        <w:rPr>
          <w:b/>
        </w:rPr>
        <w:t xml:space="preserve">DOI: </w:t>
      </w:r>
      <w:hyperlink r:id="rId331">
        <w:r>
          <w:rPr>
            <w:color w:val="1155CC"/>
            <w:u w:val="single"/>
          </w:rPr>
          <w:t>10.1016/j.apenergy.2026.128528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 </w:t>
      </w:r>
      <w:hyperlink r:id="rId332">
        <w:r>
          <w:rPr>
            <w:color w:val="1155CC"/>
            <w:u w:val="single"/>
          </w:rPr>
          <w:t>八面体配位 Co3O4 用于酸电解水</w:t>
        </w:r>
      </w:hyperlink>
    </w:p>
    <w:p>
      <w:pPr>
        <w:spacing w:before="0" w:after="80"/>
      </w:pPr>
      <w:r>
        <w:rPr>
          <w:i/>
          <w:sz w:val="20"/>
        </w:rPr>
        <w:t>EN: Octahedral-coordinated Co3O4 for water electrolysis in acid</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333">
        <w:r>
          <w:rPr>
            <w:color w:val="1155CC"/>
            <w:u w:val="single"/>
          </w:rPr>
          <w:t>10.1038/s41586-026-10851-7</w:t>
        </w:r>
      </w:hyperlink>
    </w:p>
    <w:p>
      <w:pPr>
        <w:spacing w:before="0" w:after="120"/>
      </w:pPr>
      <w:r>
        <w:rPr>
          <w:b/>
        </w:rPr>
        <w:t xml:space="preserve">Notes: </w:t>
      </w:r>
      <w:r>
        <w:t>abstract_source=pubmed</w:t>
      </w:r>
    </w:p>
    <w:p>
      <w:pPr>
        <w:spacing w:before="0" w:after="80" w:lineRule="auto" w:line="276"/>
      </w:pPr>
      <w:r>
        <w:rPr>
          <w:b/>
        </w:rPr>
        <w:t xml:space="preserve">摘要（ZH）: </w:t>
      </w:r>
      <w:r>
        <w:t>开发高活性和稳定的非贵金属氧化物催化剂来替代铱基材料以实现高效酸性水电解至关重要1-3。然而，传统的尖晶石钴氧化物由于非活性四面体 (Td) 和高活性八面体 (Oh) 配位位点的共存而受到内在性能的限制4,5。在这里，我们报道了一种通过真空介导熔碱机械化学方法生产的新的三角相 Co3O4 (Tri-Co3O4)，它显示出与空间群 P-3m1 (164) 的共边 [CoO6] 八面体配位。三层致密结构提供了以1:2的比例位于八面体配位的Co2+和Co3+。 Tri-Co3O4 在酸性析氧反应 (OER) 中，在电流密度为 10mAcm-2 时实现了 269mV 的低过电势，比尖晶石型 Co3O4 低 181mV。在质子交换膜水电解 (PEMWE) 装置中，电池电压为 1.80V 时，它还能实现超过 1,800mAcm-2 的电流密度。催化机理表明，共边八面体配位的二维层状结构可以有效优化中间体的吸附，减少Co的溶解，从而大幅提高非贵金属催化剂的活性和稳定性。</w:t>
      </w:r>
    </w:p>
    <w:p>
      <w:pPr>
        <w:spacing w:before="0" w:after="200" w:lineRule="auto" w:line="276"/>
      </w:pPr>
      <w:r>
        <w:rPr>
          <w:b/>
        </w:rPr>
        <w:t xml:space="preserve">Abstract (EN): </w:t>
      </w:r>
      <w:r>
        <w:t>The development of highly active and stable non-noble metal oxide catalysts to replace iridium-based materials for efficient acidic water electrolysis is crucial1-3. However, traditional spinel cobalt oxide suffers from intrinsic performance limitations from coexistence of inactive tetrahedral (Td) and highly active octahedral (Oh) coordination sites4,5. Here we report a new trigonal-phase Co3O4 (Tri-Co3O4) produced by a vacuum-mediated molten-alkali mechanochemical method, which shows edge-shared [CoO6] octahedral coordination with the space group P-3m1 (164). The three-layer compact structure provides Co2+ and Co3+ located in octahedral coordination in the ratio 1:2. Tri-Co3O4 achieves a low overpotential of 269 millivolts (mV) at the current density of 10 mA cm-2 in the acidic oxygen evolution reaction (OER), 181 mV less than spinel-type Co3O4. It also achieves a current density exceeding 1,800 mA cm-2 at a cell voltage of 1.80 V in proton-exchange membrane water electrolysis (PEMWE) devices. The catalytic mechanism shows that the 2D layered structure with edge-shared octahedral coordination can effectively optimize the adsorption of intermediates and reduce the dissolution of Co, thereby substantially improving the activity and stability of the non-noble metal catalysts.</w:t>
      </w:r>
    </w:p>
    <w:p>
      <w:pPr>
        <w:spacing w:before="120" w:after="120"/>
      </w:pPr>
      <w:r>
        <w:rPr>
          <w:sz w:val="18"/>
        </w:rPr>
        <w:t>——————————————————————————————————————————————————————————————————————</w:t>
      </w:r>
    </w:p>
    <w:p>
      <w:pPr>
        <w:spacing w:before="160" w:after="40" w:line="240" w:lineRule="auto"/>
      </w:pPr>
      <w:r>
        <w:rPr>
          <w:b/>
        </w:rPr>
        <w:t xml:space="preserve">[48] </w:t>
      </w:r>
      <w:hyperlink r:id="rId334">
        <w:r>
          <w:rPr>
            <w:color w:val="1155CC"/>
            <w:u w:val="single"/>
          </w:rPr>
          <w:t>通过感应效应调整 RuO2 的轨道重叠以实现持久的质子交换膜水电解</w:t>
        </w:r>
      </w:hyperlink>
    </w:p>
    <w:p>
      <w:pPr>
        <w:spacing w:before="0" w:after="80"/>
      </w:pPr>
      <w:r>
        <w:rPr>
          <w:i/>
          <w:sz w:val="20"/>
        </w:rPr>
        <w:t>EN: Tailoring the Orbital Overlap of RuO2 via Inductive Effect for Durable Proton Exchange Membrane Water Electrolysis</w:t>
      </w:r>
    </w:p>
    <w:p>
      <w:pPr>
        <w:spacing w:before="0" w:after="120"/>
      </w:pPr>
      <w:r>
        <w:rPr>
          <w:b/>
        </w:rPr>
        <w:t xml:space="preserve">Source: </w:t>
      </w:r>
      <w:r>
        <w:t>Wiley: Advanced Energy Materials: Table of Contents</w:t>
      </w:r>
      <w:r>
        <w:t xml:space="preserve">    </w:t>
      </w:r>
      <w:r>
        <w:rPr>
          <w:b/>
        </w:rPr>
        <w:t xml:space="preserve">Pub date: </w:t>
      </w:r>
      <w:r>
        <w:t>2026-07-29 06:02:24+00:00</w:t>
      </w:r>
      <w:r>
        <w:t xml:space="preserve">    </w:t>
      </w:r>
      <w:r>
        <w:rPr>
          <w:b/>
        </w:rPr>
        <w:t xml:space="preserve">DOI: </w:t>
      </w:r>
      <w:hyperlink r:id="rId335">
        <w:r>
          <w:rPr>
            <w:color w:val="1155CC"/>
            <w:u w:val="single"/>
          </w:rPr>
          <w:t>10.1002/aenm.71371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氧化钌</w:t>
      </w:r>
      <w:r>
        <w:rPr>
          <w:vertAlign w:val="subscript"/>
        </w:rPr>
        <w:t>2</w:t>
      </w:r>
      <w:r>
        <w:t>是一种很有前景的 PEMWE 阳极催化剂，但在安培级电流密度下会快速降解。先前的研究已将钌基催化剂的不稳定性与过量的Ru─O共价键联系起来，但控制这种共价键的机制仍不清楚。在这里，我们引入等价金属（M：Ti</w:t>
      </w:r>
      <w:r>
        <w:t xml:space="preserve"> </w:t>
      </w:r>
      <w:r>
        <w:t>4+</w:t>
      </w:r>
      <w:r>
        <w:t xml:space="preserve"> </w:t>
      </w:r>
      <w:r>
        <w:t>/铪</w:t>
      </w:r>
      <w:r>
        <w:t xml:space="preserve"> </w:t>
      </w:r>
      <w:r>
        <w:t>4+</w:t>
      </w:r>
      <w:r>
        <w:t xml:space="preserve"> </w:t>
      </w:r>
      <w:r>
        <w:t>）来调节Ru─O键强度。密度泛函理论计算表明，Hf─O的强感应效应使Hf</w:t>
      </w:r>
      <w:r>
        <w:t xml:space="preserve"> </w:t>
      </w:r>
      <w:r>
        <w:t>4+</w:t>
      </w:r>
      <w:r>
        <w:t xml:space="preserve"> </w:t>
      </w:r>
      <w:r>
        <w:t>优化Ru(4d)–O(2p)轨道重叠，从而削弱Ru─O共价性，从而抑制晶格氧活性。实验结果表明，Hf</w:t>
      </w:r>
      <w:r>
        <w:t xml:space="preserve"> </w:t>
      </w:r>
      <w:r>
        <w:t>4+</w:t>
      </w:r>
      <w:r>
        <w:t xml:space="preserve"> </w:t>
      </w:r>
      <w:r>
        <w:t>具有更强的亲氧性，在提高Ru的催化活性和耐久性方面表现出优异的性能</w:t>
      </w:r>
      <w:r>
        <w:t xml:space="preserve"> </w:t>
      </w:r>
      <w:r>
        <w:t>0.7</w:t>
      </w:r>
      <w:r>
        <w:t xml:space="preserve"> </w:t>
      </w:r>
      <w:r>
        <w:t>中号</w:t>
      </w:r>
      <w:r>
        <w:t xml:space="preserve"> </w:t>
      </w:r>
      <w:r>
        <w:t>0.3</w:t>
      </w:r>
      <w:r>
        <w:t xml:space="preserve"> </w:t>
      </w:r>
      <w:r>
        <w:t>氧</w:t>
      </w:r>
      <w:r>
        <w:rPr>
          <w:vertAlign w:val="subscript"/>
        </w:rPr>
        <w:t>2</w:t>
      </w:r>
      <w:r>
        <w:t>(M = Ti 或 Hf) 用于酸性析氧反应。在实际的 PEMWE 装置中，Ru</w:t>
      </w:r>
      <w:r>
        <w:t xml:space="preserve"> </w:t>
      </w:r>
      <w:r>
        <w:t>0.7</w:t>
      </w:r>
      <w:r>
        <w:t xml:space="preserve"> </w:t>
      </w:r>
      <w:r>
        <w:t>铪</w:t>
      </w:r>
      <w:r>
        <w:t xml:space="preserve"> </w:t>
      </w:r>
      <w:r>
        <w:t>0.3</w:t>
      </w:r>
      <w:r>
        <w:t xml:space="preserve"> </w:t>
      </w:r>
      <w:r>
        <w:t>氧</w:t>
      </w:r>
      <w:r>
        <w:rPr>
          <w:vertAlign w:val="subscript"/>
        </w:rPr>
        <w:t>2</w:t>
      </w:r>
      <w:r>
        <w:t>达到 3 A cm</w:t>
      </w:r>
      <w:r>
        <w:t xml:space="preserve"> </w:t>
      </w:r>
      <w:r>
        <w:t>−2</w:t>
      </w:r>
      <w:r>
        <w:t xml:space="preserve"> </w:t>
      </w:r>
      <w:r>
        <w:t>1.71 V 时，对应能耗为 44.58 kWh kg</w:t>
      </w:r>
      <w:r>
        <w:t xml:space="preserve"> </w:t>
      </w:r>
      <w:r>
        <w:t>−1</w:t>
      </w:r>
      <w:r>
        <w:t xml:space="preserve"> </w:t>
      </w:r>
      <w:r>
        <w:t>H</w:t>
      </w:r>
      <w:r>
        <w:rPr>
          <w:vertAlign w:val="subscript"/>
        </w:rPr>
        <w:t>2</w:t>
      </w:r>
    </w:p>
    <w:p>
      <w:pPr>
        <w:spacing w:before="0" w:after="200" w:lineRule="auto" w:line="276"/>
      </w:pPr>
      <w:r>
        <w:rPr>
          <w:b/>
        </w:rPr>
        <w:t xml:space="preserve">Abstract (EN): </w:t>
      </w:r>
      <w:r>
        <w:t>RuO</w:t>
      </w:r>
      <w:r>
        <w:rPr>
          <w:vertAlign w:val="subscript"/>
        </w:rPr>
        <w:t>2</w:t>
      </w:r>
      <w:r>
        <w:t>is a promising anode catalyst for PEMWE but suffers rapid degradation at ampere‐level current densities. Previous studies have linked the instability of ruthenium‐based catalysts to excessive Ru─O covalency, yet the mechanism governing this covalency remains unclear. Here, we introduce isovalent metals (M: Ti</w:t>
      </w:r>
      <w:r>
        <w:t xml:space="preserve"> </w:t>
      </w:r>
      <w:r>
        <w:t>4+</w:t>
      </w:r>
      <w:r>
        <w:t xml:space="preserve"> </w:t>
      </w:r>
      <w:r>
        <w:t>/Hf</w:t>
      </w:r>
      <w:r>
        <w:t xml:space="preserve"> </w:t>
      </w:r>
      <w:r>
        <w:t>4+</w:t>
      </w:r>
      <w:r>
        <w:t xml:space="preserve"> </w:t>
      </w:r>
      <w:r>
        <w:t>) to modulate the Ru─O bond strength. Density functional theory calculations show that the strong inductive effect of Hf─O enables Hf</w:t>
      </w:r>
      <w:r>
        <w:t xml:space="preserve"> </w:t>
      </w:r>
      <w:r>
        <w:t>4+</w:t>
      </w:r>
      <w:r>
        <w:t xml:space="preserve"> </w:t>
      </w:r>
      <w:r>
        <w:t>to optimize the Ru(4d)–O(2p) orbital overlap, which in turn weakens the Ru─O covalency, thereby suppressing lattice oxygen activity. Experimental results demonstrate that Hf</w:t>
      </w:r>
      <w:r>
        <w:t xml:space="preserve"> </w:t>
      </w:r>
      <w:r>
        <w:t>4+</w:t>
      </w:r>
      <w:r>
        <w:t xml:space="preserve"> </w:t>
      </w:r>
      <w:r>
        <w:t>, which possesses stronger oxophilicity, exhibits superior performance in enhancing both the catalytic activity and durability of Ru</w:t>
      </w:r>
      <w:r>
        <w:t xml:space="preserve"> </w:t>
      </w:r>
      <w:r>
        <w:t>0.7</w:t>
      </w:r>
      <w:r>
        <w:t xml:space="preserve"> </w:t>
      </w:r>
      <w:r>
        <w:t>M</w:t>
      </w:r>
      <w:r>
        <w:t xml:space="preserve"> </w:t>
      </w:r>
      <w:r>
        <w:t>0.3</w:t>
      </w:r>
      <w:r>
        <w:t xml:space="preserve"> </w:t>
      </w:r>
      <w:r>
        <w:t>O</w:t>
      </w:r>
      <w:r>
        <w:rPr>
          <w:vertAlign w:val="subscript"/>
        </w:rPr>
        <w:t>2</w:t>
      </w:r>
      <w:r>
        <w:t>(M = Ti or Hf) for the acidic oxygen evolution reaction. In a practical PEMWE device, Ru</w:t>
      </w:r>
      <w:r>
        <w:t xml:space="preserve"> </w:t>
      </w:r>
      <w:r>
        <w:t>0.7</w:t>
      </w:r>
      <w:r>
        <w:t xml:space="preserve"> </w:t>
      </w:r>
      <w:r>
        <w:t>Hf</w:t>
      </w:r>
      <w:r>
        <w:t xml:space="preserve"> </w:t>
      </w:r>
      <w:r>
        <w:t>0.3</w:t>
      </w:r>
      <w:r>
        <w:t xml:space="preserve"> </w:t>
      </w:r>
      <w:r>
        <w:t>O</w:t>
      </w:r>
      <w:r>
        <w:rPr>
          <w:vertAlign w:val="subscript"/>
        </w:rPr>
        <w:t>2</w:t>
      </w:r>
      <w:r>
        <w:t>achieves 3 A cm</w:t>
      </w:r>
      <w:r>
        <w:t xml:space="preserve"> </w:t>
      </w:r>
      <w:r>
        <w:t>−2</w:t>
      </w:r>
      <w:r>
        <w:t xml:space="preserve"> </w:t>
      </w:r>
      <w:r>
        <w:t>at 1.71 V, corresponding to a specific energy consumption of 44.58 kWh kg</w:t>
      </w:r>
      <w:r>
        <w:t xml:space="preserve"> </w:t>
      </w:r>
      <w:r>
        <w:t>−1</w:t>
      </w:r>
      <w:r>
        <w:t xml:space="preserve"> </w:t>
      </w:r>
      <w:r>
        <w:t>H</w:t>
      </w:r>
      <w:r>
        <w:rPr>
          <w:vertAlign w:val="subscript"/>
        </w:rPr>
        <w:t>2</w:t>
      </w:r>
      <w:r>
        <w:t>, meeting the U.S. DOE 2026 target (specific energy consumption of 48 kWh kg</w:t>
      </w:r>
      <w:r>
        <w:t xml:space="preserve"> </w:t>
      </w:r>
      <w:r>
        <w:t>−1</w:t>
      </w:r>
      <w:r>
        <w:t xml:space="preserve"> </w:t>
      </w:r>
      <w:r>
        <w:t>H</w:t>
      </w:r>
      <w:r>
        <w:rPr>
          <w:vertAlign w:val="subscript"/>
        </w:rPr>
        <w:t>2</w:t>
      </w:r>
      <w:r>
        <w:t>). Moreover, the catalyst operates stably for over 250 h at 1 A cm</w:t>
      </w:r>
      <w:r>
        <w:t xml:space="preserve"> </w:t>
      </w:r>
      <w:r>
        <w:t>−2</w:t>
      </w:r>
      <w:r>
        <w:t xml:space="preserve"> </w:t>
      </w:r>
      <w:r>
        <w:t>with a degradation rate more than 48 times lower than that of commercial RuO</w:t>
      </w:r>
      <w:r>
        <w:rPr>
          <w:vertAlign w:val="subscript"/>
        </w:rPr>
        <w:t>2</w:t>
      </w:r>
      <w:r>
        <w:t>. This work provides a new strategy for designing high‐performance catalysts through the inductive effect.</w:t>
      </w:r>
    </w:p>
    <w:p>
      <w:pPr>
        <w:spacing w:before="120" w:after="120"/>
      </w:pPr>
      <w:r>
        <w:rPr>
          <w:sz w:val="18"/>
        </w:rPr>
        <w:t>——————————————————————————————————————————————————————————————————————</w:t>
      </w:r>
    </w:p>
    <w:p>
      <w:pPr>
        <w:spacing w:before="160" w:after="40" w:line="240" w:lineRule="auto"/>
      </w:pPr>
      <w:r>
        <w:rPr>
          <w:b/>
        </w:rPr>
        <w:t xml:space="preserve">[49] </w:t>
      </w:r>
      <w:hyperlink r:id="rId336">
        <w:r>
          <w:rPr>
            <w:color w:val="1155CC"/>
            <w:u w:val="single"/>
          </w:rPr>
          <w:t>图灵型高熵氧化物纳米片用于高效海水电解</w:t>
        </w:r>
      </w:hyperlink>
    </w:p>
    <w:p>
      <w:pPr>
        <w:spacing w:before="0" w:after="80"/>
      </w:pPr>
      <w:r>
        <w:rPr>
          <w:i/>
          <w:sz w:val="20"/>
        </w:rPr>
        <w:t>EN: Turing-type high-entropy oxide nanosheets for efficient seawater electrolysis</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337">
        <w:r>
          <w:rPr>
            <w:color w:val="1155CC"/>
            <w:u w:val="single"/>
          </w:rPr>
          <w:t>10.1126/sciadv.aeb2204</w:t>
        </w:r>
      </w:hyperlink>
    </w:p>
    <w:p>
      <w:pPr>
        <w:spacing w:before="0" w:after="120"/>
      </w:pPr>
      <w:r>
        <w:rPr>
          <w:b/>
        </w:rPr>
        <w:t xml:space="preserve">Notes: </w:t>
      </w:r>
      <w:r>
        <w:t>abstract_source=crossref</w:t>
      </w:r>
    </w:p>
    <w:p>
      <w:pPr>
        <w:spacing w:before="0" w:after="80" w:lineRule="auto" w:line="276"/>
      </w:pPr>
      <w:r>
        <w:rPr>
          <w:b/>
        </w:rPr>
        <w:t xml:space="preserve">摘要（ZH）: </w:t>
      </w:r>
      <w:r>
        <w:t>由于孪晶界的优点，图灵型纳米结构在电催化领域受到越来越多的关注。由于成分灵活性和高熵效应，集成高熵设计为进一步改善活动带来了巨大希望。在这里，图灵型尖晶石高熵氧化物纳米片（Co</w:t>
      </w:r>
      <w:r>
        <w:t xml:space="preserve"> </w:t>
      </w:r>
      <w:r>
        <w:t>0.19</w:t>
      </w:r>
      <w:r>
        <w:t xml:space="preserve"> </w:t>
      </w:r>
      <w:r>
        <w:t>锰</w:t>
      </w:r>
      <w:r>
        <w:t xml:space="preserve"> </w:t>
      </w:r>
      <w:r>
        <w:t>0.21</w:t>
      </w:r>
      <w:r>
        <w:t xml:space="preserve"> </w:t>
      </w:r>
      <w:r>
        <w:t>铜</w:t>
      </w:r>
      <w:r>
        <w:t xml:space="preserve"> </w:t>
      </w:r>
      <w:r>
        <w:t>0.20</w:t>
      </w:r>
      <w:r>
        <w:t xml:space="preserve"> </w:t>
      </w:r>
      <w:r>
        <w:t>镍</w:t>
      </w:r>
      <w:r>
        <w:t xml:space="preserve"> </w:t>
      </w:r>
      <w:r>
        <w:t>0.20</w:t>
      </w:r>
      <w:r>
        <w:t xml:space="preserve"> </w:t>
      </w:r>
      <w:r>
        <w:t>锌</w:t>
      </w:r>
      <w:r>
        <w:t xml:space="preserve"> </w:t>
      </w:r>
      <w:r>
        <w:t>0.20</w:t>
      </w:r>
      <w:r>
        <w:t xml:space="preserve"> </w:t>
      </w:r>
      <w:r>
        <w:t>）</w:t>
      </w:r>
      <w:r>
        <w:rPr>
          <w:vertAlign w:val="subscript"/>
        </w:rPr>
        <w:t>3</w:t>
      </w:r>
      <w:r>
        <w:t>氧</w:t>
      </w:r>
      <w:r>
        <w:rPr>
          <w:vertAlign w:val="subscript"/>
        </w:rPr>
        <w:t>4</w:t>
      </w:r>
      <w:r>
        <w:t>专为海水电解而设计。孪晶边界的高密度会导致严重的变形和压缩应变。压缩应变削弱了金属-配体相互作用，并诱导活性钴（III）离子从低自旋（LS）构型向高自旋（HS）构型转变，这有利于海水氧化过程中氢氧根离子的吸附、去质子化和对氯离子的强烈排斥。因此，优化后的图灵 HEO-300 在 100 毫安每平方厘米的电流下可实现 340 毫伏的过电势，持续时间超过 350 小时，优于图灵型低熵氧化物、非图灵高熵氧化物和大多数已报道的氧化物催化剂。此外，配备 Turing HEO-300 阳极的海水电解槽可在 1.80 伏电压下保持每平方厘米 1 安培电流超过 100 小时。这项工作为设计图灵型高熵催化剂铺平了道路。</w:t>
      </w:r>
    </w:p>
    <w:p>
      <w:pPr>
        <w:spacing w:before="0" w:after="200" w:lineRule="auto" w:line="276"/>
      </w:pPr>
      <w:r>
        <w:rPr>
          <w:b/>
        </w:rPr>
        <w:t xml:space="preserve">Abstract (EN): </w:t>
      </w:r>
      <w:r>
        <w:t>Owing to the merit of twin boundaries, Turing-type nanostructures have received increasing attention in electrocatalysis. Integrating high-entropy design holds great promise for further improved activities due to compositional flexibility and high-entropy effects. Here, Turing-type high-entropy oxide nanosheets of spinel (Co</w:t>
      </w:r>
      <w:r>
        <w:t xml:space="preserve"> </w:t>
      </w:r>
      <w:r>
        <w:t>0.19</w:t>
      </w:r>
      <w:r>
        <w:t xml:space="preserve"> </w:t>
      </w:r>
      <w:r>
        <w:t>Mn</w:t>
      </w:r>
      <w:r>
        <w:t xml:space="preserve"> </w:t>
      </w:r>
      <w:r>
        <w:t>0.21</w:t>
      </w:r>
      <w:r>
        <w:t xml:space="preserve"> </w:t>
      </w:r>
      <w:r>
        <w:t>Cu</w:t>
      </w:r>
      <w:r>
        <w:t xml:space="preserve"> </w:t>
      </w:r>
      <w:r>
        <w:t>0.20</w:t>
      </w:r>
      <w:r>
        <w:t xml:space="preserve"> </w:t>
      </w:r>
      <w:r>
        <w:t>Ni</w:t>
      </w:r>
      <w:r>
        <w:t xml:space="preserve"> </w:t>
      </w:r>
      <w:r>
        <w:t>0.20</w:t>
      </w:r>
      <w:r>
        <w:t xml:space="preserve"> </w:t>
      </w:r>
      <w:r>
        <w:t>Zn</w:t>
      </w:r>
      <w:r>
        <w:t xml:space="preserve"> </w:t>
      </w:r>
      <w:r>
        <w:t>0.20</w:t>
      </w:r>
      <w:r>
        <w:t xml:space="preserve"> </w:t>
      </w:r>
      <w:r>
        <w:t>)</w:t>
      </w:r>
      <w:r>
        <w:rPr>
          <w:vertAlign w:val="subscript"/>
        </w:rPr>
        <w:t>3</w:t>
      </w:r>
      <w:r>
        <w:t>O</w:t>
      </w:r>
      <w:r>
        <w:rPr>
          <w:vertAlign w:val="subscript"/>
        </w:rPr>
        <w:t>4</w:t>
      </w:r>
      <w:r>
        <w:t>are designed for seawater electrolysis. The high density of twin boundaries causes severe distortion and compressive strain. The compressive strain weakened metal-ligand interaction and induced a spin transition of active cobalt(III) ion from low-spin (LS) to high-spin (HS) configuration, which favors hydroxide ion adsorption, deprotonation, and strong repulsion toward chloride ions during seawater oxidation. Consequently, the optimized Turing HEO-300 achieves an overpotential of 340 millivolts at 100 milliampere per square centimeter for over 350 hours, outperforming the Turing-type low-entropy oxides, non-Turing high-entropy oxides, and most of reported oxide-based catalysts. Moreover, a seawater electrolyzer with Turing HEO-300 anode maintains 1 ampere per square centimeter at 1.80 volts for over 100 hours. This work paves the way for designing Turing-type high-entropy catalysts.</w:t>
      </w:r>
    </w:p>
    <w:p>
      <w:pPr>
        <w:spacing w:before="120" w:after="120"/>
      </w:pPr>
      <w:r>
        <w:rPr>
          <w:sz w:val="18"/>
        </w:rPr>
        <w:t>——————————————————————————————————————————————————————————————————————</w:t>
      </w:r>
    </w:p>
    <w:p>
      <w:pPr>
        <w:spacing w:before="160" w:after="40" w:line="240" w:lineRule="auto"/>
      </w:pPr>
      <w:r>
        <w:rPr>
          <w:b/>
        </w:rPr>
        <w:t xml:space="preserve">[50] </w:t>
      </w:r>
      <w:hyperlink r:id="rId338">
        <w:r>
          <w:rPr>
            <w:color w:val="1155CC"/>
            <w:u w:val="single"/>
          </w:rPr>
          <w:t>通过空腔状分子筛通道调控微孔结构</w:t>
        </w:r>
      </w:hyperlink>
    </w:p>
    <w:p>
      <w:pPr>
        <w:spacing w:before="0" w:after="80"/>
      </w:pPr>
      <w:r>
        <w:rPr>
          <w:i/>
          <w:sz w:val="20"/>
        </w:rPr>
        <w:t>EN: Regulating the microporous structure by cavity-shaped molecular sieving channels</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339">
        <w:r>
          <w:rPr>
            <w:color w:val="1155CC"/>
            <w:u w:val="single"/>
          </w:rPr>
          <w:t>10.1126/sciadv.aee9782</w:t>
        </w:r>
      </w:hyperlink>
    </w:p>
    <w:p>
      <w:pPr>
        <w:spacing w:before="0" w:after="120"/>
      </w:pPr>
      <w:r>
        <w:rPr>
          <w:b/>
        </w:rPr>
        <w:t xml:space="preserve">Notes: </w:t>
      </w:r>
      <w:r>
        <w:t>abstract_source=crossref</w:t>
      </w:r>
    </w:p>
    <w:p>
      <w:pPr>
        <w:spacing w:before="0" w:after="80" w:lineRule="auto" w:line="276"/>
      </w:pPr>
      <w:r>
        <w:rPr>
          <w:b/>
        </w:rPr>
        <w:t xml:space="preserve">摘要（ZH）: </w:t>
      </w:r>
      <w:r>
        <w:t>膜分离技术是传统能源密集型气体分离技术的一种有前途且有效的替代技术。然而，大多数商用膜具有低渗透性和中等选择性，这限制了它们满足氢气纯化和天然气升级严格的气体纯度要求的能力。在本研究中，选择广泛使用的商业聚合物Matrimid作为基质材料。具有选择性空腔的葫芦脲（CB）被纳入Matrimid作为短程气体传输通道。这种修改增加了气体传输路径并增强了膜结构内气体传输网络的连通性。的H</w:t>
      </w:r>
      <w:r>
        <w:rPr>
          <w:vertAlign w:val="subscript"/>
        </w:rPr>
        <w:t>2</w:t>
      </w:r>
      <w:r>
        <w:t>Matrimid-CB-5% 膜的渗透性从 113 Barrer 下降至 74 Barrer，而 H</w:t>
      </w:r>
      <w:r>
        <w:rPr>
          <w:vertAlign w:val="subscript"/>
        </w:rPr>
        <w:t>2</w:t>
      </w:r>
      <w:r>
        <w:t>/CH</w:t>
      </w:r>
      <w:r>
        <w:rPr>
          <w:vertAlign w:val="subscript"/>
        </w:rPr>
        <w:t>4</w:t>
      </w:r>
      <w:r>
        <w:t>在 600 天的老化过程中，选择性从 169 增加到 743。值得注意的是，这些膜的分离效率超过了最新的 CO 上限线</w:t>
      </w:r>
      <w:r>
        <w:rPr>
          <w:vertAlign w:val="subscript"/>
        </w:rPr>
        <w:t>2</w:t>
      </w:r>
      <w:r>
        <w:t>/N</w:t>
      </w:r>
      <w:r>
        <w:rPr>
          <w:vertAlign w:val="subscript"/>
        </w:rPr>
        <w:t>2</w:t>
      </w:r>
      <w:r>
        <w:t>和一氧化碳</w:t>
      </w:r>
      <w:r>
        <w:rPr>
          <w:vertAlign w:val="subscript"/>
        </w:rPr>
        <w:t>2</w:t>
      </w:r>
      <w:r>
        <w:t>/CH</w:t>
      </w:r>
      <w:r>
        <w:rPr>
          <w:vertAlign w:val="subscript"/>
        </w:rPr>
        <w:t>4</w:t>
      </w:r>
      <w:r>
        <w:t>分离。这些结果表明，与广泛使用的商业材料（例如 Matrimid、醋酸纤维素、聚砜和其他混合基质膜）相比，有了显着的改进。</w:t>
      </w:r>
    </w:p>
    <w:p>
      <w:pPr>
        <w:spacing w:before="0" w:after="200" w:lineRule="auto" w:line="276"/>
      </w:pPr>
      <w:r>
        <w:rPr>
          <w:b/>
        </w:rPr>
        <w:t xml:space="preserve">Abstract (EN): </w:t>
      </w:r>
      <w:r>
        <w:t>Membrane separation technology represents a promising and effective alternative to traditional energy-intensive gas separation technologies. However, most commercial membranes have low permeability and moderate selectivity, which limits their ability to meet the stringent gas purity requirements for hydrogen purification and natural gas upgrading. In this study, Matrimid, a widely used commercial polymer, was selected as the matrix material. Cucurbituril (CB) with selective cavity was incorporated into Matrimid as short-path gas transport channels. This modification increased the gas transport pathways and enhanced the connectivity of gas transmission networks within the membrane structure. The H</w:t>
      </w:r>
      <w:r>
        <w:rPr>
          <w:vertAlign w:val="subscript"/>
        </w:rPr>
        <w:t>2</w:t>
      </w:r>
      <w:r>
        <w:t>permeability of Matrimid-CB-5% membrane decreased from 113 to 74 Barrer, while the H</w:t>
      </w:r>
      <w:r>
        <w:rPr>
          <w:vertAlign w:val="subscript"/>
        </w:rPr>
        <w:t>2</w:t>
      </w:r>
      <w:r>
        <w:t>/CH</w:t>
      </w:r>
      <w:r>
        <w:rPr>
          <w:vertAlign w:val="subscript"/>
        </w:rPr>
        <w:t>4</w:t>
      </w:r>
      <w:r>
        <w:t>selectivity increased from 169 to 743 during 600-day aging. Notably, the membranes achieved separation efficiencies that surpassed the latest upper bound line for CO</w:t>
      </w:r>
      <w:r>
        <w:rPr>
          <w:vertAlign w:val="subscript"/>
        </w:rPr>
        <w:t>2</w:t>
      </w:r>
      <w:r>
        <w:t>/N</w:t>
      </w:r>
      <w:r>
        <w:rPr>
          <w:vertAlign w:val="subscript"/>
        </w:rPr>
        <w:t>2</w:t>
      </w:r>
      <w:r>
        <w:t>and CO</w:t>
      </w:r>
      <w:r>
        <w:rPr>
          <w:vertAlign w:val="subscript"/>
        </w:rPr>
        <w:t>2</w:t>
      </w:r>
      <w:r>
        <w:t>/CH</w:t>
      </w:r>
      <w:r>
        <w:rPr>
          <w:vertAlign w:val="subscript"/>
        </w:rPr>
        <w:t>4</w:t>
      </w:r>
      <w:r>
        <w:t>separations. These results indicate a substantial improvement over widely used commercial materials such as Matrimid, cellulose acetate, polysulfone, and other mixed matrix membranes.</w:t>
      </w:r>
    </w:p>
    <w:p>
      <w:pPr>
        <w:spacing w:before="120" w:after="120"/>
      </w:pPr>
      <w:r>
        <w:rPr>
          <w:sz w:val="18"/>
        </w:rPr>
        <w:t>——————————————————————————————————————————————————————————————————————</w:t>
      </w:r>
    </w:p>
    <w:p>
      <w:pPr>
        <w:spacing w:before="160" w:after="40" w:line="240" w:lineRule="auto"/>
      </w:pPr>
      <w:r>
        <w:rPr>
          <w:b/>
        </w:rPr>
        <w:t xml:space="preserve">[51] </w:t>
      </w:r>
      <w:hyperlink r:id="rId340">
        <w:r>
          <w:rPr>
            <w:color w:val="1155CC"/>
            <w:u w:val="single"/>
          </w:rPr>
          <w:t>具有高分辨率电流分布测量的质子交换膜燃料电池内部动态特性</w:t>
        </w:r>
      </w:hyperlink>
    </w:p>
    <w:p>
      <w:pPr>
        <w:spacing w:before="0" w:after="80"/>
      </w:pPr>
      <w:r>
        <w:rPr>
          <w:i/>
          <w:sz w:val="20"/>
        </w:rPr>
        <w:t>EN: Dynamic characteristics inside proton exchange membrane fuel cell with high-resolution current distribution measurement</w:t>
      </w:r>
    </w:p>
    <w:p>
      <w:pPr>
        <w:spacing w:before="0" w:after="120"/>
      </w:pPr>
      <w:r>
        <w:rPr>
          <w:b/>
        </w:rPr>
        <w:t xml:space="preserve">Source: </w:t>
      </w:r>
      <w:r>
        <w:t>ScienceDirect Publication: Applied Energy</w:t>
      </w:r>
      <w:r>
        <w:t xml:space="preserve">    </w:t>
      </w:r>
      <w:r>
        <w:rPr>
          <w:b/>
        </w:rPr>
        <w:t xml:space="preserve">Pub date: </w:t>
      </w:r>
      <w:r>
        <w:t>2026-07-30 00:00:00+00:00</w:t>
      </w:r>
      <w:r>
        <w:t xml:space="preserve">    </w:t>
      </w:r>
      <w:r>
        <w:rPr>
          <w:b/>
        </w:rPr>
        <w:t xml:space="preserve">DOI: </w:t>
      </w:r>
      <w:hyperlink r:id="rId341">
        <w:r>
          <w:rPr>
            <w:color w:val="1155CC"/>
            <w:u w:val="single"/>
          </w:rPr>
          <w:t>10.1016/j.apenergy.2026.128559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 </w:t>
      </w:r>
      <w:hyperlink r:id="rId342">
        <w:r>
          <w:rPr>
            <w:color w:val="1155CC"/>
            <w:u w:val="single"/>
          </w:rPr>
          <w:t>太阳能驱动的人工混合系统超越自然生物转化</w:t>
        </w:r>
      </w:hyperlink>
    </w:p>
    <w:p>
      <w:pPr>
        <w:spacing w:before="0" w:after="80"/>
      </w:pPr>
      <w:r>
        <w:rPr>
          <w:i/>
          <w:sz w:val="20"/>
        </w:rPr>
        <w:t>EN: Solar-driven artificial hybrid systems for beyond natural biotransformation</w:t>
      </w:r>
    </w:p>
    <w:p>
      <w:pPr>
        <w:spacing w:before="0" w:after="120"/>
      </w:pPr>
      <w:r>
        <w:rPr>
          <w:b/>
        </w:rPr>
        <w:t xml:space="preserve">Source: </w:t>
      </w:r>
      <w:r>
        <w:t>National Science Review Advance Access</w:t>
      </w:r>
      <w:r>
        <w:t xml:space="preserve">    </w:t>
      </w:r>
      <w:r>
        <w:rPr>
          <w:b/>
        </w:rPr>
        <w:t xml:space="preserve">Pub date: </w:t>
      </w:r>
      <w:r>
        <w:t>2026-07-30 00:00:00+00:00</w:t>
      </w:r>
      <w:r>
        <w:t xml:space="preserve">    </w:t>
      </w:r>
      <w:r>
        <w:rPr>
          <w:b/>
        </w:rPr>
        <w:t xml:space="preserve">DOI: </w:t>
      </w:r>
      <w:hyperlink r:id="rId343">
        <w:r>
          <w:rPr>
            <w:color w:val="1155CC"/>
            <w:u w:val="single"/>
          </w:rPr>
          <w:t>10.1093/nsr/nwag461</w:t>
        </w:r>
      </w:hyperlink>
    </w:p>
    <w:p>
      <w:pPr>
        <w:spacing w:before="0" w:after="120"/>
      </w:pPr>
      <w:r>
        <w:rPr>
          <w:b/>
        </w:rPr>
        <w:t xml:space="preserve">Notes: </w:t>
      </w:r>
      <w:r>
        <w:t>abstract_source=rss_oup</w:t>
      </w:r>
    </w:p>
    <w:p>
      <w:pPr>
        <w:spacing w:before="0" w:after="80" w:lineRule="auto" w:line="276"/>
      </w:pPr>
      <w:r>
        <w:rPr>
          <w:b/>
        </w:rPr>
        <w:t xml:space="preserve">摘要（ZH）: </w:t>
      </w:r>
      <w:r>
        <w:t>生物转化在解决与资源利用和能源可持续性相关的全球挑战方面发挥着至关重要的作用。光合作用和微生物代谢等自然过程将外部资源转化为功能化合物。然而，这些过程通常受到效率低下、反应速度慢和产品多样性有限的限制。物理、化学和生物科学的最新进展导致自然和人工策略的融合，有效应对这些挑战。这些发展与人工光合作用的进步一起，为二氧化碳减排、固氮和可持续化学生产提供了解决方案，从而扩大了生物转化的范围，超越了传统的自然过程。在此，我们首先介绍近年来在解决自然生物转化过程中涉及的蛋白质/蛋白质复合物/酶的结构和催化机制方面的代表性成果。然后，我们的评论重点介绍了受自然光合作用启发的有机生物混合系统，重点关注二氧化碳和氮气的转化以及它们所带来的各种增值产品。此外，本文将探讨人工光合作用系统的潜力，研究其在推进生物转化过程中的集成和应用。最后，我们讨论了关键挑战并提出了推进该领域研究的未来策略。人工系统的不断进步为变革带来了巨大的希望，并为可持续发展铺平了道路。</w:t>
      </w:r>
    </w:p>
    <w:p>
      <w:pPr>
        <w:spacing w:before="0" w:after="200" w:lineRule="auto" w:line="276"/>
      </w:pPr>
      <w:r>
        <w:rPr>
          <w:b/>
        </w:rPr>
        <w:t xml:space="preserve">Abstract (EN): </w:t>
      </w:r>
      <w:r>
        <w:t>Biotransformation plays a crucial role in addressing global challenges related to resource utilization and energy sustainability. Natural processes, such as photosynthesis and microbial metabolism, transform external resources into functional compounds. However, these processes are often constrained by inefficiencies, slow reaction rates, and limited product diversity. Recent advancements across the physical, chemical, and biological sciences have led to the convergence of natural and artificial strategies that effectively tackle these challenges. These developments, alongside progress in artificial photosynthesis, offer solutions for CO2 reduction, N2 fixation, and sustainable chemical production, thereby broadening the scope of biotransformation beyond traditional natural processes. Herein, we first introduce recent representative achievements in resolving the structures and catalytic mechanisms of proteins/protein complexes/enzymes involved in natural biotransformation processes. Our review then highlights natural photosynthesis-inspired organic-biological hybrid systems, focusing on the conversion of CO2 and N2 as well as the diverse range of value-added products they enable. Furthermore, this paper will explore the potential of artificial photosynthesis systems, examining their integration and applications in advancing biotransformation processes. Finally, we discuss key challenges and propose future strategies to advance research in this field. The ongoing advancements in artificial systems hold immense promise for revolutionizing and paving the way for a sustainable future that extends beyond natural biotransformation.</w:t>
      </w:r>
    </w:p>
    <w:p>
      <w:pPr>
        <w:spacing w:before="120" w:after="120"/>
      </w:pPr>
      <w:r>
        <w:rPr>
          <w:sz w:val="18"/>
        </w:rPr>
        <w:t>——————————————————————————————————————————————————————————————————————</w:t>
      </w:r>
    </w:p>
    <w:p>
      <w:pPr>
        <w:spacing w:before="160" w:after="40" w:line="240" w:lineRule="auto"/>
      </w:pPr>
      <w:r>
        <w:rPr>
          <w:b/>
        </w:rPr>
        <w:t xml:space="preserve">[53] </w:t>
      </w:r>
      <w:hyperlink r:id="rId344">
        <w:r>
          <w:rPr>
            <w:color w:val="1155CC"/>
            <w:u w:val="single"/>
          </w:rPr>
          <w:t>用于燃料电池履带式车辆能量管理的基于预测的分布式深度强化学习：混合控制框架</w:t>
        </w:r>
      </w:hyperlink>
    </w:p>
    <w:p>
      <w:pPr>
        <w:spacing w:before="0" w:after="80"/>
      </w:pPr>
      <w:r>
        <w:rPr>
          <w:i/>
          <w:sz w:val="20"/>
        </w:rPr>
        <w:t>EN: Prediction-informed distributional deep reinforcement learning for energy management of fuel cell tracked vehicles: A hybrid control framework</w:t>
      </w:r>
    </w:p>
    <w:p>
      <w:pPr>
        <w:spacing w:before="0" w:after="120"/>
      </w:pPr>
      <w:r>
        <w:rPr>
          <w:b/>
        </w:rPr>
        <w:t xml:space="preserve">Source: </w:t>
      </w:r>
      <w:r>
        <w:t>ScienceDirect Publication: Applied Energy</w:t>
      </w:r>
      <w:r>
        <w:t xml:space="preserve">    </w:t>
      </w:r>
      <w:r>
        <w:rPr>
          <w:b/>
        </w:rPr>
        <w:t xml:space="preserve">Pub date: </w:t>
      </w:r>
      <w:r>
        <w:t>2026-07-30 00:00:00+00:00</w:t>
      </w:r>
      <w:r>
        <w:t xml:space="preserve">    </w:t>
      </w:r>
      <w:r>
        <w:rPr>
          <w:b/>
        </w:rPr>
        <w:t xml:space="preserve">DOI: </w:t>
      </w:r>
      <w:hyperlink r:id="rId345">
        <w:r>
          <w:rPr>
            <w:color w:val="1155CC"/>
            <w:u w:val="single"/>
          </w:rPr>
          <w:t>10.1016/j.apenergy.2026.128534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 </w:t>
      </w:r>
      <w:hyperlink r:id="rId346">
        <w:r>
          <w:rPr>
            <w:color w:val="1155CC"/>
            <w:u w:val="single"/>
          </w:rPr>
          <w:t>欧盟的环境税和生物燃料生产：不同生产商规模的异质效应</w:t>
        </w:r>
      </w:hyperlink>
    </w:p>
    <w:p>
      <w:pPr>
        <w:spacing w:before="0" w:after="80"/>
      </w:pPr>
      <w:r>
        <w:rPr>
          <w:i/>
          <w:sz w:val="20"/>
        </w:rPr>
        <w:t>EN: Environmental taxation and biofuel production in the EU: Heterogeneous effects across producer scales</w:t>
      </w:r>
    </w:p>
    <w:p>
      <w:pPr>
        <w:spacing w:before="0" w:after="120"/>
      </w:pPr>
      <w:r>
        <w:rPr>
          <w:b/>
        </w:rPr>
        <w:t xml:space="preserve">Source: </w:t>
      </w:r>
      <w:r>
        <w:t>ScienceDirect Publication: Energy Policy</w:t>
      </w:r>
      <w:r>
        <w:t xml:space="preserve">    </w:t>
      </w:r>
      <w:r>
        <w:rPr>
          <w:b/>
        </w:rPr>
        <w:t xml:space="preserve">Pub date: </w:t>
      </w:r>
      <w:r>
        <w:t>2026-07-30 00:00:00+00:00</w:t>
      </w:r>
      <w:r>
        <w:t xml:space="preserve">    </w:t>
      </w:r>
      <w:r>
        <w:rPr>
          <w:b/>
        </w:rPr>
        <w:t xml:space="preserve">DOI: </w:t>
      </w:r>
      <w:hyperlink r:id="rId347">
        <w:r>
          <w:rPr>
            <w:color w:val="1155CC"/>
            <w:u w:val="single"/>
          </w:rPr>
          <w:t>10.1016/j.enpol.2026.115525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348">
        <w:r>
          <w:rPr>
            <w:color w:val="1155CC"/>
            <w:u w:val="single"/>
          </w:rPr>
          <w:t>欧洲绿色新政中能源多元化和环境可持续性的关键挑战：来自欧洲国家的经验证据</w:t>
        </w:r>
      </w:hyperlink>
    </w:p>
    <w:p>
      <w:pPr>
        <w:spacing w:before="0" w:after="80"/>
      </w:pPr>
      <w:r>
        <w:rPr>
          <w:i/>
          <w:sz w:val="20"/>
        </w:rPr>
        <w:t>EN: The critical challenges of energy diversification and environmental sustainability in the European Green Deal: Empirical evidence from European countries</w:t>
      </w:r>
    </w:p>
    <w:p>
      <w:pPr>
        <w:spacing w:before="0" w:after="120"/>
      </w:pPr>
      <w:r>
        <w:rPr>
          <w:b/>
        </w:rPr>
        <w:t xml:space="preserve">Source: </w:t>
      </w:r>
      <w:r>
        <w:t>ScienceDirect Publication: Energy Policy</w:t>
      </w:r>
      <w:r>
        <w:t xml:space="preserve">    </w:t>
      </w:r>
      <w:r>
        <w:rPr>
          <w:b/>
        </w:rPr>
        <w:t xml:space="preserve">Pub date: </w:t>
      </w:r>
      <w:r>
        <w:t>2026-07-24 00:00:00+00:00</w:t>
      </w:r>
      <w:r>
        <w:t xml:space="preserve">    </w:t>
      </w:r>
      <w:r>
        <w:rPr>
          <w:b/>
        </w:rPr>
        <w:t xml:space="preserve">DOI: </w:t>
      </w:r>
      <w:hyperlink r:id="rId349">
        <w:r>
          <w:rPr>
            <w:color w:val="1155CC"/>
            <w:u w:val="single"/>
          </w:rPr>
          <w:t>10.1016/j.enpol.2026.115517</w:t>
        </w:r>
      </w:hyperlink>
    </w:p>
    <w:p>
      <w:pPr>
        <w:spacing w:before="0" w:after="120"/>
      </w:pPr>
      <w:r>
        <w:rPr>
          <w:b/>
        </w:rPr>
        <w:t xml:space="preserve">Notes: </w:t>
      </w:r>
      <w:r>
        <w:t>abstract_source=openalex</w:t>
      </w:r>
    </w:p>
    <w:p>
      <w:pPr>
        <w:spacing w:before="0" w:after="80" w:lineRule="auto" w:line="276"/>
      </w:pPr>
      <w:r>
        <w:rPr>
          <w:b/>
        </w:rPr>
        <w:t xml:space="preserve">摘要（ZH）: </w:t>
      </w:r>
      <w:r>
        <w:t>《欧洲绿色协议》将能源多样化和环境可持续性确定为实现安全、有弹性和气候中性的能源系统的两个核心支柱。尽管之前的研究分别考察了环境可持续性和能源转型的决定因素，但关于能源多样化、全球化、金融发展、自然资本和结构变革如何在欧洲绿色新政框架内共同塑造环境可持续性的证据有限。本研究通过调查 1995 年至 2023 年期间 26 个欧洲国家环境可持续性的宏观经济决定因素来弥补这一差距。该分析采用动态系统 GMM 作为主要估计方法，并辅以 CS-ARDL 来检查长期关系，并采用具有 SHAP 可解释性的机器学习模型来评估解释变量的相对重要性。结果表明，随着时间的推移，环境可持续性具有很强的持久性。结构变化是唯一重要的短期决定因素，而能源多样化和政治全球化则表现出显着的负面长期影响，而金融发展和自然资本对环境可持续性没有表现出强大的长期影响。这些发现表明，除非有可再生能源部署、技术创新和有效的环境治理的支持，否则单靠能源多样化并不能保证环境的可持续性。通过将动态计量经济学技术与可解释的机器学习相结合</w:t>
      </w:r>
    </w:p>
    <w:p>
      <w:pPr>
        <w:spacing w:before="0" w:after="200" w:lineRule="auto" w:line="276"/>
      </w:pPr>
      <w:r>
        <w:rPr>
          <w:b/>
        </w:rPr>
        <w:t xml:space="preserve">Abstract (EN): </w:t>
      </w:r>
      <w:r>
        <w:t>The European Green Deal identifies energy diversification and environmental sustainability as two central pillars for achieving a secure, resilient, and climate-neutral energy system. Although previous studies have examined the determinants of environmental sustainability and the energy transition separately, limited evidence exists on how energy diversification, globalization, financial development, natural capital, and structural change jointly shape environmental sustainability within the European Green Deal framework. This study addresses this gap by investigating the macroeconomic determinants of environmental sustainability across 26 European countries during 1995-2023. The analysis employs dynamic System GMM as the primary estimation method, complemented by CS-ARDL to examine long-run relationships and machine-learning models with SHAP explainability to assess the relative importance of the explanatory variables. The results reveal strong persistence in environmental sustainability over time. Structural change is the only significant short-run determinant, while energy diversification and political globalization exhibit significant negative long-run effects, whereas financial development and natural capital show no robust long-run influence on environmental sustainability. These findings suggest that energy diversification alone does not guarantee environmental sustainability unless supported by renewable energy deployment, technological innovation, and effective environmental governance. By integrating dynamic econometric techniques with explainable machine learning, this study provides new evidence on the macroeconomic drivers of environmental sustainability and offers policy insights for implementing the European Green Deal more effectively.</w:t>
      </w:r>
    </w:p>
    <w:p>
      <w:pPr>
        <w:spacing w:before="120" w:after="120"/>
      </w:pPr>
      <w:r>
        <w:rPr>
          <w:sz w:val="18"/>
        </w:rPr>
        <w:t>——————————————————————————————————————————————————————————————————————</w:t>
      </w:r>
    </w:p>
    <w:p>
      <w:pPr>
        <w:spacing w:before="160" w:after="40" w:line="240" w:lineRule="auto"/>
      </w:pPr>
      <w:r>
        <w:rPr>
          <w:b/>
        </w:rPr>
        <w:t xml:space="preserve">[2] </w:t>
      </w:r>
      <w:hyperlink r:id="rId350">
        <w:r>
          <w:rPr>
            <w:color w:val="1155CC"/>
            <w:u w:val="single"/>
          </w:rPr>
          <w:t>俄罗斯入侵乌克兰后的地缘政治分裂、能源脆弱性和国家 ESG 轨迹</w:t>
        </w:r>
      </w:hyperlink>
    </w:p>
    <w:p>
      <w:pPr>
        <w:spacing w:before="0" w:after="80"/>
      </w:pPr>
      <w:r>
        <w:rPr>
          <w:i/>
          <w:sz w:val="20"/>
        </w:rPr>
        <w:t>EN: Geopolitical fragmentation, energy vulnerability, and national ESG trajectories after Russia's invasion of Ukraine</w:t>
      </w:r>
    </w:p>
    <w:p>
      <w:pPr>
        <w:spacing w:before="0" w:after="120"/>
      </w:pPr>
      <w:r>
        <w:rPr>
          <w:b/>
        </w:rPr>
        <w:t xml:space="preserve">Source: </w:t>
      </w:r>
      <w:r>
        <w:t>ScienceDirect Publication: Energy Policy</w:t>
      </w:r>
      <w:r>
        <w:t xml:space="preserve">    </w:t>
      </w:r>
      <w:r>
        <w:rPr>
          <w:b/>
        </w:rPr>
        <w:t xml:space="preserve">Pub date: </w:t>
      </w:r>
      <w:r>
        <w:t>2026-07-24 00:00:00+00:00</w:t>
      </w:r>
      <w:r>
        <w:t xml:space="preserve">    </w:t>
      </w:r>
      <w:r>
        <w:rPr>
          <w:b/>
        </w:rPr>
        <w:t xml:space="preserve">DOI: </w:t>
      </w:r>
      <w:hyperlink r:id="rId351">
        <w:r>
          <w:rPr>
            <w:color w:val="1155CC"/>
            <w:u w:val="single"/>
          </w:rPr>
          <w:t>10.1016/j.enpol.2026.115489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352">
        <w:r>
          <w:rPr>
            <w:color w:val="1155CC"/>
            <w:u w:val="single"/>
          </w:rPr>
          <w:t>海湾合作委员会的气候与电力关系：气温上升如何推动海湾国家的电力需求</w:t>
        </w:r>
      </w:hyperlink>
    </w:p>
    <w:p>
      <w:pPr>
        <w:spacing w:before="0" w:after="80"/>
      </w:pPr>
      <w:r>
        <w:rPr>
          <w:i/>
          <w:sz w:val="20"/>
        </w:rPr>
        <w:t>EN: The climate-electricity nexus in the GCC: How rising temperatures drive electricity demand across Gulf states</w:t>
      </w:r>
    </w:p>
    <w:p>
      <w:pPr>
        <w:spacing w:before="0" w:after="120"/>
      </w:pPr>
      <w:r>
        <w:rPr>
          <w:b/>
        </w:rPr>
        <w:t xml:space="preserve">Source: </w:t>
      </w:r>
      <w:r>
        <w:t>ScienceDirect Publication: Energy Policy</w:t>
      </w:r>
      <w:r>
        <w:t xml:space="preserve">    </w:t>
      </w:r>
      <w:r>
        <w:rPr>
          <w:b/>
        </w:rPr>
        <w:t xml:space="preserve">Pub date: </w:t>
      </w:r>
      <w:r>
        <w:t>2026-07-24 00:00:00+00:00</w:t>
      </w:r>
      <w:r>
        <w:t xml:space="preserve">    </w:t>
      </w:r>
      <w:r>
        <w:rPr>
          <w:b/>
        </w:rPr>
        <w:t xml:space="preserve">DOI: </w:t>
      </w:r>
      <w:hyperlink r:id="rId353">
        <w:r>
          <w:rPr>
            <w:color w:val="1155CC"/>
            <w:u w:val="single"/>
          </w:rPr>
          <w:t>10.1016/j.enpol.2026.115490</w:t>
        </w:r>
      </w:hyperlink>
    </w:p>
    <w:p>
      <w:pPr>
        <w:spacing w:before="0" w:after="120"/>
      </w:pPr>
      <w:r>
        <w:rPr>
          <w:b/>
        </w:rPr>
        <w:t xml:space="preserve">Notes: </w:t>
      </w:r>
      <w:r>
        <w:t>abstract_source=openalex</w:t>
      </w:r>
    </w:p>
    <w:p>
      <w:pPr>
        <w:spacing w:before="0" w:after="80" w:lineRule="auto" w:line="276"/>
      </w:pPr>
      <w:r>
        <w:rPr>
          <w:b/>
        </w:rPr>
        <w:t xml:space="preserve">摘要（ZH）: </w:t>
      </w:r>
      <w:r>
        <w:t>海湾合作委员会地区的升温速度为每十年 0.49°C，几乎是全球平均水平的三倍，这给已经面临极端冷却需求的电力系统带来了越来越大的压力。本研究利用协整技术估计了海湾合作委员会国家 1990 年至 2022 年期间特定国家电力需求的收入、价格和温度弹性。我们发现，年平均气温每升高 1°C，年用电量就会增加 3.1%（巴林）至 5.8%（沙特阿拉伯），相当于每年增加 32.2 TWh 的地区需求和 16.8 Mt CO 2 排放量。排放量估算基于 2021 年特定国家的碳强度，反映了每个国家当前的发电燃料结构（IEA，2024 年；Ember，2023 年）。额外发电每年将花费约 19 亿美元。收入弹性范围为 0.25 至 1.37，价格弹性范围为 -0.08 至 -0.61，揭示了由于家电饱和度、补贴结构和关税改革历史的差异而导致的巨大的跨国异质性。分解分析证实，气温以及人口和收入增长是电力消费的首要驱动因素，而对沙特阿拉伯 2016-2018 年定价改革的需求反应表明，精心设计的电价调整可以部分抵消气候驱动的需求增长。研究结果强调了提高建筑能效、先进冷却技术以及持续定价改革以将电力需求与气温上升脱钩以支持全球变暖的紧迫性。</w:t>
      </w:r>
    </w:p>
    <w:p>
      <w:pPr>
        <w:spacing w:before="0" w:after="200" w:lineRule="auto" w:line="276"/>
      </w:pPr>
      <w:r>
        <w:rPr>
          <w:b/>
        </w:rPr>
        <w:t xml:space="preserve">Abstract (EN): </w:t>
      </w:r>
      <w:r>
        <w:t>The GCC region is warming at 0.49°C per decade, nearly three times the global average, placing mounting pressure on electricity systems that already face extreme cooling demand. This study estimates country-specific income, price, and temperature elasticities of electricity demand for GCC countries over 1990-2022, using cointegration techniques. We find that a 1°C increase in annual average temperature would raise annual electricity consumption by 3.1% (Bahrain) to 5.8% (Saudi Arabia), translating into 32.2 TWh of additional regional demand, and 16.8 Mt of CO 2 emissions annually. The emission estimates are based on 2021 country-specific carbon intensities, reflecting each country's prevailing generation fuel mix (IEA, 2024; Ember, 2023). The additional generation would cost approximately $1.9 billion per year. Income elasticities range from 0.25 to 1.37, and price elasticities range from −0.08 to −0.61, revealing substantial cross-country heterogeneity driven by differences in appliance saturation, subsidy structures, and tariff reform histories. Decomposition analysis confirms that temperature, alongside population and income growth, is a first-order driver of electricity consumption, while the demand response to Saudi Arabia's 2016–2018 pricing reforms demonstrates that well-designed tariff adjustments can partially offset climate-driven demand growth. The findings highlight the urgency of improvements in the energy efficiency of buildings, advanced cooling technologies, and continued pricing reforms to decouple electricity demand from rising temperatures in support of GCC net-zero aspirations.</w:t>
      </w:r>
    </w:p>
    <w:p>
      <w:pPr>
        <w:spacing w:before="120" w:after="120"/>
      </w:pPr>
      <w:r>
        <w:rPr>
          <w:sz w:val="18"/>
        </w:rPr>
        <w:t>——————————————————————————————————————————————————————————————————————</w:t>
      </w:r>
    </w:p>
    <w:p>
      <w:pPr>
        <w:spacing w:before="160" w:after="40" w:line="240" w:lineRule="auto"/>
      </w:pPr>
      <w:r>
        <w:rPr>
          <w:b/>
        </w:rPr>
        <w:t xml:space="preserve">[4] </w:t>
      </w:r>
      <w:hyperlink r:id="rId354">
        <w:r>
          <w:rPr>
            <w:color w:val="1155CC"/>
            <w:u w:val="single"/>
          </w:rPr>
          <w:t>地缘政治冲突与企业能源转型：俄罗斯-乌克兰冲突的准自然实验</w:t>
        </w:r>
      </w:hyperlink>
    </w:p>
    <w:p>
      <w:pPr>
        <w:spacing w:before="0" w:after="80"/>
      </w:pPr>
      <w:r>
        <w:rPr>
          <w:i/>
          <w:sz w:val="20"/>
        </w:rPr>
        <w:t>EN: Geopolitical conflict and firms’ energy transition: A quasi-natural experiment from the Russia–Ukraine conflict</w:t>
      </w:r>
    </w:p>
    <w:p>
      <w:pPr>
        <w:spacing w:before="0" w:after="120"/>
      </w:pPr>
      <w:r>
        <w:rPr>
          <w:b/>
        </w:rPr>
        <w:t xml:space="preserve">Source: </w:t>
      </w:r>
      <w:r>
        <w:t>ScienceDirect Publication: Energy Policy</w:t>
      </w:r>
      <w:r>
        <w:t xml:space="preserve">    </w:t>
      </w:r>
      <w:r>
        <w:rPr>
          <w:b/>
        </w:rPr>
        <w:t xml:space="preserve">Pub date: </w:t>
      </w:r>
      <w:r>
        <w:t>2026-07-24 00:00:00+00:00</w:t>
      </w:r>
      <w:r>
        <w:t xml:space="preserve">    </w:t>
      </w:r>
      <w:r>
        <w:rPr>
          <w:b/>
        </w:rPr>
        <w:t xml:space="preserve">DOI: </w:t>
      </w:r>
      <w:hyperlink r:id="rId355">
        <w:r>
          <w:rPr>
            <w:color w:val="1155CC"/>
            <w:u w:val="single"/>
          </w:rPr>
          <w:t>10.1016/j.enpol.2026.115491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9">
        <w:r>
          <w:rPr>
            <w:color w:val="1155CC"/>
            <w:u w:val="single"/>
          </w:rPr>
          <w:t>电动汽车双向充电，通过分布式太阳能发电实现可持续能源管理</w:t>
        </w:r>
      </w:hyperlink>
    </w:p>
    <w:p>
      <w:pPr>
        <w:spacing w:before="0" w:after="80"/>
      </w:pPr>
      <w:r>
        <w:rPr>
          <w:i/>
          <w:sz w:val="20"/>
        </w:rPr>
        <w:t>EN: Bi-directional charging of electric vehicles for sustainable energy management with distributed solar generation</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10">
        <w:r>
          <w:rPr>
            <w:color w:val="1155CC"/>
            <w:u w:val="single"/>
          </w:rPr>
          <w:t>10.1016/j.apenergy.2026.128478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356">
        <w:r>
          <w:rPr>
            <w:color w:val="1155CC"/>
            <w:u w:val="single"/>
          </w:rPr>
          <w:t>稳定气候所需的净零以下</w:t>
        </w:r>
      </w:hyperlink>
    </w:p>
    <w:p>
      <w:pPr>
        <w:spacing w:before="0" w:after="80"/>
      </w:pPr>
      <w:r>
        <w:rPr>
          <w:i/>
          <w:sz w:val="20"/>
        </w:rPr>
        <w:t>EN: Less than net zero needed to stabilize climate</w:t>
      </w:r>
    </w:p>
    <w:p>
      <w:pPr>
        <w:spacing w:before="0" w:after="120"/>
      </w:pPr>
      <w:r>
        <w:rPr>
          <w:b/>
        </w:rPr>
        <w:t xml:space="preserve">Source: </w:t>
      </w:r>
      <w:r>
        <w:t>Nature Climate Change</w:t>
      </w:r>
      <w:r>
        <w:t xml:space="preserve">    </w:t>
      </w:r>
      <w:r>
        <w:rPr>
          <w:b/>
        </w:rPr>
        <w:t xml:space="preserve">Pub date: </w:t>
      </w:r>
      <w:r>
        <w:t>2026-07-24 00:00:00+00:00</w:t>
      </w:r>
      <w:r>
        <w:t xml:space="preserve">    </w:t>
      </w:r>
      <w:r>
        <w:rPr>
          <w:b/>
        </w:rPr>
        <w:t xml:space="preserve">DOI: </w:t>
      </w:r>
      <w:hyperlink r:id="rId357">
        <w:r>
          <w:rPr>
            <w:color w:val="1155CC"/>
            <w:u w:val="single"/>
          </w:rPr>
          <w:t>10.1038/s41558-026-02708-8</w:t>
        </w:r>
      </w:hyperlink>
    </w:p>
    <w:p>
      <w:pPr>
        <w:spacing w:before="0" w:after="120"/>
      </w:pPr>
      <w:r>
        <w:rPr>
          <w:b/>
        </w:rPr>
        <w:t xml:space="preserve">Notes: </w:t>
      </w:r>
      <w:r>
        <w:t>abstract_source=rss_nature</w:t>
      </w:r>
    </w:p>
    <w:p>
      <w:pPr>
        <w:spacing w:before="0" w:after="80" w:lineRule="auto" w:line="276"/>
      </w:pPr>
      <w:r>
        <w:rPr>
          <w:b/>
        </w:rPr>
        <w:t xml:space="preserve">摘要（ZH）: </w:t>
      </w:r>
      <w:r>
        <w:t>温室气体排放停止后，全球温度在很长一段时间内的变化并没有得到很好的限制。现在，研究表明全球持续变冷，特别是如果负二氧化碳排放量能够补偿持续的甲烷和氧化亚氮排放量的话。</w:t>
      </w:r>
    </w:p>
    <w:p>
      <w:pPr>
        <w:spacing w:before="0" w:after="200" w:lineRule="auto" w:line="276"/>
      </w:pPr>
      <w:r>
        <w:rPr>
          <w:b/>
        </w:rPr>
        <w:t xml:space="preserve">Abstract (EN): </w:t>
      </w:r>
      <w:r>
        <w:t>Global temperature change over long times after cessation of greenhouse gas emissions is not well constrained. Now, research shows a consistent global cooling, especially if negative CO2 emissions compensate for continued CH4 and N2O emissions.</w:t>
      </w:r>
    </w:p>
    <w:p>
      <w:pPr>
        <w:spacing w:before="120" w:after="120"/>
      </w:pPr>
      <w:r>
        <w:rPr>
          <w:sz w:val="18"/>
        </w:rPr>
        <w:t>——————————————————————————————————————————————————————————————————————</w:t>
      </w:r>
    </w:p>
    <w:p>
      <w:pPr>
        <w:spacing w:before="160" w:after="40" w:line="240" w:lineRule="auto"/>
      </w:pPr>
      <w:r>
        <w:rPr>
          <w:b/>
        </w:rPr>
        <w:t xml:space="preserve">[7] </w:t>
      </w:r>
      <w:hyperlink r:id="rId358">
        <w:r>
          <w:rPr>
            <w:color w:val="1155CC"/>
            <w:u w:val="single"/>
          </w:rPr>
          <w:t>自适应能源系统规划：具有人工智能支持场景生成的滚动框架</w:t>
        </w:r>
      </w:hyperlink>
    </w:p>
    <w:p>
      <w:pPr>
        <w:spacing w:before="0" w:after="80"/>
      </w:pPr>
      <w:r>
        <w:rPr>
          <w:i/>
          <w:sz w:val="20"/>
        </w:rPr>
        <w:t>EN: Adaptive energy systems planning: A rolling horizon framework with AI-enabled scenario generation</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359">
        <w:r>
          <w:rPr>
            <w:color w:val="1155CC"/>
            <w:u w:val="single"/>
          </w:rPr>
          <w:t>10.1016/j.apenergy.2026.128500</w:t>
        </w:r>
      </w:hyperlink>
    </w:p>
    <w:p>
      <w:pPr>
        <w:spacing w:before="0" w:after="120"/>
      </w:pPr>
      <w:r>
        <w:rPr>
          <w:b/>
        </w:rPr>
        <w:t xml:space="preserve">Notes: </w:t>
      </w:r>
      <w:r>
        <w:t>abstract_source=openalex</w:t>
      </w:r>
    </w:p>
    <w:p>
      <w:pPr>
        <w:spacing w:before="0" w:after="80" w:lineRule="auto" w:line="276"/>
      </w:pPr>
      <w:r>
        <w:rPr>
          <w:b/>
        </w:rPr>
        <w:t xml:space="preserve">摘要（ZH）: </w:t>
      </w:r>
      <w:r>
        <w:t>不断变化的需求模式、可变的可再生能源整合、不断变化的技术成本和结构转变所带来的深度不确定性推动了能源系统面临前所未有的挑战。建立适应性和灵活的规划框架对于对冲这些不确定性变得越来越重要，因为提前确定投资决策的传统静态优化方法往往难以适应快速变化的条件。本文提出了一种自适应优化框架，它将贝叶斯神经网络与马尔可夫链蒙特卡罗采样 (BNN-MCMC) 相结合，用于滚动范围随机规划公式中特定技术的概率生成预测。与依赖静态预测的传统方法不同，所提出的方法随着新信息的出现而不断更新场景表示，从而使投资决策能够更有效地响应不断变化的系统条件。我们通过 α-BASIS 框架来形式化这种集成，这是随机建模的贝叶斯增强场景集成的自适应扩展，它将预测分布转换为概率加权场景，并将它们嵌入到滚动范围随机编程公式中。通过德克萨斯州能源网络的说明性案例研究，我们比较了利用燃气发电厂、太阳能和风电场的历史发电概况的三种规划策略：传统随机优化、自适应滚动水平随机优化和确定性优化</w:t>
      </w:r>
    </w:p>
    <w:p>
      <w:pPr>
        <w:spacing w:before="0" w:after="200" w:lineRule="auto" w:line="276"/>
      </w:pPr>
      <w:r>
        <w:rPr>
          <w:b/>
        </w:rPr>
        <w:t xml:space="preserve">Abstract (EN): </w:t>
      </w:r>
      <w:r>
        <w:t>Energy systems face unprecedented challenges driven by deep uncertainty arising from evolving demand patterns, variable renewable integration, changing technology costs, and structural shifts. Building adaptive and flexible planning frameworks is becoming increasingly essential to hedge against these uncertainties, as traditional static optimization approaches that fix investment decisions in advance often struggle to adapt to rapidly evolving conditions. This paper presents an adaptive optimization framework that integrates Bayesian Neural Networks with Markov Chain Monte Carlo sampling (BNN-MCMC) for technology-specific probabilistic generation forecasting within a rolling-horizon stochastic programming formulation. Unlike conventional approaches that rely on static forecasts, the proposed methodology continuously updates scenario representations as new information becomes available, enabling investment decisions that respond more effectively to evolving system conditions. We formalize this integration through the α -BASIS framework, an adaptive extension of Bayesian Augmented Scenario Integration for Stochastic modeling, which transforms predictive distributions into probability-weighted scenarios and embeds them within a rolling-horizon stochastic programming formulation. Through an illustrative case study of the Texas energy network, we compare three planning strategies utilizing historical generation profiles of gas power plants, solar and wind farms: conventional stochastic optimization, adaptive rolling-horizon stochastic optimization, and deterministic optimization with perfect information. Results demonstrate that the adaptive rolling-horizon approach achieves total system costs only 9.7% above the perfect-information benchmark. The rolling-horizon strategy shows particular strength in incorporating updated scenario information, time-varying technology-cost trajectories, and investment timing. Overall, this work provides a practical methodology for energy planners facing deep uncertainty by bridging data-driven probabilistic forecasting with adaptive decision-making under uncertainty.</w:t>
      </w:r>
    </w:p>
    <w:p>
      <w:pPr>
        <w:spacing w:before="120" w:after="120"/>
      </w:pPr>
      <w:r>
        <w:rPr>
          <w:sz w:val="18"/>
        </w:rPr>
        <w:t>——————————————————————————————————————————————————————————————————————</w:t>
      </w:r>
    </w:p>
    <w:p>
      <w:pPr>
        <w:spacing w:before="160" w:after="40" w:line="240" w:lineRule="auto"/>
      </w:pPr>
      <w:r>
        <w:rPr>
          <w:b/>
        </w:rPr>
        <w:t xml:space="preserve">[8] </w:t>
      </w:r>
      <w:hyperlink r:id="rId360">
        <w:r>
          <w:rPr>
            <w:color w:val="1155CC"/>
            <w:u w:val="single"/>
          </w:rPr>
          <w:t>中国铝工业脱碳：碳捕集、利用和封存与可再生能源技术协同的综合评估</w:t>
        </w:r>
      </w:hyperlink>
    </w:p>
    <w:p>
      <w:pPr>
        <w:spacing w:before="0" w:after="80"/>
      </w:pPr>
      <w:r>
        <w:rPr>
          <w:i/>
          <w:sz w:val="20"/>
        </w:rPr>
        <w:t>EN: Decarbonizing China's aluminium industry: a comprehensive assessment of synergistic carbon capture, utilization, and storage with renewable energy technologies</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361">
        <w:r>
          <w:rPr>
            <w:color w:val="1155CC"/>
            <w:u w:val="single"/>
          </w:rPr>
          <w:t>10.1016/j.apenergy.2026.128454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362">
        <w:r>
          <w:rPr>
            <w:color w:val="1155CC"/>
            <w:u w:val="single"/>
          </w:rPr>
          <w:t>协调碳、电力和 CCER 市场，实现中国电力行业经济高效的脱碳</w:t>
        </w:r>
      </w:hyperlink>
    </w:p>
    <w:p>
      <w:pPr>
        <w:spacing w:before="0" w:after="80"/>
      </w:pPr>
      <w:r>
        <w:rPr>
          <w:i/>
          <w:sz w:val="20"/>
        </w:rPr>
        <w:t>EN: Coordinating carbon, electricity, and CCER markets for cost-effective decarbonization of China's power sector</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363">
        <w:r>
          <w:rPr>
            <w:color w:val="1155CC"/>
            <w:u w:val="single"/>
          </w:rPr>
          <w:t>10.1016/j.apenergy.2026.128492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250">
        <w:r>
          <w:rPr>
            <w:color w:val="1155CC"/>
            <w:u w:val="single"/>
          </w:rPr>
          <w:t>一种利用详细过程模型优化 power-to-X 能源系统运行的分解方法</w:t>
        </w:r>
      </w:hyperlink>
    </w:p>
    <w:p>
      <w:pPr>
        <w:spacing w:before="0" w:after="80"/>
      </w:pPr>
      <w:r>
        <w:rPr>
          <w:i/>
          <w:sz w:val="20"/>
        </w:rPr>
        <w:t>EN: A decomposition method for optimizing the operation of power-to-X energy systems with detailed process models</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251">
        <w:r>
          <w:rPr>
            <w:color w:val="1155CC"/>
            <w:u w:val="single"/>
          </w:rPr>
          <w:t>10.1016/j.apenergy.2026.128445</w:t>
        </w:r>
      </w:hyperlink>
    </w:p>
    <w:p>
      <w:pPr>
        <w:spacing w:before="0" w:after="120"/>
      </w:pPr>
      <w:r>
        <w:rPr>
          <w:b/>
        </w:rPr>
        <w:t xml:space="preserve">Notes: </w:t>
      </w:r>
      <w:r>
        <w:t>abstract_source=openalex</w:t>
      </w:r>
    </w:p>
    <w:p>
      <w:pPr>
        <w:spacing w:before="0" w:after="80" w:lineRule="auto" w:line="276"/>
      </w:pPr>
      <w:r>
        <w:rPr>
          <w:b/>
        </w:rPr>
        <w:t xml:space="preserve">摘要（ZH）: </w:t>
      </w:r>
      <w:r>
        <w:t>对可再生能源的日益依赖需要通过复杂的流程（例如 power-to-X）来扩展能源系统。由于这些过程的不同操作特性，相应的优化问题非常复杂，导致模型在计算上难以解决。为了解决这一计算挑战，这项工作提出了一种分解方法来解决具有详细过程模型的复杂能源系统的运行优化问题。该方法通过为每个过程合并一个代理模型，将原始优化问题分解为不同模型粒度级别的优化问题。该方法以以前专注于单个连续过程系统的工作为基础，扩展到处理多个和更复杂的过程系统。为此，我们引入了多阶段过程系统的代理建模方法，并针对操作优化问题开发了三种解决方法。该方法通过 PEM 电解槽、直接空气捕获装置和两个甲烷化过程的详细过程模型，用于最大限度地降低 power-to-X 能源系统的日常运营成本。所有三种解决方案的运营成本相当，但计算效率不同。最有效的解决方案可以在一小时内确定最佳运营策略。此外，敏感性研究评估了关键参数对方法性能的影响，证明了其稳健性和适应性。结果凸显了该提案的潜力</w:t>
      </w:r>
    </w:p>
    <w:p>
      <w:pPr>
        <w:spacing w:before="0" w:after="200" w:lineRule="auto" w:line="276"/>
      </w:pPr>
      <w:r>
        <w:rPr>
          <w:b/>
        </w:rPr>
        <w:t xml:space="preserve">Abstract (EN): </w:t>
      </w:r>
      <w:r>
        <w:t>The growing reliance on renewable energy necessitates extending energy systems with complex processes such as power-to-X. Due to the diverse operational characteristics of these processes, the corresponding optimization problems are highly complex and result in models that are computationally difficult to solve. To address this computational challenge, this work proposes a decomposition method to solve operational optimization problems for complex energy systems with detailed process models. The method decomposes the original optimization problem into optimization problems with different levels of model granularity by incorporating a surrogate model for each process. Building on prior work focusing on a single continuous process system, this method is expanded to handle multiple and more complex process systems. To this end, we introduce a surrogate modeling approach for multistage process systems and develop three solution approaches for the operational optimization problems. The method is applied to minimize the daily operational cost of a power-to-X energy system with detailed process models of a PEM electrolyzer, a direct air capture plant and two methanation processes. All three solution approaches yield comparable operational costs, but differ in computational efficiency. The most efficient solution approach identifies an optimal operational strategy in under one hour. Additionally, a sensitivity study evaluates the impact of key parameters on the performance of the method, demonstrating its robustness and adaptability. The results highlight the potential of the proposed method to efficiently optimize the operations of complex energy systems with detailed process models.</w:t>
      </w:r>
    </w:p>
    <w:p>
      <w:pPr>
        <w:spacing w:before="120" w:after="120"/>
      </w:pPr>
      <w:r>
        <w:rPr>
          <w:sz w:val="18"/>
        </w:rPr>
        <w:t>——————————————————————————————————————————————————————————————————————</w:t>
      </w:r>
    </w:p>
    <w:p>
      <w:pPr>
        <w:spacing w:before="160" w:after="40" w:line="240" w:lineRule="auto"/>
      </w:pPr>
      <w:r>
        <w:rPr>
          <w:b/>
        </w:rPr>
        <w:t xml:space="preserve">[11] </w:t>
      </w:r>
      <w:hyperlink r:id="rId364">
        <w:r>
          <w:rPr>
            <w:color w:val="1155CC"/>
            <w:u w:val="single"/>
          </w:rPr>
          <w:t>补贴率、绝对定价和应用能效：来自节能电器补贴的证据</w:t>
        </w:r>
      </w:hyperlink>
    </w:p>
    <w:p>
      <w:pPr>
        <w:spacing w:before="0" w:after="80"/>
      </w:pPr>
      <w:r>
        <w:rPr>
          <w:i/>
          <w:sz w:val="20"/>
        </w:rPr>
        <w:t>EN: Subsidy rates, absolute pricing, and applied energy efficiency: evidence from energy-efficient appliance subsidies</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365">
        <w:r>
          <w:rPr>
            <w:color w:val="1155CC"/>
            <w:u w:val="single"/>
          </w:rPr>
          <w:t>10.1016/j.apenergy.2026.128490</w:t>
        </w:r>
      </w:hyperlink>
    </w:p>
    <w:p>
      <w:pPr>
        <w:spacing w:before="0" w:after="120"/>
      </w:pPr>
      <w:r>
        <w:rPr>
          <w:b/>
        </w:rPr>
        <w:t xml:space="preserve">Notes: </w:t>
      </w:r>
      <w:r>
        <w:t>abstract_source=openalex</w:t>
      </w:r>
    </w:p>
    <w:p>
      <w:pPr>
        <w:spacing w:before="0" w:after="80" w:lineRule="auto" w:line="276"/>
      </w:pPr>
      <w:r>
        <w:rPr>
          <w:b/>
        </w:rPr>
        <w:t xml:space="preserve">摘要（ZH）: </w:t>
      </w:r>
      <w:r>
        <w:t>分级补贴在全球政府计划中广泛采用，但能源效率领域的一个关键假设，即较高的补贴率会相应增强市场吸收能力，但使用高频微观数据的实证审查却很有限。本文将中国的 2024 年节能家电补贴政策作为一项准自然实验。我们利用京东涵盖八个家电类别 12,936 种产品的每日面板数据，并使用产品评论数作为销售代理，采用双重差分法来评估政策的效果。调查结果如下。 （1）补贴带动总销量大幅增长，补贴产品日均销量增长约263%。 （2）享受15%补贴的二级产品销量增幅显着高于享受20%补贴的一级产品，表明较高的补贴率并没有转化为更强烈的市场反应。 (3) 有两种机制可以解释这种不匹配。消费者似乎对补贴后价格水平的反应比对从价价格的反应更敏感，其中最强烈的反应集中在中等价格的产品上。不同类别的能源效率属性的显着性差异很大，白色家电引起的反应最明显，而厨房电器的反应最弱。研究结果为分级补贴激励的异质传导提供了经验证据，并对补贴设计、价格分级目标和信息化提供了启示。</w:t>
      </w:r>
    </w:p>
    <w:p>
      <w:pPr>
        <w:spacing w:before="0" w:after="200" w:lineRule="auto" w:line="276"/>
      </w:pPr>
      <w:r>
        <w:rPr>
          <w:b/>
        </w:rPr>
        <w:t xml:space="preserve">Abstract (EN): </w:t>
      </w:r>
      <w:r>
        <w:t>Tiered subsidies are widely employed in government programs globally, yet a key assumption in the energy efficiency domain, namely that a higher subsidy rate generates a correspondingly stronger market uptake, has received limited empirical scrutiny using high-frequency micro-level data. This paper exploits China's 2024 Energy-Efficient Appliance Subsidy policy as a quasi-natural experiment. Drawing on daily panel data from JD.com covering 12,936 products across eight appliance categories, and using product review counts as a sales proxy, we apply a difference-in-differences approach to assess the policy's effects. The findings are as follows. (1) The subsidy produced a marked aggregate sales increase, with subsidized products registering an approximating 263% gain in average daily unit sales. (2) Grade 2 products, receiving a 15% subsidy, exhibited a significantly larger sales increase than Grade 1 products eligible for 20%, indicating that a higher subsidy rate did not translate into a stronger market response. (3) Two mechanisms account for this mismatch. Consumers appear more responsive to the post-subsidy price level than to the ad valorem rate, with the strongest response concentrated among mid-priced products. The salience of energy efficiency attributes varies substantially across categories, with white goods eliciting the most pronounced response and kitchen appliances the weakest. The findings provide empirical evidence on the heterogeneous transmission of tiered subsidy incentives and offer implications for subsidy design, price-tier targeting, and informational strategies in future energy efficiency programs.</w:t>
      </w:r>
    </w:p>
    <w:p>
      <w:pPr>
        <w:spacing w:before="120" w:after="120"/>
      </w:pPr>
      <w:r>
        <w:rPr>
          <w:sz w:val="18"/>
        </w:rPr>
        <w:t>——————————————————————————————————————————————————————————————————————</w:t>
      </w:r>
    </w:p>
    <w:p>
      <w:pPr>
        <w:spacing w:before="160" w:after="40" w:line="240" w:lineRule="auto"/>
      </w:pPr>
      <w:r>
        <w:rPr>
          <w:b/>
        </w:rPr>
        <w:t xml:space="preserve">[12] </w:t>
      </w:r>
      <w:hyperlink r:id="rId366">
        <w:r>
          <w:rPr>
            <w:color w:val="1155CC"/>
            <w:u w:val="single"/>
          </w:rPr>
          <w:t>纳米限制单原子催化可产生长寿命的羟基自由基，用于低成本、多功能的现场水净化</w:t>
        </w:r>
      </w:hyperlink>
    </w:p>
    <w:p>
      <w:pPr>
        <w:spacing w:before="0" w:after="80"/>
      </w:pPr>
      <w:r>
        <w:rPr>
          <w:i/>
          <w:sz w:val="20"/>
        </w:rPr>
        <w:t>EN: Nanoconfined single-atom catalysis enables long-lived hydroxyl radicals for low-cost, versatile on-site water purification</w:t>
      </w:r>
    </w:p>
    <w:p>
      <w:pPr>
        <w:spacing w:before="0" w:after="120"/>
      </w:pPr>
      <w:r>
        <w:rPr>
          <w:b/>
        </w:rPr>
        <w:t xml:space="preserve">Source: </w:t>
      </w:r>
      <w:r>
        <w:t>One Earth</w:t>
      </w:r>
      <w:r>
        <w:t xml:space="preserve">    </w:t>
      </w:r>
      <w:r>
        <w:rPr>
          <w:b/>
        </w:rPr>
        <w:t xml:space="preserve">Pub date: </w:t>
      </w:r>
      <w:r>
        <w:t>2026-07-24 00:00:00+00:00</w:t>
      </w:r>
      <w:r>
        <w:t xml:space="preserve">    </w:t>
      </w:r>
      <w:r>
        <w:rPr>
          <w:b/>
        </w:rPr>
        <w:t xml:space="preserve">DOI: </w:t>
      </w:r>
      <w:hyperlink r:id="rId367">
        <w:r>
          <w:rPr>
            <w:color w:val="1155CC"/>
            <w:u w:val="single"/>
          </w:rPr>
          <w:t>10.1016/j.oneear.2026.101778</w:t>
        </w:r>
      </w:hyperlink>
    </w:p>
    <w:p>
      <w:pPr>
        <w:spacing w:before="0" w:after="120"/>
      </w:pPr>
      <w:r>
        <w:rPr>
          <w:b/>
        </w:rPr>
        <w:t xml:space="preserve">Notes: </w:t>
      </w:r>
      <w:r>
        <w:t>abstract_source=jina_reader</w:t>
      </w:r>
    </w:p>
    <w:p>
      <w:pPr>
        <w:spacing w:before="0" w:after="80" w:lineRule="auto" w:line="276"/>
      </w:pPr>
      <w:r>
        <w:rPr>
          <w:b/>
        </w:rPr>
        <w:t xml:space="preserve">摘要（ZH）: </w:t>
      </w:r>
      <w:r>
        <w:t>化学复杂的废水在场外处理的成本和风险越来越大，因此迫切需要现场氧化技术。芬顿和类芬顿化学对于污染物降解具有吸引力，但其效率受到羟基自由基（·OH）寿命短和扩散距离有限的限制，导致氧化剂消耗过多。如何稳定瞬态·OH以实现持续的自由基利用仍不清楚。在这里，我们通过孔内二茂铁裂解和原子捕获在沸石微孔内构建了孤立的 Fe-O 4 单原子位点。纳米四面体氧微环境降低了过氧化氢（H 2 O 2）活化势垒，实现可逆的Fe氧化还原循环，并通过轨道杂化稳定吸附的·OH。该催化剂将·OH 的有效寿命延长了 30 倍，并能维持自由基产生 24 小时。它集成到便携式设备中，可在多个操作周期内实现 98% 的污染物去除率，并净化多种废水，预计成本比传统 Fenton 低 5 倍。纳米单原子平台为现场水净化提供了一种多功能且可扩展的策略。</w:t>
      </w:r>
    </w:p>
    <w:p>
      <w:pPr>
        <w:spacing w:before="0" w:after="200" w:lineRule="auto" w:line="276"/>
      </w:pPr>
      <w:r>
        <w:rPr>
          <w:b/>
        </w:rPr>
        <w:t xml:space="preserve">Abstract (EN): </w:t>
      </w:r>
      <w:r>
        <w:t>Chemically complex wastewater is increasingly costly and risky to treat off-site, creating an urgent need for on-site oxidation technologies. Fenton and Fenton-like chemistry is attractive for pollutant degradation, but its efficiency is constrained by the short lifetime and limited diffusion distance of hydroxyl radicals (·OH), causing excessive oxidant consumption. How to stabilize transient ·OH for sustained radical utilization remains unclear. Here, we construct isolated Fe–O 4 single-atom sites inside zeolite micropores through in-pore ferrocene cracking and atomic trapping. The nanoconfined tetrahedral oxygen microenvironment lowers hydrogen peroxide (H 2 O 2) activation barriers, enables reversible Fe redox cycling, and stabilizes adsorbed ·OH through orbital hybridization. This catalyst extends the effective ·OH lifetime by 30-fold and sustains radical production for 24 h. Integrated into a portable device, it achieves 98% contaminant removal over multiple operating cycles and purifies diverse wastewater, with an estimated 5-fold lower cost than conventional Fenton. The nanoconfined single-atom platforms offer a versatile and scalable strategy for on-site water purification.</w:t>
      </w:r>
    </w:p>
    <w:p>
      <w:pPr>
        <w:spacing w:before="120" w:after="120"/>
      </w:pPr>
      <w:r>
        <w:rPr>
          <w:sz w:val="18"/>
        </w:rPr>
        <w:t>——————————————————————————————————————————————————————————————————————</w:t>
      </w:r>
    </w:p>
    <w:p>
      <w:pPr>
        <w:spacing w:before="160" w:after="40" w:line="240" w:lineRule="auto"/>
      </w:pPr>
      <w:r>
        <w:rPr>
          <w:b/>
        </w:rPr>
        <w:t xml:space="preserve">[13] </w:t>
      </w:r>
      <w:hyperlink r:id="rId368">
        <w:r>
          <w:rPr>
            <w:color w:val="1155CC"/>
            <w:u w:val="single"/>
          </w:rPr>
          <w:t>通过自下而上的城市建筑能源建模评估建筑到电网的能源效率和灵活性潜力</w:t>
        </w:r>
      </w:hyperlink>
    </w:p>
    <w:p>
      <w:pPr>
        <w:spacing w:before="0" w:after="80"/>
      </w:pPr>
      <w:r>
        <w:rPr>
          <w:i/>
          <w:sz w:val="20"/>
        </w:rPr>
        <w:t>EN: Assessing building-to-grid energy efficiency and flexibility potential through bottom-up urban building energy modelling</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369">
        <w:r>
          <w:rPr>
            <w:color w:val="1155CC"/>
            <w:u w:val="single"/>
          </w:rPr>
          <w:t>10.1016/j.apenergy.2026.128505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370">
        <w:r>
          <w:rPr>
            <w:color w:val="1155CC"/>
            <w:u w:val="single"/>
          </w:rPr>
          <w:t>用甲烷经济有效地减少工业来源的一氧化二氮，以紧急缓解气候变化</w:t>
        </w:r>
      </w:hyperlink>
    </w:p>
    <w:p>
      <w:pPr>
        <w:spacing w:before="0" w:after="80"/>
      </w:pPr>
      <w:r>
        <w:rPr>
          <w:i/>
          <w:sz w:val="20"/>
        </w:rPr>
        <w:t>EN: Cost-effective abatement of industrial sources of nitrous oxide with methane for urgent climate mitigation</w:t>
      </w:r>
    </w:p>
    <w:p>
      <w:pPr>
        <w:spacing w:before="0" w:after="120"/>
      </w:pPr>
      <w:r>
        <w:rPr>
          <w:b/>
        </w:rPr>
        <w:t xml:space="preserve">Source: </w:t>
      </w:r>
      <w:r>
        <w:t>Earth and environmental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一氧化二氮（N2O）是一种强效温室气体和平流层臭氧消耗物质，减少工业排放为紧急缓解气候变化提供了可行的方法。然而，现有的 N2O 减排工艺由于其惰性和高成本，需要严格的条件（&gt; 400 °C）。在这里，我们提出了一种经济有效的技术，使用 CH4 作为 Pt/HZSM-5 的还原剂，在 150 °C 下 N2O 转化率为 99.99%，反应速率高达 9629.55 kgN2O kgPt−1 h−1。机制研究表明，这一成功的关键在于反应诱导的 Pt 纳米颗粒，它含有单原子吸附的氧物质并实现快速的 O* 形成/消耗循环。技术经济分析表明，该方案可将中国工业己二酸排放的N2O减排成本降低62.3%。该研究可以激励进一步的技术开发并提高 N2O 减排以及低温 CH4 活化的可持续性。</w:t>
      </w:r>
    </w:p>
    <w:p>
      <w:pPr>
        <w:spacing w:before="0" w:after="200" w:lineRule="auto" w:line="276"/>
      </w:pPr>
      <w:r>
        <w:rPr>
          <w:b/>
        </w:rPr>
        <w:t xml:space="preserve">Abstract (EN): </w:t>
      </w:r>
      <w:r>
        <w:t>Abatement of industrial emissions of nitrous oxide (N2O), a potent greenhouse gas and stratospheric ozone-depleting substance, offers a viable approach to urgent climate mitigation. However, existing N2O abatement processes require rigorous conditions ( &gt; 400 °C) due to its inertia and high costs. Here we present a cost-effective technology enabling 99.99% N2O conversion at 150 °C and a high reaction rate of 9629.55 kgN2O kgPt−1 h−1 using CH4 as a reductant on Pt/HZSM-5. Mechanism studies reveal the key to this success lies in the reaction-induced Pt nanoparticles, which host monoatomic adsorbed oxygen species and achieve a rapid O* formation/consumption cycle. Techno-economic analysis shows that it offers the potential to reduce N2O abatement costs by 62.3% for industrial adipic acid emissions in China. The study can incentivize further technical development and improve the sustainability of N2O abatement, as well as low-temperature CH4 activation.</w:t>
      </w:r>
    </w:p>
    <w:p>
      <w:pPr>
        <w:spacing w:before="120" w:after="120"/>
      </w:pPr>
      <w:r>
        <w:rPr>
          <w:sz w:val="18"/>
        </w:rPr>
        <w:t>——————————————————————————————————————————————————————————————————————</w:t>
      </w:r>
    </w:p>
    <w:p>
      <w:pPr>
        <w:spacing w:before="160" w:after="40" w:line="240" w:lineRule="auto"/>
      </w:pPr>
      <w:r>
        <w:rPr>
          <w:b/>
        </w:rPr>
        <w:t xml:space="preserve">[15] </w:t>
      </w:r>
      <w:hyperlink r:id="rId371">
        <w:r>
          <w:rPr>
            <w:color w:val="1155CC"/>
            <w:u w:val="single"/>
          </w:rPr>
          <w:t>灵活性作为区域电力系统的驱动力：多区域优化框架</w:t>
        </w:r>
      </w:hyperlink>
    </w:p>
    <w:p>
      <w:pPr>
        <w:spacing w:before="0" w:after="80"/>
      </w:pPr>
      <w:r>
        <w:rPr>
          <w:i/>
          <w:sz w:val="20"/>
        </w:rPr>
        <w:t>EN: Flexibility as a driver of regionalized power systems: A multi-regional optimization framework</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372">
        <w:r>
          <w:rPr>
            <w:color w:val="1155CC"/>
            <w:u w:val="single"/>
          </w:rPr>
          <w:t>10.1016/j.apenergy.2026.128456</w:t>
        </w:r>
      </w:hyperlink>
    </w:p>
    <w:p>
      <w:pPr>
        <w:spacing w:before="0" w:after="120"/>
      </w:pPr>
      <w:r>
        <w:rPr>
          <w:b/>
        </w:rPr>
        <w:t xml:space="preserve">Notes: </w:t>
      </w:r>
      <w:r>
        <w:t>abstract_source=openalex</w:t>
      </w:r>
    </w:p>
    <w:p>
      <w:pPr>
        <w:spacing w:before="0" w:after="80" w:lineRule="auto" w:line="276"/>
      </w:pPr>
      <w:r>
        <w:rPr>
          <w:b/>
        </w:rPr>
        <w:t xml:space="preserve">摘要（ZH）: </w:t>
      </w:r>
      <w:r>
        <w:t>在持续的能源转型 (ET) 背景下，电力系统灵活性已成为将越来越多的可变可再生能源 (VRE) 纳入电力结构的关键要求。由于这些资源本质上是特定地点的，它们的大规模部署需要重新思考如何实现供需平衡。在本文中，我们提出了一个多区域优化框架，利用现有的灵活性工具来平衡剩余负载，包括可调度发电、存储、需求响应（DR）和区域间交换。将此框架应用于 2023 年全年法国南部四个地区的集群，我们发现剩余负荷是通过以核基负荷为主的绝大多数低碳可调度组合来满足的，区域间交换构成主要的灵活性渠道，并通过拥堵租金（约 9.1 亿欧元）产生巨大的经济价值。我们通过涵盖水能预算和负荷恢复参数的专门敏感性分析确认了这些发现的稳健性。这些结果表明，从技术和经济角度来看，引入中间区域层来运行和协调电力系统灵活性可能都是有益的。</w:t>
      </w:r>
    </w:p>
    <w:p>
      <w:pPr>
        <w:spacing w:before="0" w:after="200" w:lineRule="auto" w:line="276"/>
      </w:pPr>
      <w:r>
        <w:rPr>
          <w:b/>
        </w:rPr>
        <w:t xml:space="preserve">Abstract (EN): </w:t>
      </w:r>
      <w:r>
        <w:t>In the context of the ongoing Energy Transition (ET), power system flexibility has emerged as a critical requirement for integrating increasing shares of Variable Renewable Energies (VREs) into electricity mixes. Because these resources are inherently location-specific, their large-scale deployment calls for a rethinking of how the balance between supply and demand is achieved. In this paper, we propose a multi-regional optimization framework to balance residual load using existing flexibility tools, including dispatchable generation, storage, demand response (DR), and inter-regional exchanges. Applying this framework to a cluster of four southern French regions for the full year 2023, we find that the residual load is met by an overwhelmingly low-carbon dispatchable mix dominated by nuclear baseload, and that inter-regional exchanges constitute the primary flexibility channel and generate substantial economic value through congestion rents ( ∼ 0.91 billion euros). We confirm the robustness of these findings through a dedicated sensitivity analysis spanning the hydro energy budget and the load recovery parameter. These results suggest that introducing an intermediate regional layer for the operation and coordination of power system flexibility could be beneficial from both a technical and an economic perspective.</w:t>
      </w:r>
    </w:p>
    <w:p>
      <w:pPr>
        <w:spacing w:before="120" w:after="120"/>
      </w:pPr>
      <w:r>
        <w:rPr>
          <w:sz w:val="18"/>
        </w:rPr>
        <w:t>——————————————————————————————————————————————————————————————————————</w:t>
      </w:r>
    </w:p>
    <w:p>
      <w:pPr>
        <w:spacing w:before="160" w:after="40" w:line="240" w:lineRule="auto"/>
      </w:pPr>
      <w:r>
        <w:rPr>
          <w:b/>
        </w:rPr>
        <w:t xml:space="preserve">[16] </w:t>
      </w:r>
      <w:hyperlink r:id="rId373">
        <w:r>
          <w:rPr>
            <w:color w:val="1155CC"/>
            <w:u w:val="single"/>
          </w:rPr>
          <w:t>羟基介导的 SO2 促进作用可在富氧条件下通过 IrIn/Beta 实现 CO 高效还原 NOx</w:t>
        </w:r>
      </w:hyperlink>
    </w:p>
    <w:p>
      <w:pPr>
        <w:spacing w:before="0" w:after="80"/>
      </w:pPr>
      <w:r>
        <w:rPr>
          <w:i/>
          <w:sz w:val="20"/>
        </w:rPr>
        <w:t>EN: Hydroxyl‑Mediated SO2 Promotion Enables Efficient NOx Reduction by CO over IrIn/Beta under Oxygen‑Rich Conditions</w:t>
      </w:r>
    </w:p>
    <w:p>
      <w:pPr>
        <w:spacing w:before="0" w:after="120"/>
      </w:pPr>
      <w:r>
        <w:rPr>
          <w:b/>
        </w:rPr>
        <w:t xml:space="preserve">Source: </w:t>
      </w:r>
      <w:r>
        <w:t>Earth and environmental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开发用于在富氧条件下用 CO 选择性催化还原 NOx (CO-SCR) 的高性能铱基催化剂仍然是一项艰巨的挑战。在这里，我们确定了 IrIn/Beta 催化剂上的羟基介导的反应途径，称为硫酸铵机制。定制载体的 Si/Al 比例可以调节表面羟基 (Si-OH-Al)，从而控制硫酸铵中间体的快速转化。密度泛函理论计算证实这些中间体的形成在热力学上是自发的并且高度放热。这些原位生成的物质在 167 °C 时迅速分解，释放 NH3，从而触发内置的 NH3-SCR 循环。值得注意的是，IrIn/Beta-30 催化剂在严酷的模拟工业条件（15% O2 和 200 ppm SO2）下实现了 88% 的 NOx 转化率。这项工作将 SO2 确定为一个影响因素，为适用于实际工业烟气的稳健脱硝催化剂提供了合理的设计策略。</w:t>
      </w:r>
    </w:p>
    <w:p>
      <w:pPr>
        <w:spacing w:before="0" w:after="200" w:lineRule="auto" w:line="276"/>
      </w:pPr>
      <w:r>
        <w:rPr>
          <w:b/>
        </w:rPr>
        <w:t xml:space="preserve">Abstract (EN): </w:t>
      </w:r>
      <w:r>
        <w:t>Developing high-performance Ir-based catalysts for the selective catalytic reduction of NOx with CO (CO-SCR) under oxygen-rich conditions remains a formidable challenge. Here, we identify a hydroxyl-mediated reaction pathway over IrIn/Beta catalysts, termed the ammonium sulfate mechanism. Tailoring the support’s Si/Al ratio modulates surface hydroxyls (Si–OH–Al), governing the rapid transformation of ammonium sulfate intermediates. Density functional theory calculations confirm that the formation of these intermediates is thermodynamically spontaneous and highly exothermic. These in situ-generated species rapidly decompose at 167 °C to release NH3, triggering a built-in NH3-SCR cycle. Notably, the IrIn/Beta-30 catalyst achieves 88% NOx conversion under harsh simulated industrial conditions (15% O2 and 200 ppm SO2). This work establishes SO2 as a contributing factor, providing a rational design strategy for robust denitration catalysts applicable to real-world industrial flue gas.</w:t>
      </w:r>
    </w:p>
    <w:p>
      <w:pPr>
        <w:spacing w:before="120" w:after="120"/>
      </w:pPr>
      <w:r>
        <w:rPr>
          <w:sz w:val="18"/>
        </w:rPr>
        <w:t>——————————————————————————————————————————————————————————————————————</w:t>
      </w:r>
    </w:p>
    <w:p>
      <w:pPr>
        <w:spacing w:before="160" w:after="40" w:line="240" w:lineRule="auto"/>
      </w:pPr>
      <w:r>
        <w:rPr>
          <w:b/>
        </w:rPr>
        <w:t xml:space="preserve">[17] </w:t>
      </w:r>
      <w:hyperlink r:id="rId68">
        <w:r>
          <w:rPr>
            <w:color w:val="1155CC"/>
            <w:u w:val="single"/>
          </w:rPr>
          <w:t>仿生定点原子修复，实现废旧磷酸铁锂电池的节能再生</w:t>
        </w:r>
      </w:hyperlink>
    </w:p>
    <w:p>
      <w:pPr>
        <w:spacing w:before="0" w:after="80"/>
      </w:pPr>
      <w:r>
        <w:rPr>
          <w:i/>
          <w:sz w:val="20"/>
        </w:rPr>
        <w:t>EN: Bio‐Inspired Site‐Specific Atomic Repair for Energy‐Efficient Regeneration of Spent LiFePO4 Batteries</w:t>
      </w:r>
    </w:p>
    <w:p>
      <w:pPr>
        <w:spacing w:before="0" w:after="120"/>
      </w:pPr>
      <w:r>
        <w:rPr>
          <w:b/>
        </w:rPr>
        <w:t xml:space="preserve">Source: </w:t>
      </w:r>
      <w:r>
        <w:t>Wiley: Advanced Materials: Table of Contents</w:t>
      </w:r>
      <w:r>
        <w:t xml:space="preserve">    </w:t>
      </w:r>
      <w:r>
        <w:rPr>
          <w:b/>
        </w:rPr>
        <w:t xml:space="preserve">Pub date: </w:t>
      </w:r>
      <w:r>
        <w:t>2026-07-24 12:04:08+00:00</w:t>
      </w:r>
      <w:r>
        <w:t xml:space="preserve">    </w:t>
      </w:r>
      <w:r>
        <w:rPr>
          <w:b/>
        </w:rPr>
        <w:t xml:space="preserve">DOI: </w:t>
      </w:r>
      <w:hyperlink r:id="rId69">
        <w:r>
          <w:rPr>
            <w:color w:val="1155CC"/>
            <w:u w:val="single"/>
          </w:rPr>
          <w:t>10.1002/adma.74324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固态烧结再生为修复废磷酸铁锂（LFP）正极提供了一种有前景的策略，但传统的均匀混合（HM）烧结方法忽视了 FePO 的固有异质性</w:t>
      </w:r>
      <w:r>
        <w:rPr>
          <w:vertAlign w:val="subscript"/>
        </w:rPr>
        <w:t>4</w:t>
      </w:r>
      <w:r>
        <w:t>LFP 颗粒内。这会产生额外的长程锂</w:t>
      </w:r>
      <w:r>
        <w:t xml:space="preserve"> </w:t>
      </w:r>
      <w:r>
        <w:t>+</w:t>
      </w:r>
      <w:r>
        <w:t xml:space="preserve"> </w:t>
      </w:r>
      <w:r>
        <w:t>再生过程中从富锂区域到缺锂区域的固态迁移，产生大量的固态扩散障碍，需要延长高温烧结时间，同时引发局部过度锂化，最终降低再生性能。受特异性抗原-抗体-吞噬细胞相互作用的启发，我们提出了一种新的位点特异性原子修复（SAR）机制概念，用于节能的 LFP 再生。通过定向吸附增强蒸发成核过程，锂源和还原剂选择性地固定在异质 FePO 上</w:t>
      </w:r>
      <w:r>
        <w:rPr>
          <w:vertAlign w:val="subscript"/>
        </w:rPr>
        <w:t>4</w:t>
      </w:r>
      <w:r>
        <w:t>局部修复域，缩短了 Li</w:t>
      </w:r>
      <w:r>
        <w:t xml:space="preserve"> </w:t>
      </w:r>
      <w:r>
        <w:t>+</w:t>
      </w:r>
      <w:r>
        <w:t xml:space="preserve"> </w:t>
      </w:r>
      <w:r>
        <w:t>固态扩散途径，降低迁移势垒，并减少 FePO</w:t>
      </w:r>
      <w:r>
        <w:rPr>
          <w:vertAlign w:val="subscript"/>
        </w:rPr>
        <w:t>4</w:t>
      </w:r>
      <w:r>
        <w:t>→ 磷酸铁锂</w:t>
      </w:r>
      <w:r>
        <w:rPr>
          <w:vertAlign w:val="subscript"/>
        </w:rPr>
        <w:t>4</w:t>
      </w:r>
      <w:r>
        <w:t>转变温度从 300–400°C 到 100–200°C。因此，SAR 再生 LFP 阴极可提供增强的性能，同时只需要传统 HM 方法一半的高温烧结时间，从而实现约 20%–30% 的 en 减少</w:t>
      </w:r>
    </w:p>
    <w:p>
      <w:pPr>
        <w:spacing w:before="0" w:after="200" w:lineRule="auto" w:line="276"/>
      </w:pPr>
      <w:r>
        <w:rPr>
          <w:b/>
        </w:rPr>
        <w:t xml:space="preserve">Abstract (EN): </w:t>
      </w:r>
      <w:r>
        <w:t>Solid‐state sintering regeneration offers a promising strategy for repairing spent lithium iron phosphate (LFP) cathodes, yet conventional homogeneous‐mixing (HM) sintering approaches neglect the intrinsic heterogeneity of FePO</w:t>
      </w:r>
      <w:r>
        <w:rPr>
          <w:vertAlign w:val="subscript"/>
        </w:rPr>
        <w:t>4</w:t>
      </w:r>
      <w:r>
        <w:t>within LFP particles. This induces additional long‐range Li</w:t>
      </w:r>
      <w:r>
        <w:t xml:space="preserve"> </w:t>
      </w:r>
      <w:r>
        <w:t>+</w:t>
      </w:r>
      <w:r>
        <w:t xml:space="preserve"> </w:t>
      </w:r>
      <w:r>
        <w:t>solid‐state migration from Li‐rich to Li‐deficient domains during regeneration, creating substantial solid‐state diffusion barriers that necessitate extended high‐temperature sintering duration while triggering local over‐lithiation, ultimately degrading regeneration performance. Inspired by specific antigen‐antibody‐phagocyte interactions, we propose a novel mechanistic concept of site‐specific atomic repair (SAR) for energy‐efficient LFP regeneration. Through targeted‐adsorption‐enhanced evaporation‐nucleation processes, lithium sources and reductants are selectively anchored onto heterogeneous FePO</w:t>
      </w:r>
      <w:r>
        <w:rPr>
          <w:vertAlign w:val="subscript"/>
        </w:rPr>
        <w:t>4</w:t>
      </w:r>
      <w:r>
        <w:t>domains for localized repair, which shortens Li</w:t>
      </w:r>
      <w:r>
        <w:t xml:space="preserve"> </w:t>
      </w:r>
      <w:r>
        <w:t>+</w:t>
      </w:r>
      <w:r>
        <w:t xml:space="preserve"> </w:t>
      </w:r>
      <w:r>
        <w:t>solid‐state diffusion pathways, lowers migration barrier, and reduces FePO</w:t>
      </w:r>
      <w:r>
        <w:rPr>
          <w:vertAlign w:val="subscript"/>
        </w:rPr>
        <w:t>4</w:t>
      </w:r>
      <w:r>
        <w:t>→ LiFePO</w:t>
      </w:r>
      <w:r>
        <w:rPr>
          <w:vertAlign w:val="subscript"/>
        </w:rPr>
        <w:t>4</w:t>
      </w:r>
      <w:r>
        <w:t>transition temperature from 300–400°C to 100–200°C. Consequently, the SAR‐regenerated LFP cathodes deliver enhanced performance while requiring only half of the high‐temperature sintering duration of conventional HM approaches, thereby achieving ∼20%–30% reduction in energy consumption &amp;amp; CO</w:t>
      </w:r>
      <w:r>
        <w:rPr>
          <w:vertAlign w:val="subscript"/>
        </w:rPr>
        <w:t>2</w:t>
      </w:r>
      <w:r>
        <w:t>emissions with a markedly improved profit by ∼40%. With additional heteroatom doping, SAR demonstrates exceptional rate performance (73.0 mAh g</w:t>
      </w:r>
      <w:r>
        <w:t xml:space="preserve"> </w:t>
      </w:r>
      <w:r>
        <w:t>−1</w:t>
      </w:r>
      <w:r>
        <w:t xml:space="preserve"> </w:t>
      </w:r>
      <w:r>
        <w:t>at 15 C) and long‐term stability (90.0% after 600 cycles), ranking among the best reported to date, demonstrating cost‐effective mechanistic advances for industrial‐scale LFP recycling.</w:t>
      </w:r>
    </w:p>
    <w:p>
      <w:pPr>
        <w:spacing w:before="120" w:after="120"/>
      </w:pPr>
      <w:r>
        <w:rPr>
          <w:sz w:val="18"/>
        </w:rPr>
        <w:t>——————————————————————————————————————————————————————————————————————</w:t>
      </w:r>
    </w:p>
    <w:p>
      <w:pPr>
        <w:spacing w:before="160" w:after="40" w:line="240" w:lineRule="auto"/>
      </w:pPr>
      <w:r>
        <w:rPr>
          <w:b/>
        </w:rPr>
        <w:t xml:space="preserve">[18] </w:t>
      </w:r>
      <w:hyperlink r:id="rId374">
        <w:r>
          <w:rPr>
            <w:color w:val="1155CC"/>
            <w:u w:val="single"/>
          </w:rPr>
          <w:t>智能电网因果推理框架及其应用于需求响应</w:t>
        </w:r>
      </w:hyperlink>
    </w:p>
    <w:p>
      <w:pPr>
        <w:spacing w:before="0" w:after="80"/>
      </w:pPr>
      <w:r>
        <w:rPr>
          <w:i/>
          <w:sz w:val="20"/>
        </w:rPr>
        <w:t>EN: Causal inference framework for smart grids with application to demand response</w:t>
      </w:r>
    </w:p>
    <w:p>
      <w:pPr>
        <w:spacing w:before="0" w:after="120"/>
      </w:pPr>
      <w:r>
        <w:rPr>
          <w:b/>
        </w:rPr>
        <w:t xml:space="preserve">Source: </w:t>
      </w:r>
      <w:r>
        <w:t>ScienceDirect Publication: Applied Energy</w:t>
      </w:r>
      <w:r>
        <w:t xml:space="preserve">    </w:t>
      </w:r>
      <w:r>
        <w:rPr>
          <w:b/>
        </w:rPr>
        <w:t xml:space="preserve">Pub date: </w:t>
      </w:r>
      <w:r>
        <w:t>2026-07-25 00:00:00+00:00</w:t>
      </w:r>
      <w:r>
        <w:t xml:space="preserve">    </w:t>
      </w:r>
      <w:r>
        <w:rPr>
          <w:b/>
        </w:rPr>
        <w:t xml:space="preserve">DOI: </w:t>
      </w:r>
      <w:hyperlink r:id="rId375">
        <w:r>
          <w:rPr>
            <w:color w:val="1155CC"/>
            <w:u w:val="single"/>
          </w:rPr>
          <w:t>10.1016/j.apenergy.2026.128495</w:t>
        </w:r>
      </w:hyperlink>
    </w:p>
    <w:p>
      <w:pPr>
        <w:spacing w:before="0" w:after="120"/>
      </w:pPr>
      <w:r>
        <w:rPr>
          <w:b/>
        </w:rPr>
        <w:t xml:space="preserve">Notes: </w:t>
      </w:r>
      <w:r>
        <w:t>abstract_source=openalex</w:t>
      </w:r>
    </w:p>
    <w:p>
      <w:pPr>
        <w:spacing w:before="0" w:after="80" w:lineRule="auto" w:line="276"/>
      </w:pPr>
      <w:r>
        <w:rPr>
          <w:b/>
        </w:rPr>
        <w:t xml:space="preserve">摘要（ZH）: </w:t>
      </w:r>
      <w:r>
        <w:t>智能电网生成大量数据，但许多分析仍然基于关联，无法可靠地为有关规划和运营干预效果的决策提供信息。随机试验提供了强有力的因果证据，但成本高昂且范围有限，预测模型无法将干预效果与混杂因素区分开来，而现有的智能电网因果研究均侧重于单一方面，例如市场分配、网络演化或时间依赖性，而没有涵盖从问题制定到决策的完整工作流程。本文介绍了智能电网的特定领域因果推理框架，该框架将现有的因果建模、识别和验证技术集成到适合能源系统分析的结构化工作流程中。该框架分为七个阶段：因果问题框架、因果模型构建、数据收集和准备、因果发现、因果推理、反驳测试和验证、干预评估和建议。为了支持跨环境的适应，本文将智能电网中常见的因果问题分为三种类型（混杂因素密集型、时间结构型和实时决策问题），并展示了框架如何映射到每种类型，并详细演示了混杂因素密集型案例。该框架通过需求响应案例研究来论证，评估定价方案对家庭电力消耗的因果影响。使用真实世界的数据，我们应用了三种具有代表性的因果推理方法（后门调整</w:t>
      </w:r>
    </w:p>
    <w:p>
      <w:pPr>
        <w:spacing w:before="0" w:after="200" w:lineRule="auto" w:line="276"/>
      </w:pPr>
      <w:r>
        <w:rPr>
          <w:b/>
        </w:rPr>
        <w:t xml:space="preserve">Abstract (EN): </w:t>
      </w:r>
      <w:r>
        <w:t>Smart grids generate extensive data, yet much analysis remains association-based and cannot reliably inform decisions about the effects of interventions in planning and operations. Randomized trials provide strong causal evidence but are costly and limited in scope, predictive models cannot isolate intervention effects from confounding factors, and existing causal studies in smart grids each focus on a single aspect, such as market allocation, network evolution, or temporal dependencies, without covering the complete workflow from problem formulation to decision-making. This paper introduces a domain-specific causal inference framework for smart grids that integrates established causal modeling, identification, and validation techniques into a structured workflow tailored to energy-system analysis. The framework is organized into seven phases: causal problem framing, causal model construction, data collection and preparation, causal discovery, causal inference, refutation tests and validation, and intervention evaluation and recommendation. To support adaptation across settings, the paper categorizes common causal problems in smart grids into three types (confounder-intensive, temporally structured, and real-time decision problems) and shows how the framework maps to each, with the confounder-intensive case demonstrated in detail. The framework is demonstrated through a demand response case study assessing the causal impact of pricing schemes on household electricity consumption. Using real-world data, we apply three representative causal inference methods (Backdoor Adjustment, Difference in Differences, and Double Machine Learning), benchmarked against an association-based baseline. The results show that factors influential under association can become negligible or even reverse under causal estimation, while seemingly minor factors emerge as plausible levers for decision-making under the stated identification assumptions.</w:t>
      </w:r>
    </w:p>
    <w:p>
      <w:pPr>
        <w:spacing w:before="120" w:after="120"/>
      </w:pPr>
      <w:r>
        <w:rPr>
          <w:sz w:val="18"/>
        </w:rPr>
        <w:t>——————————————————————————————————————————————————————————————————————</w:t>
      </w:r>
    </w:p>
    <w:p>
      <w:pPr>
        <w:spacing w:before="160" w:after="40" w:line="240" w:lineRule="auto"/>
      </w:pPr>
      <w:r>
        <w:rPr>
          <w:b/>
        </w:rPr>
        <w:t xml:space="preserve">[19] </w:t>
      </w:r>
      <w:hyperlink r:id="rId376">
        <w:r>
          <w:rPr>
            <w:color w:val="1155CC"/>
            <w:u w:val="single"/>
          </w:rPr>
          <w:t>利用天然气网络全局线性端口模型加速电-气能量流分析</w:t>
        </w:r>
      </w:hyperlink>
    </w:p>
    <w:p>
      <w:pPr>
        <w:spacing w:before="0" w:after="80"/>
      </w:pPr>
      <w:r>
        <w:rPr>
          <w:i/>
          <w:sz w:val="20"/>
        </w:rPr>
        <w:t>EN: Accelerating electricity-gas energy flow analysis using global linear port model of natural gas network</w:t>
      </w:r>
    </w:p>
    <w:p>
      <w:pPr>
        <w:spacing w:before="0" w:after="120"/>
      </w:pPr>
      <w:r>
        <w:rPr>
          <w:b/>
        </w:rPr>
        <w:t xml:space="preserve">Source: </w:t>
      </w:r>
      <w:r>
        <w:t>ScienceDirect Publication: Applied Energy</w:t>
      </w:r>
      <w:r>
        <w:t xml:space="preserve">    </w:t>
      </w:r>
      <w:r>
        <w:rPr>
          <w:b/>
        </w:rPr>
        <w:t xml:space="preserve">Pub date: </w:t>
      </w:r>
      <w:r>
        <w:t>2026-07-25 00:00:00+00:00</w:t>
      </w:r>
      <w:r>
        <w:t xml:space="preserve">    </w:t>
      </w:r>
      <w:r>
        <w:rPr>
          <w:b/>
        </w:rPr>
        <w:t xml:space="preserve">DOI: </w:t>
      </w:r>
      <w:hyperlink r:id="rId377">
        <w:r>
          <w:rPr>
            <w:color w:val="1155CC"/>
            <w:u w:val="single"/>
          </w:rPr>
          <w:t>10.1016/j.apenergy.2026.128485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378">
        <w:r>
          <w:rPr>
            <w:color w:val="1155CC"/>
            <w:u w:val="single"/>
          </w:rPr>
          <w:t>成长型企业和碳强度：环境税收政策和绿色技术创新生态系统重要吗？</w:t>
        </w:r>
      </w:hyperlink>
    </w:p>
    <w:p>
      <w:pPr>
        <w:spacing w:before="0" w:after="80"/>
      </w:pPr>
      <w:r>
        <w:rPr>
          <w:i/>
          <w:sz w:val="20"/>
        </w:rPr>
        <w:t>EN: Growing firms and carbon intensity: Do environmental taxation policy and green technological innovation ecosystems matter?</w:t>
      </w:r>
    </w:p>
    <w:p>
      <w:pPr>
        <w:spacing w:before="0" w:after="120"/>
      </w:pPr>
      <w:r>
        <w:rPr>
          <w:b/>
        </w:rPr>
        <w:t xml:space="preserve">Source: </w:t>
      </w:r>
      <w:r>
        <w:t>ScienceDirect Publication: Energy Policy</w:t>
      </w:r>
      <w:r>
        <w:t xml:space="preserve">    </w:t>
      </w:r>
      <w:r>
        <w:rPr>
          <w:b/>
        </w:rPr>
        <w:t xml:space="preserve">Pub date: </w:t>
      </w:r>
      <w:r>
        <w:t>2026-07-25 00:00:00+00:00</w:t>
      </w:r>
      <w:r>
        <w:t xml:space="preserve">    </w:t>
      </w:r>
      <w:r>
        <w:rPr>
          <w:b/>
        </w:rPr>
        <w:t xml:space="preserve">DOI: </w:t>
      </w:r>
      <w:hyperlink r:id="rId379">
        <w:r>
          <w:rPr>
            <w:color w:val="1155CC"/>
            <w:u w:val="single"/>
          </w:rPr>
          <w:t>10.1016/j.enpol.2026.115508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380">
        <w:r>
          <w:rPr>
            <w:color w:val="1155CC"/>
            <w:u w:val="single"/>
          </w:rPr>
          <w:t>用于乙烯/乙烷分离膜的可持续混合基质碳中空纤维前体的连续加工</w:t>
        </w:r>
      </w:hyperlink>
    </w:p>
    <w:p>
      <w:pPr>
        <w:spacing w:before="0" w:after="80"/>
      </w:pPr>
      <w:r>
        <w:rPr>
          <w:i/>
          <w:sz w:val="20"/>
        </w:rPr>
        <w:t>EN: Continuous processing of sustainable mixed-matrix carbon hollow fiber precursors for ethylene/ethane separation membranes</w:t>
      </w:r>
    </w:p>
    <w:p>
      <w:pPr>
        <w:spacing w:before="0" w:after="120"/>
      </w:pPr>
      <w:r>
        <w:rPr>
          <w:b/>
        </w:rPr>
        <w:t xml:space="preserve">Source: </w:t>
      </w:r>
      <w:r>
        <w:t>Physical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基于膜的分离构成了烯烃/石蜡纯化的节能替代方案，然而，通过制造兼容的路线将亚埃分离转化为无缺陷的大面积膜仍然具有挑战性。在这项工作中，我们实现了一种多尺度工程设计，通过连续流加工将工程金属有机框架（MOF）与可再生、低成本生物质衍生聚合物战略性地整合，然后半间歇碳化成混合基质碳中空纤维膜。受控的分子缠结赋予了强大的胶体稳定性和界面凝聚力，使整体前体能够热转化为连续的无机-无机碳纳米相。这种共生的三相异质纳米域能够在实际高压条件 (20 bar) 下实现快速乙烯传输和超精确乙烯/乙烷辨别（C2H4/C2H6 选择性为 75），并具有超过 21 天的长期稳定性。我们还展示了一种大面积膜组件 (125 cm2)，它保留了有吸引力的乙烯/乙烷分离性能，在 10 bar 下理想的单一气体 C2H4/C2H6 选择性为 51，混合气体选择性为 ~30。技术经济分析进一步证实了它们的成本竞争力，强调了石化和更广泛的气体分离应用中与模块相关的可扩展性和可持续性。这种连续流混合策略提供了一个适用的工具箱，可将亚纳米精度转化为坚固的、与模块相关的分子筛膜。</w:t>
      </w:r>
    </w:p>
    <w:p>
      <w:pPr>
        <w:spacing w:before="0" w:after="200" w:lineRule="auto" w:line="276"/>
      </w:pPr>
      <w:r>
        <w:rPr>
          <w:b/>
        </w:rPr>
        <w:t xml:space="preserve">Abstract (EN): </w:t>
      </w:r>
      <w:r>
        <w:t>Membrane-based separations constitute energy-lean alternatives to olefin/paraffin purification, however, it remains challenging to translate sub-ångström discrimination into defect-free, large-area membranes via manufacturing-compatible routes. In this work, we realize a multiscale engineering design that strategically integrates engineered metal-organic frameworks (MOFs) with renewable, low-cost biomass-derived polymers via continuous-flow processing, followed by semi-batch carbonization into mixed-matrix carbon hollow fiber membranes. Controlled molecular entanglement imparts robust colloidal stability and interfacial cohesion, enabling thermal conversion of the monolithic precursor into contiguous inorganic-inorganic carbon nanophases. The intergrown, triphasic heterogeneous nanodomain enables fast ethylene transport and ultra-precise ethylene/ethane discrimination (C2H4/C2H6 selectivity of 75) under practical high-pressure conditions (20 bar) with long-term stability over 21 days. We also demonstrate a large-area membrane module (125 cm2) that retains attractive ethylene/ethane separation performance with an ideal single-gas C2H4/C2H6 selectivity of 51 and a mixed-gas selectivity of ~30 at 10 bar. A techno-economic analysis further confirms their cost competitiveness, highlighting module-relevant scalability and sustainability for petrochemical and broader gas separation applications. This continuous-flow hybrid strategy provides an applicable toolbox to translating sub-nanometer precision into robust, module-relevant molecular-sieving membranes.</w:t>
      </w:r>
    </w:p>
    <w:p>
      <w:pPr>
        <w:spacing w:before="120" w:after="120"/>
      </w:pPr>
      <w:r>
        <w:rPr>
          <w:sz w:val="18"/>
        </w:rPr>
        <w:t>——————————————————————————————————————————————————————————————————————</w:t>
      </w:r>
    </w:p>
    <w:p>
      <w:pPr>
        <w:spacing w:before="160" w:after="40" w:line="240" w:lineRule="auto"/>
      </w:pPr>
      <w:r>
        <w:rPr>
          <w:b/>
        </w:rPr>
        <w:t xml:space="preserve">[22] </w:t>
      </w:r>
      <w:hyperlink r:id="rId381">
        <w:r>
          <w:rPr>
            <w:color w:val="1155CC"/>
            <w:u w:val="single"/>
          </w:rPr>
          <w:t>柔性负荷低碳微电网调度的UCB-Q值辅助差分进化</w:t>
        </w:r>
      </w:hyperlink>
    </w:p>
    <w:p>
      <w:pPr>
        <w:spacing w:before="0" w:after="80"/>
      </w:pPr>
      <w:r>
        <w:rPr>
          <w:i/>
          <w:sz w:val="20"/>
        </w:rPr>
        <w:t>EN: A UCB–Q-value assisted differential evolution for low-carbon microgrid scheduling with flexible loads</w:t>
      </w:r>
    </w:p>
    <w:p>
      <w:pPr>
        <w:spacing w:before="0" w:after="120"/>
      </w:pPr>
      <w:r>
        <w:rPr>
          <w:b/>
        </w:rPr>
        <w:t xml:space="preserve">Source: </w:t>
      </w:r>
      <w:r>
        <w:t>ScienceDirect Publication: Applied Energy</w:t>
      </w:r>
      <w:r>
        <w:t xml:space="preserve">    </w:t>
      </w:r>
      <w:r>
        <w:rPr>
          <w:b/>
        </w:rPr>
        <w:t xml:space="preserve">Pub date: </w:t>
      </w:r>
      <w:r>
        <w:t>2026-07-25 00:00:00+00:00</w:t>
      </w:r>
      <w:r>
        <w:t xml:space="preserve">    </w:t>
      </w:r>
      <w:r>
        <w:rPr>
          <w:b/>
        </w:rPr>
        <w:t xml:space="preserve">DOI: </w:t>
      </w:r>
      <w:hyperlink r:id="rId382">
        <w:r>
          <w:rPr>
            <w:color w:val="1155CC"/>
            <w:u w:val="single"/>
          </w:rPr>
          <w:t>10.1016/j.apenergy.2026.128442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 </w:t>
      </w:r>
      <w:hyperlink r:id="rId383">
        <w:r>
          <w:rPr>
            <w:color w:val="1155CC"/>
            <w:u w:val="single"/>
          </w:rPr>
          <w:t>具有竞价共识的多类型城市主体日前日内协同IES P2P交易策略</w:t>
        </w:r>
      </w:hyperlink>
    </w:p>
    <w:p>
      <w:pPr>
        <w:spacing w:before="0" w:after="80"/>
      </w:pPr>
      <w:r>
        <w:rPr>
          <w:i/>
          <w:sz w:val="20"/>
        </w:rPr>
        <w:t>EN: Day-ahead and intraday coordinated IES P2P trading strategy for multi-type urban entities with bidding consensus</w:t>
      </w:r>
    </w:p>
    <w:p>
      <w:pPr>
        <w:spacing w:before="0" w:after="120"/>
      </w:pPr>
      <w:r>
        <w:rPr>
          <w:b/>
        </w:rPr>
        <w:t xml:space="preserve">Source: </w:t>
      </w:r>
      <w:r>
        <w:t>ScienceDirect Publication: Applied Energy</w:t>
      </w:r>
      <w:r>
        <w:t xml:space="preserve">    </w:t>
      </w:r>
      <w:r>
        <w:rPr>
          <w:b/>
        </w:rPr>
        <w:t xml:space="preserve">Pub date: </w:t>
      </w:r>
      <w:r>
        <w:t>2026-07-25 00:00:00+00:00</w:t>
      </w:r>
      <w:r>
        <w:t xml:space="preserve">    </w:t>
      </w:r>
      <w:r>
        <w:rPr>
          <w:b/>
        </w:rPr>
        <w:t xml:space="preserve">DOI: </w:t>
      </w:r>
      <w:hyperlink r:id="rId384">
        <w:r>
          <w:rPr>
            <w:color w:val="1155CC"/>
            <w:u w:val="single"/>
          </w:rPr>
          <w:t>10.1016/j.apenergy.2026.128461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385">
        <w:r>
          <w:rPr>
            <w:color w:val="1155CC"/>
            <w:u w:val="single"/>
          </w:rPr>
          <w:t>综合能源系统混合储能优化配置</w:t>
        </w:r>
      </w:hyperlink>
    </w:p>
    <w:p>
      <w:pPr>
        <w:spacing w:before="0" w:after="80"/>
      </w:pPr>
      <w:r>
        <w:rPr>
          <w:i/>
          <w:sz w:val="20"/>
        </w:rPr>
        <w:t>EN: Optimization configuration of hybrid energy storage in integrated energy systems</w:t>
      </w:r>
    </w:p>
    <w:p>
      <w:pPr>
        <w:spacing w:before="0" w:after="120"/>
      </w:pPr>
      <w:r>
        <w:rPr>
          <w:b/>
        </w:rPr>
        <w:t xml:space="preserve">Source: </w:t>
      </w:r>
      <w:r>
        <w:t>ScienceDirect Publication: Applied Energy</w:t>
      </w:r>
      <w:r>
        <w:t xml:space="preserve">    </w:t>
      </w:r>
      <w:r>
        <w:rPr>
          <w:b/>
        </w:rPr>
        <w:t xml:space="preserve">Pub date: </w:t>
      </w:r>
      <w:r>
        <w:t>2026-07-25 00:00:00+00:00</w:t>
      </w:r>
      <w:r>
        <w:t xml:space="preserve">    </w:t>
      </w:r>
      <w:r>
        <w:rPr>
          <w:b/>
        </w:rPr>
        <w:t xml:space="preserve">DOI: </w:t>
      </w:r>
      <w:hyperlink r:id="rId386">
        <w:r>
          <w:rPr>
            <w:color w:val="1155CC"/>
            <w:u w:val="single"/>
          </w:rPr>
          <w:t>10.1016/j.apenergy.2026.128394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 </w:t>
      </w:r>
      <w:hyperlink r:id="rId387">
        <w:r>
          <w:rPr>
            <w:color w:val="1155CC"/>
            <w:u w:val="single"/>
          </w:rPr>
          <w:t>需求更多，系统成本更低？共享自动驾驶电动汽车对能源系统的灵活性价值</w:t>
        </w:r>
      </w:hyperlink>
    </w:p>
    <w:p>
      <w:pPr>
        <w:spacing w:before="0" w:after="80"/>
      </w:pPr>
      <w:r>
        <w:rPr>
          <w:i/>
          <w:sz w:val="20"/>
        </w:rPr>
        <w:t>EN: More demand, lower system costs? The flexibility value of shared autonomous electric vehicles for energy systems</w:t>
      </w:r>
    </w:p>
    <w:p>
      <w:pPr>
        <w:spacing w:before="0" w:after="120"/>
      </w:pPr>
      <w:r>
        <w:rPr>
          <w:b/>
        </w:rPr>
        <w:t xml:space="preserve">Source: </w:t>
      </w:r>
      <w:r>
        <w:t>ScienceDirect Publication: Applied Energy</w:t>
      </w:r>
      <w:r>
        <w:t xml:space="preserve">    </w:t>
      </w:r>
      <w:r>
        <w:rPr>
          <w:b/>
        </w:rPr>
        <w:t xml:space="preserve">Pub date: </w:t>
      </w:r>
      <w:r>
        <w:t>2026-07-25 00:00:00+00:00</w:t>
      </w:r>
      <w:r>
        <w:t xml:space="preserve">    </w:t>
      </w:r>
      <w:r>
        <w:rPr>
          <w:b/>
        </w:rPr>
        <w:t xml:space="preserve">DOI: </w:t>
      </w:r>
      <w:hyperlink r:id="rId388">
        <w:r>
          <w:rPr>
            <w:color w:val="1155CC"/>
            <w:u w:val="single"/>
          </w:rPr>
          <w:t>10.1016/j.apenergy.2026.128487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389">
        <w:r>
          <w:rPr>
            <w:color w:val="1155CC"/>
            <w:u w:val="single"/>
          </w:rPr>
          <w:t>利用智能交通系统实现交通脱碳：对机制、约束和部署路径的系统回顾</w:t>
        </w:r>
      </w:hyperlink>
    </w:p>
    <w:p>
      <w:pPr>
        <w:spacing w:before="0" w:after="80"/>
      </w:pPr>
      <w:r>
        <w:rPr>
          <w:i/>
          <w:sz w:val="20"/>
        </w:rPr>
        <w:t>EN: Decarbonizing transportation with intelligent transportation systems: a systematic review of mechanisms, constraints and deployment pathways</w:t>
      </w:r>
    </w:p>
    <w:p>
      <w:pPr>
        <w:spacing w:before="0" w:after="120"/>
      </w:pPr>
      <w:r>
        <w:rPr>
          <w:b/>
        </w:rPr>
        <w:t xml:space="preserve">Source: </w:t>
      </w:r>
      <w:r>
        <w:t>ScienceDirect Publication: Applied Energy</w:t>
      </w:r>
      <w:r>
        <w:t xml:space="preserve">    </w:t>
      </w:r>
      <w:r>
        <w:rPr>
          <w:b/>
        </w:rPr>
        <w:t xml:space="preserve">Pub date: </w:t>
      </w:r>
      <w:r>
        <w:t>2026-07-25 00:00:00+00:00</w:t>
      </w:r>
      <w:r>
        <w:t xml:space="preserve">    </w:t>
      </w:r>
      <w:r>
        <w:rPr>
          <w:b/>
        </w:rPr>
        <w:t xml:space="preserve">DOI: </w:t>
      </w:r>
      <w:hyperlink r:id="rId390">
        <w:r>
          <w:rPr>
            <w:color w:val="1155CC"/>
            <w:u w:val="single"/>
          </w:rPr>
          <w:t>10.1016/j.apenergy.2026.128493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 </w:t>
      </w:r>
      <w:hyperlink r:id="rId391">
        <w:r>
          <w:rPr>
            <w:color w:val="1155CC"/>
            <w:u w:val="single"/>
          </w:rPr>
          <w:t>从外卖到起飞</w:t>
        </w:r>
      </w:hyperlink>
    </w:p>
    <w:p>
      <w:pPr>
        <w:spacing w:before="0" w:after="80"/>
      </w:pPr>
      <w:r>
        <w:rPr>
          <w:i/>
          <w:sz w:val="20"/>
        </w:rPr>
        <w:t>EN: From takeout to takeoff</w:t>
      </w:r>
    </w:p>
    <w:p>
      <w:pPr>
        <w:spacing w:before="0" w:after="120"/>
      </w:pPr>
      <w:r>
        <w:rPr>
          <w:b/>
        </w:rPr>
        <w:t xml:space="preserve">Source: </w:t>
      </w:r>
      <w:r>
        <w:t>Nature Energy</w:t>
      </w:r>
      <w:r>
        <w:t xml:space="preserve">    </w:t>
      </w:r>
      <w:r>
        <w:rPr>
          <w:b/>
        </w:rPr>
        <w:t xml:space="preserve">Pub date: </w:t>
      </w:r>
      <w:r>
        <w:t>2026-07-27 00:00:00+00:00</w:t>
      </w:r>
      <w:r>
        <w:t xml:space="preserve">    </w:t>
      </w:r>
      <w:r>
        <w:rPr>
          <w:b/>
        </w:rPr>
        <w:t xml:space="preserve">DOI: </w:t>
      </w:r>
      <w:hyperlink r:id="rId392">
        <w:r>
          <w:rPr>
            <w:color w:val="1155CC"/>
            <w:u w:val="single"/>
          </w:rPr>
          <w:t>10.1038/s41560-026-02106-6</w:t>
        </w:r>
      </w:hyperlink>
    </w:p>
    <w:p>
      <w:pPr>
        <w:spacing w:before="0" w:after="120"/>
      </w:pPr>
      <w:r>
        <w:rPr>
          <w:b/>
        </w:rPr>
        <w:t xml:space="preserve">Notes: </w:t>
      </w:r>
      <w:r>
        <w:t>abstract_source=rss_nature</w:t>
      </w:r>
    </w:p>
    <w:p>
      <w:pPr>
        <w:spacing w:before="0" w:after="80" w:lineRule="auto" w:line="276"/>
      </w:pPr>
      <w:r>
        <w:rPr>
          <w:b/>
        </w:rPr>
        <w:t xml:space="preserve">摘要（ZH）: </w:t>
      </w:r>
      <w:r>
        <w:t>将塑料废物转化为喷气燃料可能有助于航空业脱碳，但升级改造路线通常需要高压和较长的反应时间。新的研究表明，基于氧化物载体上原子分散的钌原子的催化剂可以在温和的条件下将废塑料快速转化为喷气燃料成分。</w:t>
      </w:r>
    </w:p>
    <w:p>
      <w:pPr>
        <w:spacing w:before="0" w:after="200" w:lineRule="auto" w:line="276"/>
      </w:pPr>
      <w:r>
        <w:rPr>
          <w:b/>
        </w:rPr>
        <w:t xml:space="preserve">Abstract (EN): </w:t>
      </w:r>
      <w:r>
        <w:t>Converting plastic waste into jet fuel could help decarbonize aviation, but upcycling routes often require high pressures and long reaction times. New research demonstrates that catalysts based on atomically-dispersed Ru atoms on oxide supports can rapidly convert waste plastics into jet fuel components under mild conditions.</w:t>
      </w:r>
    </w:p>
    <w:p>
      <w:pPr>
        <w:spacing w:before="120" w:after="120"/>
      </w:pPr>
      <w:r>
        <w:rPr>
          <w:sz w:val="18"/>
        </w:rPr>
        <w:t>——————————————————————————————————————————————————————————————————————</w:t>
      </w:r>
    </w:p>
    <w:p>
      <w:pPr>
        <w:spacing w:before="160" w:after="40" w:line="240" w:lineRule="auto"/>
      </w:pPr>
      <w:r>
        <w:rPr>
          <w:b/>
        </w:rPr>
        <w:t xml:space="preserve">[28] </w:t>
      </w:r>
      <w:hyperlink r:id="rId36">
        <w:r>
          <w:rPr>
            <w:color w:val="1155CC"/>
            <w:u w:val="single"/>
          </w:rPr>
          <w:t>黄河流域通过可再生能源转型平衡能源、水和生态</w:t>
        </w:r>
      </w:hyperlink>
    </w:p>
    <w:p>
      <w:pPr>
        <w:spacing w:before="0" w:after="80"/>
      </w:pPr>
      <w:r>
        <w:rPr>
          <w:i/>
          <w:sz w:val="20"/>
        </w:rPr>
        <w:t>EN: Balancing energy, water, and ecology through renewable energy transitions in the Yellow River Basin</w:t>
      </w:r>
    </w:p>
    <w:p>
      <w:pPr>
        <w:spacing w:before="0" w:after="120"/>
      </w:pPr>
      <w:r>
        <w:rPr>
          <w:b/>
        </w:rPr>
        <w:t xml:space="preserve">Source: </w:t>
      </w:r>
      <w:r>
        <w:t>Earth and environmental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由于资源竞争和潜在的生态影响，向可再生能源过渡以缓解气候变化往往需要与区域优先事项进行权衡。应对这些挑战需要整体战略。本研究探讨了中国黄河流域水电-光伏-风-泵可再生能源基地（HPWP-base）平衡能源、水和生态的潜力，该地区面临着巨大的可持续发展压力。每年，HPWP 基地可替代 23.8%（249.4 太瓦时）的燃煤发电。这样的全流域转型可以使能源相关排放减少28.0%，电力部门用水量减少31.5%，生态系统碳储存恢复9.0%。这些通过现有技术（抽水蓄能水电、全流域合作和电网扩建）取得的协同成果显示了高压水电基地的实用性。因此，它可以作为加速区域电力转型、促进可持续发展的解决方案，并使政策制定者了解如何将可再生能源转型与多个可持续目标联系起来。</w:t>
      </w:r>
    </w:p>
    <w:p>
      <w:pPr>
        <w:spacing w:before="0" w:after="200" w:lineRule="auto" w:line="276"/>
      </w:pPr>
      <w:r>
        <w:rPr>
          <w:b/>
        </w:rPr>
        <w:t xml:space="preserve">Abstract (EN): </w:t>
      </w:r>
      <w:r>
        <w:t>The transition to renewable energy for climate mitigation often involves trade-offs with regional priorities, owning to resource competition and potential ecological impacts. Addressing these challenges requires a holistic strategy. This study examines the potential of Hydropower–Photovoltaic–Wind–Pump renewable energy base (HPWP-base) in the Yellow River Basin in China—a region facing significant sustainability pressures, to balance energy, water, and ecology. Annually, the HPWP-base could replace 23.8% (249.4 tera watt hours) of coal-fired electricity generation. Such a basin-wide transition enables 28.0% reduction in energy-related emissions, 31.5% decline in electricity-sector water consumption, and 9.0% restoration of ecosystem carbon storage. These synergistic outcomes, attained through established technologies (pump and storage hydropower, basin-wide cooperation, and grid expansion), show the practicality of the HPWP-base. Therefore, it can serve as a solution to accelerate regional electricity transformation while advancing sustainable development, and enable policymakers to appreciate how to link renewable energy transition with multiple sustainable goals.</w:t>
      </w:r>
    </w:p>
    <w:p>
      <w:pPr>
        <w:spacing w:before="120" w:after="120"/>
      </w:pPr>
      <w:r>
        <w:rPr>
          <w:sz w:val="18"/>
        </w:rPr>
        <w:t>——————————————————————————————————————————————————————————————————————</w:t>
      </w:r>
    </w:p>
    <w:p>
      <w:pPr>
        <w:spacing w:before="160" w:after="40" w:line="240" w:lineRule="auto"/>
      </w:pPr>
      <w:r>
        <w:rPr>
          <w:b/>
        </w:rPr>
        <w:t xml:space="preserve">[29] </w:t>
      </w:r>
      <w:hyperlink r:id="rId393">
        <w:r>
          <w:rPr>
            <w:color w:val="1155CC"/>
            <w:u w:val="single"/>
          </w:rPr>
          <w:t>对Zhang等人的修正，瘤胃6-羟基褪黑激素的宿主基因调节减少了奶牛的甲烷排放</w:t>
        </w:r>
      </w:hyperlink>
    </w:p>
    <w:p>
      <w:pPr>
        <w:spacing w:before="0" w:after="80"/>
      </w:pPr>
      <w:r>
        <w:rPr>
          <w:i/>
          <w:sz w:val="20"/>
        </w:rPr>
        <w:t>EN: Correction for Zhang et al., Host genetic regulation of rumen 6-hydroxymelatonin reduces methane emissions in dairy cattle</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394">
        <w:r>
          <w:rPr>
            <w:color w:val="1155CC"/>
            <w:u w:val="single"/>
          </w:rPr>
          <w:t>10.1073/pnas.2624228123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395">
        <w:r>
          <w:rPr>
            <w:color w:val="1155CC"/>
            <w:u w:val="single"/>
          </w:rPr>
          <w:t>它会在你身上生长：活真菌形成可持续时尚</w:t>
        </w:r>
      </w:hyperlink>
    </w:p>
    <w:p>
      <w:pPr>
        <w:spacing w:before="0" w:after="80"/>
      </w:pPr>
      <w:r>
        <w:rPr>
          <w:i/>
          <w:sz w:val="20"/>
        </w:rPr>
        <w:t>EN: It’ll grow on you: live fungi formed into sustainable fashion</w:t>
      </w:r>
    </w:p>
    <w:p>
      <w:pPr>
        <w:spacing w:before="0" w:after="120"/>
      </w:pPr>
      <w:r>
        <w:rPr>
          <w:b/>
        </w:rPr>
        <w:t xml:space="preserve">Source: </w:t>
      </w:r>
      <w:r>
        <w:t>Nature</w:t>
      </w:r>
      <w:r>
        <w:t xml:space="preserve">    </w:t>
      </w:r>
      <w:r>
        <w:rPr>
          <w:b/>
        </w:rPr>
        <w:t xml:space="preserve">Pub date: </w:t>
      </w:r>
      <w:r>
        <w:t>2026-07-28 00:00:00+00:00</w:t>
      </w:r>
      <w:r>
        <w:t xml:space="preserve">    </w:t>
      </w:r>
      <w:r>
        <w:rPr>
          <w:b/>
        </w:rPr>
        <w:t xml:space="preserve">DOI: </w:t>
      </w:r>
      <w:hyperlink r:id="rId396">
        <w:r>
          <w:rPr>
            <w:color w:val="1155CC"/>
            <w:u w:val="single"/>
          </w:rPr>
          <w:t>10.1038/d41586-026-02304-y</w:t>
        </w:r>
      </w:hyperlink>
    </w:p>
    <w:p>
      <w:pPr>
        <w:spacing w:before="0" w:after="120"/>
      </w:pPr>
      <w:r>
        <w:rPr>
          <w:b/>
        </w:rPr>
        <w:t xml:space="preserve">Notes: </w:t>
      </w:r>
      <w:r>
        <w:t>abstract_source=nature_html</w:t>
      </w:r>
    </w:p>
    <w:p>
      <w:pPr>
        <w:spacing w:before="0" w:after="80" w:lineRule="auto" w:line="276"/>
      </w:pPr>
      <w:r>
        <w:rPr>
          <w:b/>
        </w:rPr>
        <w:t xml:space="preserve">摘要（ZH）: </w:t>
      </w:r>
      <w:r>
        <w:t>由真菌丝制成的纺织品可以自我修复并且可生物降解。</w:t>
      </w:r>
    </w:p>
    <w:p>
      <w:pPr>
        <w:spacing w:before="0" w:after="200" w:lineRule="auto" w:line="276"/>
      </w:pPr>
      <w:r>
        <w:rPr>
          <w:b/>
        </w:rPr>
        <w:t xml:space="preserve">Abstract (EN): </w:t>
      </w:r>
      <w:r>
        <w:t>Textile made from fungal filaments can repair itself and is biodegradable.</w:t>
      </w:r>
    </w:p>
    <w:p>
      <w:pPr>
        <w:spacing w:before="120" w:after="120"/>
      </w:pPr>
      <w:r>
        <w:rPr>
          <w:sz w:val="18"/>
        </w:rPr>
        <w:t>——————————————————————————————————————————————————————————————————————</w:t>
      </w:r>
    </w:p>
    <w:p>
      <w:pPr>
        <w:spacing w:before="160" w:after="40" w:line="240" w:lineRule="auto"/>
      </w:pPr>
      <w:r>
        <w:rPr>
          <w:b/>
        </w:rPr>
        <w:t xml:space="preserve">[31] </w:t>
      </w:r>
      <w:hyperlink r:id="rId397">
        <w:r>
          <w:rPr>
            <w:color w:val="1155CC"/>
            <w:u w:val="single"/>
          </w:rPr>
          <w:t>改造沸石表面羟基以抑制受限 PtSn 团簇的烧结，实现稳定的丙烷脱氢</w:t>
        </w:r>
      </w:hyperlink>
    </w:p>
    <w:p>
      <w:pPr>
        <w:spacing w:before="0" w:after="80"/>
      </w:pPr>
      <w:r>
        <w:rPr>
          <w:i/>
          <w:sz w:val="20"/>
        </w:rPr>
        <w:t>EN: Engineering Surface Hydroxyls of Zeolites to Suppress Sintering of Confined PtSn Clusters for Stable Propane Dehydrogenation</w:t>
      </w:r>
    </w:p>
    <w:p>
      <w:pPr>
        <w:spacing w:before="0" w:after="120"/>
      </w:pPr>
      <w:r>
        <w:rPr>
          <w:b/>
        </w:rPr>
        <w:t xml:space="preserve">Source: </w:t>
      </w:r>
      <w:r>
        <w:t>Wiley: Angewandte Chemie International Edition: Table of Contents</w:t>
      </w:r>
      <w:r>
        <w:t xml:space="preserve">    </w:t>
      </w:r>
      <w:r>
        <w:rPr>
          <w:b/>
        </w:rPr>
        <w:t xml:space="preserve">Pub date: </w:t>
      </w:r>
      <w:r>
        <w:t>2026-07-28 18:40:19+00:00</w:t>
      </w:r>
      <w:r>
        <w:t xml:space="preserve">    </w:t>
      </w:r>
      <w:r>
        <w:rPr>
          <w:b/>
        </w:rPr>
        <w:t xml:space="preserve">DOI: </w:t>
      </w:r>
      <w:hyperlink r:id="rId398">
        <w:r>
          <w:rPr>
            <w:color w:val="1155CC"/>
            <w:u w:val="single"/>
          </w:rPr>
          <w:t>10.1002/anie.8364254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丙烷脱氢（PDH）是一种有吸引力的丙烯生产专用途径，但在恶劣的无氢条件下催化剂失活仍然是一个主要挑战。尽管沸石限制可以稳定 PtSn 活性位点，但在高温下长期运行期间逐渐烧结仍然存在。在这里，我们开发了一种无 HF 后合成硅烷化策略，使用六甲基二硅氮烷 (HMDS) 选择性钝化 Silalite-1 沸石中的表面硅烷醇，以增强包封 Pt 的稳定性</w:t>
      </w:r>
      <w:r>
        <w:rPr>
          <w:vertAlign w:val="subscript"/>
        </w:rPr>
        <w:t>1</w:t>
      </w:r>
      <w:r>
        <w:t>锡</w:t>
      </w:r>
      <w:r>
        <w:rPr>
          <w:vertAlign w:val="subscript"/>
        </w:rPr>
        <w:t>1</w:t>
      </w:r>
      <w:r>
        <w:t>合金簇。在无氢和纯 C 下直接测量的 2160 小时运行测试中，所得催化剂保持稳定的 PDH 性能</w:t>
      </w:r>
      <w:r>
        <w:rPr>
          <w:vertAlign w:val="subscript"/>
        </w:rPr>
        <w:t>3</w:t>
      </w:r>
      <w:r>
        <w:t>H</w:t>
      </w:r>
      <w:r>
        <w:rPr>
          <w:vertAlign w:val="subscript"/>
        </w:rPr>
        <w:t>8</w:t>
      </w:r>
      <w:r>
        <w:t>550°C 条件下。反应后表征表明，稳定性的增强源于在反应条件下有效抑制 PtSn 烧结，在运行 2160 小时后，PtSn 合金簇的平均尺寸仅保持 1.0 ± 0.2 nm。这种显着的抗烧结性归因于外表面和孔口硅烷醇的钝化，这消除了羟基锚定和成核位点，否则这些位点会捕获向外迁移的 PtSn 物质并促进它们在沸石外表面的成核和聚结。这些发现将合成后羟基钝化确定为增强沸石 c 的实用策略</w:t>
      </w:r>
    </w:p>
    <w:p>
      <w:pPr>
        <w:spacing w:before="0" w:after="200" w:lineRule="auto" w:line="276"/>
      </w:pPr>
      <w:r>
        <w:rPr>
          <w:b/>
        </w:rPr>
        <w:t xml:space="preserve">Abstract (EN): </w:t>
      </w:r>
      <w:r>
        <w:t>Propane dehydrogenation (PDH) is an attractive on‐purpose route for propylene production, yet catalyst deactivation under harsh hydrogen‐free conditions remains a major challenge. Although zeolite confinement can stabilize PtSn active sites, gradual sintering during long‐term operation at high temperatures persists. Here we developed an HF‐free post‐synthetic silylation strategy using hexamethyldisilazane (HMDS) to selectively passivate surface silanols in silicalite‐1 zeolites to enhance the stability of encapsulated Pt</w:t>
      </w:r>
      <w:r>
        <w:rPr>
          <w:vertAlign w:val="subscript"/>
        </w:rPr>
        <w:t>1</w:t>
      </w:r>
      <w:r>
        <w:t>Sn</w:t>
      </w:r>
      <w:r>
        <w:rPr>
          <w:vertAlign w:val="subscript"/>
        </w:rPr>
        <w:t>1</w:t>
      </w:r>
      <w:r>
        <w:t>alloy clusters. The resulting catalyst maintains stable PDH performance during a directly measured 2160 h on‐stream test under hydrogen‐free and pure C</w:t>
      </w:r>
      <w:r>
        <w:rPr>
          <w:vertAlign w:val="subscript"/>
        </w:rPr>
        <w:t>3</w:t>
      </w:r>
      <w:r>
        <w:t>H</w:t>
      </w:r>
      <w:r>
        <w:rPr>
          <w:vertAlign w:val="subscript"/>
        </w:rPr>
        <w:t>8</w:t>
      </w:r>
      <w:r>
        <w:t>conditions at 550°C. Post‐reaction characterizations demonstrate that the enhanced stability originates from the effective suppression of PtSn sintering under reaction conditions, with the PtSn alloy clusters retaining an average size of only 1.0 ± 0.2 nm after 2160 h on stream. This remarkable sintering resistance is attributed to the passivation of external‐surface and pore‐mouth silanols, which eliminates the hydroxyl anchoring and nucleation sites that would otherwise capture outward‐migrating PtSn species and promote their nucleation and coalescence on the external zeolite surface. These findings identify post‐synthetic hydroxyl passivation as a practical strategy to reinforce zeolite confinement and stabilize sub‐nanometer bimetallic clusters for high‐temperature dehydrogenation.</w:t>
      </w:r>
    </w:p>
    <w:p>
      <w:pPr>
        <w:spacing w:before="120" w:after="120"/>
      </w:pPr>
      <w:r>
        <w:rPr>
          <w:sz w:val="18"/>
        </w:rPr>
        <w:t>——————————————————————————————————————————————————————————————————————</w:t>
      </w:r>
    </w:p>
    <w:p>
      <w:pPr>
        <w:spacing w:before="160" w:after="40" w:line="240" w:lineRule="auto"/>
      </w:pPr>
      <w:r>
        <w:rPr>
          <w:b/>
        </w:rPr>
        <w:t xml:space="preserve">[32] </w:t>
      </w:r>
      <w:hyperlink r:id="rId321">
        <w:r>
          <w:rPr>
            <w:color w:val="1155CC"/>
            <w:u w:val="single"/>
          </w:rPr>
          <w:t>全球航运能源转向氢能改善空气质量对健康和经济的影响</w:t>
        </w:r>
      </w:hyperlink>
    </w:p>
    <w:p>
      <w:pPr>
        <w:spacing w:before="0" w:after="80"/>
      </w:pPr>
      <w:r>
        <w:rPr>
          <w:i/>
          <w:sz w:val="20"/>
        </w:rPr>
        <w:t>EN: Health and economic impacts of improved air quality from transitioning global shipping energy to hydrogen</w:t>
      </w:r>
    </w:p>
    <w:p>
      <w:pPr>
        <w:spacing w:before="0" w:after="120"/>
      </w:pPr>
      <w:r>
        <w:rPr>
          <w:b/>
        </w:rPr>
        <w:t xml:space="preserve">Source: </w:t>
      </w:r>
      <w:r>
        <w:t>Earth and environmental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氢能对于难以实现电气化的航运业脱碳和改善空气质量至关重要。然而，相关的健康和经济协同效益仍不清楚。在这里，我们使用综合排放-空气质量-健康建模框架评估全球航运中可行的氢转型情景对健康和经济的影响。我们的研究结果表明，采用氢气每年可避免约 129,500 例（95% 置信区间：68,300-202,200）例过早死亡，其中 75% 归因于臭氧 (O3) 浓度降低，25% 归因于细颗粒物 (PM2.5) 下降，其中 O3 带来的健康收益最大的是南亚，PM2.5 带来的健康收益最大的是东亚。这些健康效益预计可节省约 3060 亿美元（146-4880 亿美元）的经济成本，其中印度、日本和美国获得的经济收益最大。研究结果强调了基于氢的航运脱碳在带来巨大的公共健康和经济协同效益方面的潜力。</w:t>
      </w:r>
    </w:p>
    <w:p>
      <w:pPr>
        <w:spacing w:before="0" w:after="200" w:lineRule="auto" w:line="276"/>
      </w:pPr>
      <w:r>
        <w:rPr>
          <w:b/>
        </w:rPr>
        <w:t xml:space="preserve">Abstract (EN): </w:t>
      </w:r>
      <w:r>
        <w:t>Hydrogen energy is critical for decarbonizing the hard-to-electrify shipping sector and improving air quality. However, the associated health and economic co-benefits remain unclear. Here we assess the health and economic impacts of feasible hydrogen transition scenarios in global shipping using an integrated emission-air quality-health modeling framework. Our results show that hydrogen adoption could avert approximately 129,500 (95% confidence interval: 68,300–202,200) premature mortalities annually—75% attributable to ozone (O3) concentration reduction and 25% attributable to fine particulate matter (PM2.5) decline—with the greatest O3-attributable health gains in Southern Asia and PM2.5-attributable gains in Eastern Asia. These health benefits are estimated to save an economic cost of approximately US$306 billion (US$146–488 billion), with India, Japan and the United States of America receiving the largest economic benefit. The findings highlight the potential of hydrogen-based shipping decarbonization to deliver substantial public health and economic co-benefits.</w:t>
      </w:r>
    </w:p>
    <w:p>
      <w:pPr>
        <w:spacing w:before="120" w:after="120"/>
      </w:pPr>
      <w:r>
        <w:rPr>
          <w:sz w:val="18"/>
        </w:rPr>
        <w:t>——————————————————————————————————————————————————————————————————————</w:t>
      </w:r>
    </w:p>
    <w:p>
      <w:pPr>
        <w:spacing w:before="160" w:after="40" w:line="240" w:lineRule="auto"/>
      </w:pPr>
      <w:r>
        <w:rPr>
          <w:b/>
        </w:rPr>
        <w:t xml:space="preserve">[33] </w:t>
      </w:r>
      <w:hyperlink r:id="rId399">
        <w:r>
          <w:rPr>
            <w:color w:val="1155CC"/>
            <w:u w:val="single"/>
          </w:rPr>
          <w:t>混合生物电化学工艺可实现碳、氮、磷的分级利用，实现负碳排放废水处理</w:t>
        </w:r>
      </w:hyperlink>
    </w:p>
    <w:p>
      <w:pPr>
        <w:spacing w:before="0" w:after="80"/>
      </w:pPr>
      <w:r>
        <w:rPr>
          <w:i/>
          <w:sz w:val="20"/>
        </w:rPr>
        <w:t>EN: Hybrid bioelectrochemical process enables hierarchical C, N, and P utilization towards negative carbon emission wastewater treatment</w:t>
      </w:r>
    </w:p>
    <w:p>
      <w:pPr>
        <w:spacing w:before="0" w:after="120"/>
      </w:pPr>
      <w:r>
        <w:rPr>
          <w:b/>
        </w:rPr>
        <w:t xml:space="preserve">Source: </w:t>
      </w:r>
      <w:r>
        <w:t>Earth and environmental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生物电化学系统（BES）可以通过降低能耗、减少碳排放以及营养物捕获和再利用，为废水处理提供可持续的解决方案。在此，我们提出了一种以混合生物电化学组装（HBA）为中心的净化-发电-培养过程，以实现分级C、N和P代谢、分级发电和可重复使用的水生产。 HBA中非生物和生物阴极BES的混合可实现分级C代谢，出水COD直接满足地表水Ⅲ类标准。定制的透水生物膜分离器在 HBA 内依次创建厌氧-缺氧-好氧区域，从而实现完全脱氮。随后，HBA富含磷的尾水被引入水培灌溉系统进行磷利用，最终产生可重复使用的清洁水。值得注意的是，获得了0.43 W m–2的高功率密度，并且该过程实现了–0.413 kg-CO2 m–3的净碳排放。这项研究提出了可持续废水净化的原型，特别是在具有碳减排和碳中和目标的资源匮乏地区。</w:t>
      </w:r>
    </w:p>
    <w:p>
      <w:pPr>
        <w:spacing w:before="0" w:after="200" w:lineRule="auto" w:line="276"/>
      </w:pPr>
      <w:r>
        <w:rPr>
          <w:b/>
        </w:rPr>
        <w:t xml:space="preserve">Abstract (EN): </w:t>
      </w:r>
      <w:r>
        <w:t>Bioelectrochemical system (BES) can provide sustainable solutions for wastewater treatment through lower energy consumption, reduced carbon emissions, and nutrient capture and reuse. Herein, we propose a hybrid bioelectrochemical assembly (HBA)-centered purification-power-cultivation process to achieve hierarchical C, N, and P metabolism, graded power generation, and reusable water production. The hybridization of abiotic and biotic cathode BESs in HBA enables hierarchical C metabolism, with effluent COD directly meeting the Class Ⅲ surface water standard. The customized water-permeable biofilm separators sequentially create anaerobic-anoxic-aerobic zones within HBA, enabling complete N removal. Subsequently, the P-rich tailwater of HBA is channelled into a hydroponic irrigation system for P utilization, ultimately producing reusable clean water. Notably, a high power density of 0.43 W m–2 is obtained, and this process achieves a net carbon emission of –0.413 kg-CO2 m–3. This study presents a prototype for sustainable wastewater purification, particularly in low-resource areas with carbon emission reduction and carbon neutrality targets.</w:t>
      </w:r>
    </w:p>
    <w:p>
      <w:pPr>
        <w:spacing w:before="120" w:after="120"/>
      </w:pPr>
      <w:r>
        <w:rPr>
          <w:sz w:val="18"/>
        </w:rPr>
        <w:t>——————————————————————————————————————————————————————————————————————</w:t>
      </w:r>
    </w:p>
    <w:p>
      <w:pPr>
        <w:spacing w:before="160" w:after="40" w:line="240" w:lineRule="auto"/>
      </w:pPr>
      <w:r>
        <w:rPr>
          <w:b/>
        </w:rPr>
        <w:t xml:space="preserve">[34] </w:t>
      </w:r>
      <w:hyperlink r:id="rId400">
        <w:r>
          <w:rPr>
            <w:color w:val="1155CC"/>
            <w:u w:val="single"/>
          </w:rPr>
          <w:t>评估大规模V2G部署中政策与公众关注之间的偏差：来自多模态数据的证据</w:t>
        </w:r>
      </w:hyperlink>
    </w:p>
    <w:p>
      <w:pPr>
        <w:spacing w:before="0" w:after="80"/>
      </w:pPr>
      <w:r>
        <w:rPr>
          <w:i/>
          <w:sz w:val="20"/>
        </w:rPr>
        <w:t>EN: Assessing the deviation between policy and public attention in large-scale V2G deployment: evidence from multimodal data</w:t>
      </w:r>
    </w:p>
    <w:p>
      <w:pPr>
        <w:spacing w:before="0" w:after="120"/>
      </w:pPr>
      <w:r>
        <w:rPr>
          <w:b/>
        </w:rPr>
        <w:t xml:space="preserve">Source: </w:t>
      </w:r>
      <w:r>
        <w:t>ScienceDirect Publication: Applied Energy</w:t>
      </w:r>
      <w:r>
        <w:t xml:space="preserve">    </w:t>
      </w:r>
      <w:r>
        <w:rPr>
          <w:b/>
        </w:rPr>
        <w:t xml:space="preserve">Pub date: </w:t>
      </w:r>
      <w:r>
        <w:t>2026-07-29 00:00:00+00:00</w:t>
      </w:r>
      <w:r>
        <w:t xml:space="preserve">    </w:t>
      </w:r>
      <w:r>
        <w:rPr>
          <w:b/>
        </w:rPr>
        <w:t xml:space="preserve">DOI: </w:t>
      </w:r>
      <w:hyperlink r:id="rId401">
        <w:r>
          <w:rPr>
            <w:color w:val="1155CC"/>
            <w:u w:val="single"/>
          </w:rPr>
          <w:t>10.1016/j.apenergy.2026.128516</w:t>
        </w:r>
      </w:hyperlink>
    </w:p>
    <w:p>
      <w:pPr>
        <w:spacing w:before="0" w:after="120"/>
      </w:pPr>
      <w:r>
        <w:rPr>
          <w:b/>
        </w:rPr>
        <w:t xml:space="preserve">Notes: </w:t>
      </w:r>
      <w:r>
        <w:t>abstract_source=openalex</w:t>
      </w:r>
    </w:p>
    <w:p>
      <w:pPr>
        <w:spacing w:before="0" w:after="80" w:lineRule="auto" w:line="276"/>
      </w:pPr>
      <w:r>
        <w:rPr>
          <w:b/>
        </w:rPr>
        <w:t xml:space="preserve">摘要（ZH）: </w:t>
      </w:r>
      <w:r>
        <w:t>车到网（V2G）对于实现碳中和至关重要，但其大规模推广面临着政策支持力度大和公众参与度低的差距，反映出政府议程与公众关注度之间的脱节。基于V2G政策文本和来自微博、抖音和小红书的多模态用户生成内容，本研究应用BERTopic进行主题建模，并开发了涵盖整体、结构和内容偏差的指标体系，以识别和量化V2G部署中的政策-公众注意力偏差。结果表明：（1）政策关注度与公众关注度存在较大差异，总体偏差指数为0.48。政策关注集中在宏观层面的治理和基础设施发展，而公众关注则集中在微观层面的用户体验，例如电池寿命和参与风险。 （2）政策目标、工具、路径层的结构性偏差有所增加，其中路径层偏差最大，其次是工具层和目标层。在每一层，用户帖子与政策文本之间的偏差均高于用户评论与政策文本之间的偏差。 （3）同一政策主题存在较大内容偏差，特别是“顶层设计与平台治理”路径主题，内容偏差指数达到0.457。本研究系统揭示了政策供给与公众认知之间的错配，为完善V2G政策设计、用户参与机制和政策响应能力提供实证证据。</w:t>
      </w:r>
    </w:p>
    <w:p>
      <w:pPr>
        <w:spacing w:before="0" w:after="200" w:lineRule="auto" w:line="276"/>
      </w:pPr>
      <w:r>
        <w:rPr>
          <w:b/>
        </w:rPr>
        <w:t xml:space="preserve">Abstract (EN): </w:t>
      </w:r>
      <w:r>
        <w:t>Vehicle-to-grid (V2G) is vital for achieving carbon neutrality, but its large-scale promotion faces a gap between strong policy support and low public participation, indicating a misalignment between government agendas and public attention. Based on V2G policy texts and multimodal user-generated content from Weibo, Douyin, and Xiaohongshu, this study applies BERTopic for topic modelling and develops an indicator system covering overall, structural, and content deviation to identify and quantify policy–public attention deviation in V2G deployment. The results show that: (1) Policy attention and public attention differ substantially, with an overall deviation index of 0.48. Policy attention focuses on macro-level governance and infrastructure development, whereas public attention centers on micro-level user experience, such as battery life and participation risks. (2) Structural deviation increases across the policy goal, tool, and pathway layers, with the largest deviation at the pathway layer, followed by the tool and goal layers. At each layer, the deviation between user posts and policy texts is higher than that between user comments and policy texts. (3) Substantial content deviation exists within the same policy themes, especially for the pathway theme of “top-level design and platform governance”, where the content deviation index reaches 0.457. This study systematically reveals the mismatch between policy supply and public cognition, providing empirical evidence for improving V2G policy design, user participation mechanisms, and policy responsiveness.</w:t>
      </w:r>
    </w:p>
    <w:p>
      <w:pPr>
        <w:spacing w:before="120" w:after="120"/>
      </w:pPr>
      <w:r>
        <w:rPr>
          <w:sz w:val="18"/>
        </w:rPr>
        <w:t>——————————————————————————————————————————————————————————————————————</w:t>
      </w:r>
    </w:p>
    <w:p>
      <w:pPr>
        <w:spacing w:before="160" w:after="40" w:line="240" w:lineRule="auto"/>
      </w:pPr>
      <w:r>
        <w:rPr>
          <w:b/>
        </w:rPr>
        <w:t xml:space="preserve">[35] </w:t>
      </w:r>
      <w:hyperlink r:id="rId402">
        <w:r>
          <w:rPr>
            <w:color w:val="1155CC"/>
            <w:u w:val="single"/>
          </w:rPr>
          <w:t>TPIC：时空价格驱动的电动货运卡车路线、装载和（卸载）充电综合协调框架</w:t>
        </w:r>
      </w:hyperlink>
    </w:p>
    <w:p>
      <w:pPr>
        <w:spacing w:before="0" w:after="80"/>
      </w:pPr>
      <w:r>
        <w:rPr>
          <w:i/>
          <w:sz w:val="20"/>
        </w:rPr>
        <w:t>EN: TPIC: A temporal–spatial price-driven integrated coordination framework for routing, loading, and (dis)charging of electric freight trucks</w:t>
      </w:r>
    </w:p>
    <w:p>
      <w:pPr>
        <w:spacing w:before="0" w:after="120"/>
      </w:pPr>
      <w:r>
        <w:rPr>
          <w:b/>
        </w:rPr>
        <w:t xml:space="preserve">Source: </w:t>
      </w:r>
      <w:r>
        <w:t>ScienceDirect Publication: Applied Energy</w:t>
      </w:r>
      <w:r>
        <w:t xml:space="preserve">    </w:t>
      </w:r>
      <w:r>
        <w:rPr>
          <w:b/>
        </w:rPr>
        <w:t xml:space="preserve">Pub date: </w:t>
      </w:r>
      <w:r>
        <w:t>2026-07-29 00:00:00+00:00</w:t>
      </w:r>
      <w:r>
        <w:t xml:space="preserve">    </w:t>
      </w:r>
      <w:r>
        <w:rPr>
          <w:b/>
        </w:rPr>
        <w:t xml:space="preserve">DOI: </w:t>
      </w:r>
      <w:hyperlink r:id="rId403">
        <w:r>
          <w:rPr>
            <w:color w:val="1155CC"/>
            <w:u w:val="single"/>
          </w:rPr>
          <w:t>10.1016/j.apenergy.2026.128517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 </w:t>
      </w:r>
      <w:hyperlink r:id="rId404">
        <w:r>
          <w:rPr>
            <w:color w:val="1155CC"/>
            <w:u w:val="single"/>
          </w:rPr>
          <w:t>探索建筑脱碳的社会宏观经济影响，包括效率和反弹效应</w:t>
        </w:r>
      </w:hyperlink>
    </w:p>
    <w:p>
      <w:pPr>
        <w:spacing w:before="0" w:after="80"/>
      </w:pPr>
      <w:r>
        <w:rPr>
          <w:i/>
          <w:sz w:val="20"/>
        </w:rPr>
        <w:t>EN: Exploring the socio-macroeconomic impacts of buildings decarbonisation including efficiency and rebound effects</w:t>
      </w:r>
    </w:p>
    <w:p>
      <w:pPr>
        <w:spacing w:before="0" w:after="120"/>
      </w:pPr>
      <w:r>
        <w:rPr>
          <w:b/>
        </w:rPr>
        <w:t xml:space="preserve">Source: </w:t>
      </w:r>
      <w:r>
        <w:t>ScienceDirect Publication: Applied Energy</w:t>
      </w:r>
      <w:r>
        <w:t xml:space="preserve">    </w:t>
      </w:r>
      <w:r>
        <w:rPr>
          <w:b/>
        </w:rPr>
        <w:t xml:space="preserve">Pub date: </w:t>
      </w:r>
      <w:r>
        <w:t>2026-07-29 00:00:00+00:00</w:t>
      </w:r>
      <w:r>
        <w:t xml:space="preserve">    </w:t>
      </w:r>
      <w:r>
        <w:rPr>
          <w:b/>
        </w:rPr>
        <w:t xml:space="preserve">DOI: </w:t>
      </w:r>
      <w:hyperlink r:id="rId405">
        <w:r>
          <w:rPr>
            <w:color w:val="1155CC"/>
            <w:u w:val="single"/>
          </w:rPr>
          <w:t>10.1016/j.apenergy.2026.128391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 </w:t>
      </w:r>
      <w:hyperlink r:id="rId406">
        <w:r>
          <w:rPr>
            <w:color w:val="1155CC"/>
            <w:u w:val="single"/>
          </w:rPr>
          <w:t>集成多尺度纳米阵列与 MnO2 介导的 Ru─O 簇，用于稳定的酸性氯演化</w:t>
        </w:r>
      </w:hyperlink>
    </w:p>
    <w:p>
      <w:pPr>
        <w:spacing w:before="0" w:after="80"/>
      </w:pPr>
      <w:r>
        <w:rPr>
          <w:i/>
          <w:sz w:val="20"/>
        </w:rPr>
        <w:t>EN: Integrated Multiscale Nanoarrays With MnO2‐Mediated Ru─O Clusters for Stable Acidic Chlorine Evolution</w:t>
      </w:r>
    </w:p>
    <w:p>
      <w:pPr>
        <w:spacing w:before="0" w:after="120"/>
      </w:pPr>
      <w:r>
        <w:rPr>
          <w:b/>
        </w:rPr>
        <w:t xml:space="preserve">Source: </w:t>
      </w:r>
      <w:r>
        <w:t>Wiley: Advanced Materials: Table of Contents</w:t>
      </w:r>
      <w:r>
        <w:t xml:space="preserve">    </w:t>
      </w:r>
      <w:r>
        <w:rPr>
          <w:b/>
        </w:rPr>
        <w:t xml:space="preserve">Pub date: </w:t>
      </w:r>
      <w:r>
        <w:t>2026-07-29 06:44:53+00:00</w:t>
      </w:r>
      <w:r>
        <w:t xml:space="preserve">    </w:t>
      </w:r>
      <w:r>
        <w:rPr>
          <w:b/>
        </w:rPr>
        <w:t xml:space="preserve">DOI: </w:t>
      </w:r>
      <w:hyperlink r:id="rId407">
        <w:r>
          <w:rPr>
            <w:color w:val="1155CC"/>
            <w:u w:val="single"/>
          </w:rPr>
          <w:t>10.1002/adma.74344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电化学析氯反应 (CER) 对于氯碱工业至关重要。虽然原子 Ru-O 活性位点对于 CER 有着巨大的前景，但它们受到不稳定性和强 OH* 中毒的严重阻碍。在此，我们报告了一种层间工程电极，其中 MnO</w:t>
      </w:r>
      <w:r>
        <w:rPr>
          <w:vertAlign w:val="subscript"/>
        </w:rPr>
        <w:t>2</w:t>
      </w:r>
      <w:r>
        <w:t>纳米夹层外延包裹纳米锥阵列以限制和调制原子Ru-O簇。该夹层通过 Ru-O-Mn-O-Ti 连接诱导强电子耦合，在空间上限制和锚定团簇以抑制溶解，同时触发大量的界面电子重新分布。至关重要的是，这种调制的电子环境有效地促进了 *Cl 吸附的优化，从而显着增强了内在的 CER 选择性和动力学。因此，该电极实现了超过 1200 小时的卓越耐用性，并且 Ru 溶解可以忽略不计。当集成到质子交换膜电解槽中时，该催化剂表现出优异的活性和稳定性，受益于有利于超疏气气泡释放和增强的传质的分层结构。这些发现建立了一种统一原子限制、电子调制和传输工程的通用策略，用于设计耐用的 CER 电催化剂。</w:t>
      </w:r>
    </w:p>
    <w:p>
      <w:pPr>
        <w:spacing w:before="0" w:after="200" w:lineRule="auto" w:line="276"/>
      </w:pPr>
      <w:r>
        <w:rPr>
          <w:b/>
        </w:rPr>
        <w:t xml:space="preserve">Abstract (EN): </w:t>
      </w:r>
      <w:r>
        <w:t>The electrochemical chlorine evolution reaction (CER) is crucial for the chlor–alkali industry. While atomic Ru–O active sites hold great promise for the CER, they are severely hindered by instability and strong OH* poisoning. Herein, we report an interlayer‐engineered electrode where a MnO</w:t>
      </w:r>
      <w:r>
        <w:rPr>
          <w:vertAlign w:val="subscript"/>
        </w:rPr>
        <w:t>2</w:t>
      </w:r>
      <w:r>
        <w:t>nano‐interlayer epitaxially wraps a nanocone array to confine and modulate atomic Ru–O clusters. This interlayer induces strong electronic coupling via Ru‒O‒Mn‒O‒Ti linkages that spatially confine and anchor the clusters to suppress dissolution while triggering substantial interfacial electron redistribution. Crucially, this modulated electronic environment effectively promotes optimizes *Cl adsorption, thereby significantly enhancing intrinsic CER selectivity and kinetics. Consequently, the electrode achieves exceptional durability over 1200 h with negligible Ru dissolution. When integrated into a proton‐exchange‐membrane electrolyzer, the catalyst demonstrates superior activity and stability, benefiting from the hierarchical architecture that facilitates superaerophobic bubble release and enhanced mass transport. These findings establish a generalizable strategy unifying atomic confinement, electronic modulation, and transport engineering for designing durable CER electrocatalysts.</w:t>
      </w:r>
    </w:p>
    <w:p>
      <w:pPr>
        <w:spacing w:before="120" w:after="120"/>
      </w:pPr>
      <w:r>
        <w:rPr>
          <w:sz w:val="18"/>
        </w:rPr>
        <w:t>——————————————————————————————————————————————————————————————————————</w:t>
      </w:r>
    </w:p>
    <w:p>
      <w:pPr>
        <w:spacing w:before="160" w:after="40" w:line="240" w:lineRule="auto"/>
      </w:pPr>
      <w:r>
        <w:rPr>
          <w:b/>
        </w:rPr>
        <w:t xml:space="preserve">[38] </w:t>
      </w:r>
      <w:hyperlink r:id="rId408">
        <w:r>
          <w:rPr>
            <w:color w:val="1155CC"/>
            <w:u w:val="single"/>
          </w:rPr>
          <w:t>来自寄生植物浆果的高性能生物胶</w:t>
        </w:r>
      </w:hyperlink>
    </w:p>
    <w:p>
      <w:pPr>
        <w:spacing w:before="0" w:after="80"/>
      </w:pPr>
      <w:r>
        <w:rPr>
          <w:i/>
          <w:sz w:val="20"/>
        </w:rPr>
        <w:t>EN: High‐Performance Bio‐Glue From the Berries of a Parasitic Plant</w:t>
      </w:r>
    </w:p>
    <w:p>
      <w:pPr>
        <w:spacing w:before="0" w:after="120"/>
      </w:pPr>
      <w:r>
        <w:rPr>
          <w:b/>
        </w:rPr>
        <w:t xml:space="preserve">Source: </w:t>
      </w:r>
      <w:r>
        <w:t>Wiley: Advanced Materials: Table of Contents</w:t>
      </w:r>
      <w:r>
        <w:t xml:space="preserve">    </w:t>
      </w:r>
      <w:r>
        <w:rPr>
          <w:b/>
        </w:rPr>
        <w:t xml:space="preserve">Pub date: </w:t>
      </w:r>
      <w:r>
        <w:t>2026-07-29 07:04:55+00:00</w:t>
      </w:r>
      <w:r>
        <w:t xml:space="preserve">    </w:t>
      </w:r>
      <w:r>
        <w:rPr>
          <w:b/>
        </w:rPr>
        <w:t xml:space="preserve">DOI: </w:t>
      </w:r>
      <w:hyperlink r:id="rId409">
        <w:r>
          <w:rPr>
            <w:color w:val="1155CC"/>
            <w:u w:val="single"/>
          </w:rPr>
          <w:t>10.1002/adma.74322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多数商业粘合剂仍然是石油基的。尽管为开发可持续替代品付出了巨大努力，但生物基粘合剂通常需要对其成分进行化学改性，否则无法实现快速、高性能的粘合。在这里，我们报告了一种完全生物基粘合剂，主要源自从半寄生植物槲寄生的浆果中提取的（多）糖提取物（</w:t>
      </w:r>
      <w:r>
        <w:t xml:space="preserve"> </w:t>
      </w:r>
      <w:r>
        <w:t>槲寄生专辑</w:t>
      </w:r>
      <w:r>
        <w:t xml:space="preserve"> </w:t>
      </w:r>
      <w:r>
        <w:t>）。这种（多）糖提取物补充有单宁和苹果酸，无需任何进一步的化学功能化。通过热处理和快速固化的结合，所开发的粘合剂在不同的基材（包括各种类型的木材和金属、玻璃和聚四氟乙烯（特氟龙））和各种条件下表现出卓越的粘合强度。此外，如果用力分离样品，剩余的粘合剂层可以通过热处理重新激活，以实现被粘物的有效重新粘合。全生物基配方不仅能够实现多个修复周期，而且还可以提高寄生植物的价值，从而成为石油衍生粘合剂的环保、高性能替代品。</w:t>
      </w:r>
    </w:p>
    <w:p>
      <w:pPr>
        <w:spacing w:before="0" w:after="200" w:lineRule="auto" w:line="276"/>
      </w:pPr>
      <w:r>
        <w:rPr>
          <w:b/>
        </w:rPr>
        <w:t xml:space="preserve">Abstract (EN): </w:t>
      </w:r>
      <w:r>
        <w:t>Most commercial adhesives are still petroleum‐based. Despite extensive efforts to develop sustainable alternatives, bio‐based adhesives often require chemical modification of their components, or they fail to achieve rapid, high‐performance bonding. Here, we report a fully bio‐based adhesive derived primarily from a (poly)saccharide extract obtained from the berries of the hemi‐parasitic plant mistletoe (</w:t>
      </w:r>
      <w:r>
        <w:t xml:space="preserve"> </w:t>
      </w:r>
      <w:r>
        <w:t>Viscum album</w:t>
      </w:r>
      <w:r>
        <w:t xml:space="preserve"> </w:t>
      </w:r>
      <w:r>
        <w:t>). This (poly)saccharide extract is supplemented with tannic and malic acid without any further chemical functionalization. Through a combination of heat‐treatment and rapid curing, the developed adhesive exhibits remarkable bonding strength across diverse substrates—including various types of wood and metal, glass, and polytetrafluoroethylene (Teflon)—and under various conditions. Furthermore, if samples are separated by force, the remaining adhesive layers can be reactivated via heat‐treatment to allow for efficient re‐bonding of the adherends. The fully bio‐based formulation not only enables multiple repair cycles but also valorizes a parasitic plant, thereby serving as an eco‐friendly, high‐performance alternative to petroleum‐derived adhesives.</w:t>
      </w:r>
    </w:p>
    <w:p>
      <w:pPr>
        <w:spacing w:before="120" w:after="120"/>
      </w:pPr>
      <w:r>
        <w:rPr>
          <w:sz w:val="18"/>
        </w:rPr>
        <w:t>——————————————————————————————————————————————————————————————————————</w:t>
      </w:r>
    </w:p>
    <w:p>
      <w:pPr>
        <w:spacing w:before="160" w:after="40" w:line="240" w:lineRule="auto"/>
      </w:pPr>
      <w:r>
        <w:rPr>
          <w:b/>
        </w:rPr>
        <w:t xml:space="preserve">[39] </w:t>
      </w:r>
      <w:hyperlink r:id="rId227">
        <w:r>
          <w:rPr>
            <w:color w:val="1155CC"/>
            <w:u w:val="single"/>
          </w:rPr>
          <w:t>电致变色自适应太阳能加热器和低于环境的被动式日间辐射冷却器</w:t>
        </w:r>
      </w:hyperlink>
    </w:p>
    <w:p>
      <w:pPr>
        <w:spacing w:before="0" w:after="80"/>
      </w:pPr>
      <w:r>
        <w:rPr>
          <w:i/>
          <w:sz w:val="20"/>
        </w:rPr>
        <w:t>EN: Electrochromic Adaptive Solar Heater and Sub‐Ambient Passive Daytime Radiative Cooler</w:t>
      </w:r>
    </w:p>
    <w:p>
      <w:pPr>
        <w:spacing w:before="0" w:after="120"/>
      </w:pPr>
      <w:r>
        <w:rPr>
          <w:b/>
        </w:rPr>
        <w:t xml:space="preserve">Source: </w:t>
      </w:r>
      <w:r>
        <w:t>Wiley: Advanced Materials: Table of Contents</w:t>
      </w:r>
      <w:r>
        <w:t xml:space="preserve">    </w:t>
      </w:r>
      <w:r>
        <w:rPr>
          <w:b/>
        </w:rPr>
        <w:t xml:space="preserve">Pub date: </w:t>
      </w:r>
      <w:r>
        <w:t>2026-07-29 07:38:00+00:00</w:t>
      </w:r>
      <w:r>
        <w:t xml:space="preserve">    </w:t>
      </w:r>
      <w:r>
        <w:rPr>
          <w:b/>
        </w:rPr>
        <w:t xml:space="preserve">DOI: </w:t>
      </w:r>
      <w:hyperlink r:id="rId228">
        <w:r>
          <w:rPr>
            <w:color w:val="1155CC"/>
            <w:u w:val="single"/>
          </w:rPr>
          <w:t>10.1002/adma.74359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供暖、通风和空调 (HVAC) 系统是全球能源消耗的主要来源，这凸显了对节能建筑围护结构技术的迫切需求。通过利用太阳和外太空作为可持续的热力学资源，协同太阳能和辐射电致变色提供了一种有前途的解决方案。在这项研究中，我们展示了一种双模式电致变色器件，该器件能够在太阳能加热和低于环境辐射冷却之间进行可逆、非易失性切换，每年可节省 73.7 MBtu 的能源和二氧化碳</w:t>
      </w:r>
      <w:r>
        <w:rPr>
          <w:vertAlign w:val="subscript"/>
        </w:rPr>
        <w:t>2</w:t>
      </w:r>
      <w:r>
        <w:t>减少 4063 公斤二氧化碳排放量</w:t>
      </w:r>
      <w:r>
        <w:rPr>
          <w:vertAlign w:val="subscript"/>
        </w:rPr>
        <w:t>2</w:t>
      </w:r>
      <w:r>
        <w:t>在美国特定气候区。该设备在制冷模式下可实现真正的低于环境温度的被动日间辐射冷却 1°C，在白天运行时，在制热模式下可将其温度提高到环境温度以上 33°C，由电压控制。该器件在缺陷激活单层石墨烯上采用电沉积有损耗非晶 Cu-Bi 纳米团簇，在冷却（太阳能吸收率）之间产生高光学对比度</w:t>
      </w:r>
      <w:r>
        <w:t xml:space="preserve"> </w:t>
      </w:r>
      <w:r>
        <w:t>α</w:t>
      </w:r>
      <w:r>
        <w:t xml:space="preserve"> </w:t>
      </w:r>
      <w:r>
        <w:t>= 7.99%, 热发射率</w:t>
      </w:r>
      <w:r>
        <w:t xml:space="preserve"> </w:t>
      </w:r>
      <w:r>
        <w:t>ε</w:t>
      </w:r>
      <w:r>
        <w:t xml:space="preserve"> </w:t>
      </w:r>
      <w:r>
        <w:t>= 93.58%）和加热（</w:t>
      </w:r>
      <w:r>
        <w:t xml:space="preserve"> </w:t>
      </w:r>
      <w:r>
        <w:t>α</w:t>
      </w:r>
      <w:r>
        <w:t xml:space="preserve"> </w:t>
      </w:r>
      <w:r>
        <w:t>= 47.7%，</w:t>
      </w:r>
      <w:r>
        <w:t xml:space="preserve"> </w:t>
      </w:r>
      <w:r>
        <w:t>ε</w:t>
      </w:r>
      <w:r>
        <w:t xml:space="preserve"> </w:t>
      </w:r>
      <w:r>
        <w:t>= 20.14%) 模式，具有出色的长期耐用性。这项工作为可扩展、耐用和动态热调节铺平了道路，推动了可持续建筑技术的发展。</w:t>
      </w:r>
    </w:p>
    <w:p>
      <w:pPr>
        <w:spacing w:before="0" w:after="200" w:lineRule="auto" w:line="276"/>
      </w:pPr>
      <w:r>
        <w:rPr>
          <w:b/>
        </w:rPr>
        <w:t xml:space="preserve">Abstract (EN): </w:t>
      </w:r>
      <w:r>
        <w:t>Heating, ventilation, and air‐conditioning (HVAC) systems are major contributors to global energy consumption, underscoring the urgent need for energy‐efficient building envelope technologies. Synergistic solar and radiative electrochromism offers a promising solution by leveraging the sun and outer space as sustainable thermodynamic resources. In this study, we demonstrate a dual‐mode electrochromic device that enables reversible, non‐volatile switching between solar heating and sub‐ambient radiative cooling, achieving annual energy savings of 73.7 MBtu and CO</w:t>
      </w:r>
      <w:r>
        <w:rPr>
          <w:vertAlign w:val="subscript"/>
        </w:rPr>
        <w:t>2</w:t>
      </w:r>
      <w:r>
        <w:t>emission savings of 4063 kg CO</w:t>
      </w:r>
      <w:r>
        <w:rPr>
          <w:vertAlign w:val="subscript"/>
        </w:rPr>
        <w:t>2</w:t>
      </w:r>
      <w:r>
        <w:t>in specific U.S. climate zones. The device can achieve true sub‐ambient passive daytime radiative cooling by 1°C in the cooling mode and raise it by 33°C above ambient in the heating mode during daytime operation, controlled by electrical voltage. The device employs electrodeposited lossy amorphous Cu‐Bi nanoclusters on defect‐activated monolayer graphene, yielding high optical contrast between cooling (solar absorptance</w:t>
      </w:r>
      <w:r>
        <w:t xml:space="preserve"> </w:t>
      </w:r>
      <w:r>
        <w:t>α</w:t>
      </w:r>
      <w:r>
        <w:t xml:space="preserve"> </w:t>
      </w:r>
      <w:r>
        <w:t>= 7.99%, thermal emittance</w:t>
      </w:r>
      <w:r>
        <w:t xml:space="preserve"> </w:t>
      </w:r>
      <w:r>
        <w:t>ε</w:t>
      </w:r>
      <w:r>
        <w:t xml:space="preserve"> </w:t>
      </w:r>
      <w:r>
        <w:t>= 93.58%) and heating (</w:t>
      </w:r>
      <w:r>
        <w:t xml:space="preserve"> </w:t>
      </w:r>
      <w:r>
        <w:t>α</w:t>
      </w:r>
      <w:r>
        <w:t xml:space="preserve"> </w:t>
      </w:r>
      <w:r>
        <w:t>= 47.7%,</w:t>
      </w:r>
      <w:r>
        <w:t xml:space="preserve"> </w:t>
      </w:r>
      <w:r>
        <w:t>ε</w:t>
      </w:r>
      <w:r>
        <w:t xml:space="preserve"> </w:t>
      </w:r>
      <w:r>
        <w:t>= 20.14%) modes, with outstanding long‐term durability. This work paves the way for scalable, durable, and dynamic thermal regulation, advancing sustainable building technologies.</w:t>
      </w:r>
    </w:p>
    <w:p>
      <w:pPr>
        <w:spacing w:before="120" w:after="120"/>
      </w:pPr>
      <w:r>
        <w:rPr>
          <w:sz w:val="18"/>
        </w:rPr>
        <w:t>——————————————————————————————————————————————————————————————————————</w:t>
      </w:r>
    </w:p>
    <w:p>
      <w:pPr>
        <w:spacing w:before="160" w:after="40" w:line="240" w:lineRule="auto"/>
      </w:pPr>
      <w:r>
        <w:rPr>
          <w:b/>
        </w:rPr>
        <w:t xml:space="preserve">[40] </w:t>
      </w:r>
      <w:hyperlink r:id="rId410">
        <w:r>
          <w:rPr>
            <w:color w:val="1155CC"/>
            <w:u w:val="single"/>
          </w:rPr>
          <w:t>通过多级界面聚合形成的异质聚酰胺纳米膜实现精确的分子分化</w:t>
        </w:r>
      </w:hyperlink>
    </w:p>
    <w:p>
      <w:pPr>
        <w:spacing w:before="0" w:after="80"/>
      </w:pPr>
      <w:r>
        <w:rPr>
          <w:i/>
          <w:sz w:val="20"/>
        </w:rPr>
        <w:t>EN: Realizing Precise Molecular Differentiation in Heterogeneous Polyamide Nanofilms Formed via Multi‐Stage Interfacial Polymerization</w:t>
      </w:r>
    </w:p>
    <w:p>
      <w:pPr>
        <w:spacing w:before="0" w:after="120"/>
      </w:pPr>
      <w:r>
        <w:rPr>
          <w:b/>
        </w:rPr>
        <w:t xml:space="preserve">Source: </w:t>
      </w:r>
      <w:r>
        <w:t>Wiley: Advanced Materials: Table of Contents</w:t>
      </w:r>
      <w:r>
        <w:t xml:space="preserve">    </w:t>
      </w:r>
      <w:r>
        <w:rPr>
          <w:b/>
        </w:rPr>
        <w:t xml:space="preserve">Pub date: </w:t>
      </w:r>
      <w:r>
        <w:t>2026-07-29 08:12:38+00:00</w:t>
      </w:r>
      <w:r>
        <w:t xml:space="preserve">    </w:t>
      </w:r>
      <w:r>
        <w:rPr>
          <w:b/>
        </w:rPr>
        <w:t xml:space="preserve">DOI: </w:t>
      </w:r>
      <w:hyperlink r:id="rId411">
        <w:r>
          <w:rPr>
            <w:color w:val="1155CC"/>
            <w:u w:val="single"/>
          </w:rPr>
          <w:t>10.1002/adma.74320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能够精确分离溶剂中相似大小分子的高通量纳滤膜对于可持续分离至关重要。实现这种分子水平的分化需要严格控制平均孔径、孔径均匀性和膜表面电荷的性质。然而，由于其结构限制，这仍然是传统薄膜复合膜的瓶颈，这是单一液-液界面上界面聚合的结果。在此，报道了一种表面活性剂介导的多级界面聚合，形成三层聚酰胺纳米膜，该纳米膜沿其厚度以复合膜的形式具有结构异质性。这种三层结构形成为液-液界面的模具，由三个不同的反应区和两个子界面定义。多级界面聚合可以精确控制纳米膜的厚度、交联度和平均孔径。所得纳米膜复合膜表现出高甲醇渗透性（8.3 Lm</w:t>
      </w:r>
      <w:r>
        <w:t xml:space="preserve"> </w:t>
      </w:r>
      <w:r>
        <w:t>−2</w:t>
      </w:r>
      <w:r>
        <w:t xml:space="preserve"> </w:t>
      </w:r>
      <w:r>
        <w:t>小时</w:t>
      </w:r>
      <w:r>
        <w:t xml:space="preserve"> </w:t>
      </w:r>
      <w:r>
        <w:t>−1</w:t>
      </w:r>
      <w:r>
        <w:t xml:space="preserve"> </w:t>
      </w:r>
      <w:r>
        <w:t>酒吧</w:t>
      </w:r>
      <w:r>
        <w:t xml:space="preserve"> </w:t>
      </w:r>
      <w:r>
        <w:t>−1</w:t>
      </w:r>
      <w:r>
        <w:t xml:space="preserve"> </w:t>
      </w:r>
      <w:r>
        <w:t>），高效的富含甲醇的混合溶剂分离，以及两种相似大小的分子（偶氮苯和中性红）之间的精确分子区分，具有 &gt;480 的极高选择性。这种选择性超越了最先进的有机溶剂纳滤膜（OSN）。的组合</w:t>
      </w:r>
    </w:p>
    <w:p>
      <w:pPr>
        <w:spacing w:before="0" w:after="200" w:lineRule="auto" w:line="276"/>
      </w:pPr>
      <w:r>
        <w:rPr>
          <w:b/>
        </w:rPr>
        <w:t xml:space="preserve">Abstract (EN): </w:t>
      </w:r>
      <w:r>
        <w:t>High‐flux nanofiltration membranes capable of precisely separating similar‐sized molecules in solvents are essential for sustainable separations. Realizing such molecular‐level differentiation requires stringent control over mean pore size, pore uniformity, and the nature of the surface charge of the membrane. However, this remains a bottleneck in conventional thin‐film composite membranes due to their structural limitations, as a outcome of the interfacial polymerization at a single liquid‐liquid interface. Here, a surfactant‐mediated multi‐stage interfacial polymerization forming a tri‐layer polyamide nanofilm with structural heterogeneity along its thickness in the form of a composite membrane is reported. This tri‐layer structure is formed as a mould of the liquid‐liquid interface defined by three distinct reaction zones with two sub‐interfaces. The multi‐stage interfacial polymerization enables precise control over the thickness, degree of crosslinking, and the mean pore size of the nanofilms. The resulting nanofilm composite membranes show high methanol permeance (8.3 Lm</w:t>
      </w:r>
      <w:r>
        <w:t xml:space="preserve"> </w:t>
      </w:r>
      <w:r>
        <w:t>−2</w:t>
      </w:r>
      <w:r>
        <w:t xml:space="preserve"> </w:t>
      </w:r>
      <w:r>
        <w:t>h</w:t>
      </w:r>
      <w:r>
        <w:t xml:space="preserve"> </w:t>
      </w:r>
      <w:r>
        <w:t>−1</w:t>
      </w:r>
      <w:r>
        <w:t xml:space="preserve"> </w:t>
      </w:r>
      <w:r>
        <w:t>bar</w:t>
      </w:r>
      <w:r>
        <w:t xml:space="preserve"> </w:t>
      </w:r>
      <w:r>
        <w:t>−1</w:t>
      </w:r>
      <w:r>
        <w:t xml:space="preserve"> </w:t>
      </w:r>
      <w:r>
        <w:t>), efficient methanol‐rich mixed solvent separation, and precise molecular differentiation between two similar‐sized molecules (azobenzene and neutral red) with an extremely high selectivity of &amp;gt;480. This selectivity surpasses that of state‐of‐the‐art organic‐solvent‐nanofiltration membranes (OSN). The combination of outstanding separation performance and scalable fabrication establishes a strategy for the rational design of application‐specific OSN membranes.</w:t>
      </w:r>
    </w:p>
    <w:p>
      <w:pPr>
        <w:spacing w:before="120" w:after="120"/>
      </w:pPr>
      <w:r>
        <w:rPr>
          <w:sz w:val="18"/>
        </w:rPr>
        <w:t>——————————————————————————————————————————————————————————————————————</w:t>
      </w:r>
    </w:p>
    <w:p>
      <w:pPr>
        <w:spacing w:before="160" w:after="40" w:line="240" w:lineRule="auto"/>
      </w:pPr>
      <w:r>
        <w:rPr>
          <w:b/>
        </w:rPr>
        <w:t xml:space="preserve">[41] </w:t>
      </w:r>
      <w:hyperlink r:id="rId412">
        <w:r>
          <w:rPr>
            <w:color w:val="1155CC"/>
            <w:u w:val="single"/>
          </w:rPr>
          <w:t>二维六氯苯片单晶共价有机框架的三框架异构和高效乙烷/乙烯分离</w:t>
        </w:r>
      </w:hyperlink>
    </w:p>
    <w:p>
      <w:pPr>
        <w:spacing w:before="0" w:after="80"/>
      </w:pPr>
      <w:r>
        <w:rPr>
          <w:i/>
          <w:sz w:val="20"/>
        </w:rPr>
        <w:t>EN: Triple Framework Isomerism and Efficient Ethane/Ethylene Separation of Single‐Crystal Covalent Organic Frameworks With 2D hcb Sheets</w:t>
      </w:r>
    </w:p>
    <w:p>
      <w:pPr>
        <w:spacing w:before="0" w:after="120"/>
      </w:pPr>
      <w:r>
        <w:rPr>
          <w:b/>
        </w:rPr>
        <w:t xml:space="preserve">Source: </w:t>
      </w:r>
      <w:r>
        <w:t>Wiley: Angewandte Chemie International Edition: Table of Contents</w:t>
      </w:r>
      <w:r>
        <w:t xml:space="preserve">    </w:t>
      </w:r>
      <w:r>
        <w:rPr>
          <w:b/>
        </w:rPr>
        <w:t xml:space="preserve">Pub date: </w:t>
      </w:r>
      <w:r>
        <w:t>2026-07-29 14:23:18+00:00</w:t>
      </w:r>
      <w:r>
        <w:t xml:space="preserve">    </w:t>
      </w:r>
      <w:r>
        <w:rPr>
          <w:b/>
        </w:rPr>
        <w:t xml:space="preserve">DOI: </w:t>
      </w:r>
      <w:hyperlink r:id="rId413">
        <w:r>
          <w:rPr>
            <w:color w:val="1155CC"/>
            <w:u w:val="single"/>
          </w:rPr>
          <w:t>10.1002/anie.5362334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构建具有原子分辨率结构的三重框架异构具有重要意义，但对于共价有机框架（COF）仍然具有挑战性。在此，1,3,5-三甲基-2,4,6-三(4-氨基苯基)苯与1,3,5-三乙基-2,4,6-三(4-甲酰苯基)苯的[3+3]亚胺缩合得到三种单晶COF异构体，其中</w:t>
      </w:r>
      <w:r>
        <w:t xml:space="preserve"> </w:t>
      </w:r>
      <w:r>
        <w:t>六氯苯</w:t>
      </w:r>
      <w:r>
        <w:t xml:space="preserve"> </w:t>
      </w:r>
      <w:r>
        <w:t>网。他们的AB</w:t>
      </w:r>
      <w:r>
        <w:t xml:space="preserve"> </w:t>
      </w:r>
      <w:r>
        <w:t>六氯苯</w:t>
      </w:r>
      <w:r>
        <w:t xml:space="preserve"> </w:t>
      </w:r>
      <w:r>
        <w:t>堆叠、双[2D+2D]和三[2D+2D+2D]交叉纠缠结构已通过3D电子衍射得到解决。在三种去溶剂化的 COF 中，GZU-4a 表现出最高的乙烷吸收量（100.7 cm</w:t>
      </w:r>
      <w:r>
        <w:rPr>
          <w:vertAlign w:val="subscript"/>
        </w:rPr>
        <w:t>3</w:t>
      </w:r>
      <w:r>
        <w:t>克</w:t>
      </w:r>
      <w:r>
        <w:t xml:space="preserve"> </w:t>
      </w:r>
      <w:r>
        <w:t>−1</w:t>
      </w:r>
      <w:r>
        <w:t xml:space="preserve"> </w:t>
      </w:r>
      <w:r>
        <w:t>）和乙烷/乙烯选择性（1.6），从而能够在动态突破性实验中一步生产高纯度乙烯（&gt; 99.99％）。优越的逆分离性能源于其刚性的非互穿框架和优化的孔隙限制以增强乙烷结合。这项工作不仅提出了具有从非互穿到倾斜互穿的二维网络原子分辨率结构的三重同分异构COF的前所未有的例子，而且还显示出乙烷相对于乙烯的逆吸附选择性，极大地丰富了COF的多样性。</w:t>
      </w:r>
    </w:p>
    <w:p>
      <w:pPr>
        <w:spacing w:before="0" w:after="200" w:lineRule="auto" w:line="276"/>
      </w:pPr>
      <w:r>
        <w:rPr>
          <w:b/>
        </w:rPr>
        <w:t xml:space="preserve">Abstract (EN): </w:t>
      </w:r>
      <w:r>
        <w:t>Constructing triple framework isomerism with atom‐resolution structures is of great significance but remains highly challenging for covalent organic frameworks (COFs). Herein, [3+3] imine condensation of 1,3,5‐trimethyl‐2,4,6‐tris(4‐aminophenyl)benzene with 1,3,5‐triethyl‐2,4,6‐tris(4‐formylphenyl)benzene affords three single‐crystal COF isomers composed of</w:t>
      </w:r>
      <w:r>
        <w:t xml:space="preserve"> </w:t>
      </w:r>
      <w:r>
        <w:t>hcb</w:t>
      </w:r>
      <w:r>
        <w:t xml:space="preserve"> </w:t>
      </w:r>
      <w:r>
        <w:t>nets. Their AB</w:t>
      </w:r>
      <w:r>
        <w:t xml:space="preserve"> </w:t>
      </w:r>
      <w:r>
        <w:t>hcb</w:t>
      </w:r>
      <w:r>
        <w:t xml:space="preserve"> </w:t>
      </w:r>
      <w:r>
        <w:t>stacking, double [2D+2D], and triple [2D+2D+2D] crossing entangled structures have been resolved by 3D electron diffraction. Among the three desolvated COFs, GZU‐4a exhibits the highest ethane uptake (100.7 cm</w:t>
      </w:r>
      <w:r>
        <w:rPr>
          <w:vertAlign w:val="subscript"/>
        </w:rPr>
        <w:t>3</w:t>
      </w:r>
      <w:r>
        <w:t>g</w:t>
      </w:r>
      <w:r>
        <w:t xml:space="preserve"> </w:t>
      </w:r>
      <w:r>
        <w:t>−1</w:t>
      </w:r>
      <w:r>
        <w:t xml:space="preserve"> </w:t>
      </w:r>
      <w:r>
        <w:t>) and ethane/ethylene selectivity (1.6), enabling one‐step production of high‐purity ethylene (&amp;gt;99.99%) in dynamic breakthrough experiments. The superior and inverse separation performance originates from its rigid non‐interpenetrated framework with optimized pore confinement for strengthened ethane binding. This work not only presents an unprecedented example of triple isomeric COFs with atom‐resolution structures from non‐interpenetration to inclined interpenetration of 2D nets, but also shows an inverse adsorption selectivity for ethane over ethylene, greatly enriching the diversity of COFs.</w:t>
      </w:r>
    </w:p>
    <w:p>
      <w:pPr>
        <w:spacing w:before="120" w:after="120"/>
      </w:pPr>
      <w:r>
        <w:rPr>
          <w:sz w:val="18"/>
        </w:rPr>
        <w:t>——————————————————————————————————————————————————————————————————————</w:t>
      </w:r>
    </w:p>
    <w:p>
      <w:pPr>
        <w:spacing w:before="160" w:after="40" w:line="240" w:lineRule="auto"/>
      </w:pPr>
      <w:r>
        <w:rPr>
          <w:b/>
        </w:rPr>
        <w:t xml:space="preserve">[42] </w:t>
      </w:r>
      <w:hyperlink r:id="rId414">
        <w:r>
          <w:rPr>
            <w:color w:val="1155CC"/>
            <w:u w:val="single"/>
          </w:rPr>
          <w:t>NATTrek：一种网络感知轨迹游戏化视觉框架，用于在馈线限制下合作电动车队充电</w:t>
        </w:r>
      </w:hyperlink>
    </w:p>
    <w:p>
      <w:pPr>
        <w:spacing w:before="0" w:after="80"/>
      </w:pPr>
      <w:r>
        <w:rPr>
          <w:i/>
          <w:sz w:val="20"/>
        </w:rPr>
        <w:t>EN: NATTrek: A network-aware trajectory gamified visual framework for cooperative EV fleet charging under feeder constraints</w:t>
      </w:r>
    </w:p>
    <w:p>
      <w:pPr>
        <w:spacing w:before="0" w:after="120"/>
      </w:pPr>
      <w:r>
        <w:rPr>
          <w:b/>
        </w:rPr>
        <w:t xml:space="preserve">Source: </w:t>
      </w:r>
      <w:r>
        <w:t>ScienceDirect Publication: Applied Energy</w:t>
      </w:r>
      <w:r>
        <w:t xml:space="preserve">    </w:t>
      </w:r>
      <w:r>
        <w:rPr>
          <w:b/>
        </w:rPr>
        <w:t xml:space="preserve">Pub date: </w:t>
      </w:r>
      <w:r>
        <w:t>2026-07-30 00:00:00+00:00</w:t>
      </w:r>
      <w:r>
        <w:t xml:space="preserve">    </w:t>
      </w:r>
      <w:r>
        <w:rPr>
          <w:b/>
        </w:rPr>
        <w:t xml:space="preserve">DOI: </w:t>
      </w:r>
      <w:hyperlink r:id="rId415">
        <w:r>
          <w:rPr>
            <w:color w:val="1155CC"/>
            <w:u w:val="single"/>
          </w:rPr>
          <w:t>10.1016/j.apenergy.2026.128526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 </w:t>
      </w:r>
      <w:hyperlink r:id="rId416">
        <w:r>
          <w:rPr>
            <w:color w:val="1155CC"/>
            <w:u w:val="single"/>
          </w:rPr>
          <w:t>实现无碳能源系统的途径：技术进步、政策障碍和综合脱碳战略</w:t>
        </w:r>
      </w:hyperlink>
    </w:p>
    <w:p>
      <w:pPr>
        <w:spacing w:before="0" w:after="80"/>
      </w:pPr>
      <w:r>
        <w:rPr>
          <w:i/>
          <w:sz w:val="20"/>
        </w:rPr>
        <w:t>EN: Pathways towards a carbon-free energy system: Technological advances, policy barriers, and integrated decarbonization strategies</w:t>
      </w:r>
    </w:p>
    <w:p>
      <w:pPr>
        <w:spacing w:before="0" w:after="120"/>
      </w:pPr>
      <w:r>
        <w:rPr>
          <w:b/>
        </w:rPr>
        <w:t xml:space="preserve">Source: </w:t>
      </w:r>
      <w:r>
        <w:t>ScienceDirect Publication: Applied Energy</w:t>
      </w:r>
      <w:r>
        <w:t xml:space="preserve">    </w:t>
      </w:r>
      <w:r>
        <w:rPr>
          <w:b/>
        </w:rPr>
        <w:t xml:space="preserve">Pub date: </w:t>
      </w:r>
      <w:r>
        <w:t>2026-07-30 00:00:00+00:00</w:t>
      </w:r>
      <w:r>
        <w:t xml:space="preserve">    </w:t>
      </w:r>
      <w:r>
        <w:rPr>
          <w:b/>
        </w:rPr>
        <w:t xml:space="preserve">DOI: </w:t>
      </w:r>
      <w:hyperlink r:id="rId417">
        <w:r>
          <w:rPr>
            <w:color w:val="1155CC"/>
            <w:u w:val="single"/>
          </w:rPr>
          <w:t>10.1016/j.apenergy.2026.128548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 </w:t>
      </w:r>
      <w:hyperlink r:id="rId418">
        <w:r>
          <w:rPr>
            <w:color w:val="1155CC"/>
            <w:u w:val="single"/>
          </w:rPr>
          <w:t>从企业净零承诺到可信的气候行动</w:t>
        </w:r>
      </w:hyperlink>
    </w:p>
    <w:p>
      <w:pPr>
        <w:spacing w:before="0" w:after="80"/>
      </w:pPr>
      <w:r>
        <w:rPr>
          <w:i/>
          <w:sz w:val="20"/>
        </w:rPr>
        <w:t>EN: From corporate net-zero pledges to credible climate action</w:t>
      </w:r>
    </w:p>
    <w:p>
      <w:pPr>
        <w:spacing w:before="0" w:after="120"/>
      </w:pPr>
      <w:r>
        <w:rPr>
          <w:b/>
        </w:rPr>
        <w:t xml:space="preserve">Source: </w:t>
      </w:r>
      <w:r>
        <w:t>Nature Sustainability</w:t>
      </w:r>
      <w:r>
        <w:t xml:space="preserve">    </w:t>
      </w:r>
      <w:r>
        <w:rPr>
          <w:b/>
        </w:rPr>
        <w:t xml:space="preserve">Pub date: </w:t>
      </w:r>
      <w:r>
        <w:t>2026-07-30 00:00:00+00:00</w:t>
      </w:r>
      <w:r>
        <w:t xml:space="preserve">    </w:t>
      </w:r>
      <w:r>
        <w:rPr>
          <w:b/>
        </w:rPr>
        <w:t xml:space="preserve">DOI: </w:t>
      </w:r>
      <w:hyperlink r:id="rId419">
        <w:r>
          <w:rPr>
            <w:color w:val="1155CC"/>
            <w:u w:val="single"/>
          </w:rPr>
          <w:t>10.1038/s41893-026-01908-6</w:t>
        </w:r>
      </w:hyperlink>
    </w:p>
    <w:p>
      <w:pPr>
        <w:spacing w:before="0" w:after="120"/>
      </w:pPr>
      <w:r>
        <w:rPr>
          <w:b/>
        </w:rPr>
        <w:t xml:space="preserve">Notes: </w:t>
      </w:r>
      <w:r>
        <w:t>abstract_source=rss_nature</w:t>
      </w:r>
    </w:p>
    <w:p>
      <w:pPr>
        <w:spacing w:before="0" w:after="80" w:lineRule="auto" w:line="276"/>
      </w:pPr>
      <w:r>
        <w:rPr>
          <w:b/>
        </w:rPr>
        <w:t xml:space="preserve">摘要（ZH）: </w:t>
      </w:r>
      <w:r>
        <w:t>尽管企业的净零承诺已变得流行，但有证据表明它们并没有对现实世界产生影响，很可能是因为它们缺乏确保可信度和完整性的科学基础。本观点提出了解决该问题的科学框架。</w:t>
      </w:r>
    </w:p>
    <w:p>
      <w:pPr>
        <w:spacing w:before="0" w:after="200" w:lineRule="auto" w:line="276"/>
      </w:pPr>
      <w:r>
        <w:rPr>
          <w:b/>
        </w:rPr>
        <w:t xml:space="preserve">Abstract (EN): </w:t>
      </w:r>
      <w:r>
        <w:t>Although corporate net-zero pledges have become popular, evidence suggests they are not having real-world impacts, most probably because they lack a scientific foundation to ensure credibility and integrity. This Perspective presents a scientific framework to address the issue.</w:t>
      </w:r>
    </w:p>
    <w:p>
      <w:pPr>
        <w:spacing w:before="120" w:after="120"/>
      </w:pPr>
      <w:r>
        <w:rPr>
          <w:sz w:val="18"/>
        </w:rPr>
        <w:t>——————————————————————————————————————————————————————————————————————</w:t>
      </w:r>
    </w:p>
    <w:p>
      <w:pPr>
        <w:spacing w:before="160" w:after="40" w:line="240" w:lineRule="auto"/>
      </w:pPr>
      <w:r>
        <w:rPr>
          <w:b/>
        </w:rPr>
        <w:t xml:space="preserve">[45] </w:t>
      </w:r>
      <w:hyperlink r:id="rId420">
        <w:r>
          <w:rPr>
            <w:color w:val="1155CC"/>
            <w:u w:val="single"/>
          </w:rPr>
          <w:t>质子化的硅酸钙石前体增强了水泥水化的成核和生长</w:t>
        </w:r>
      </w:hyperlink>
    </w:p>
    <w:p>
      <w:pPr>
        <w:spacing w:before="0" w:after="80"/>
      </w:pPr>
      <w:r>
        <w:rPr>
          <w:i/>
          <w:sz w:val="20"/>
        </w:rPr>
        <w:t>EN: Protonated portlandite precursor unlocks enhanced nucleation and growth for cement hydration</w:t>
      </w:r>
    </w:p>
    <w:p>
      <w:pPr>
        <w:spacing w:before="0" w:after="120"/>
      </w:pPr>
      <w:r>
        <w:rPr>
          <w:b/>
        </w:rPr>
        <w:t xml:space="preserve">Source: </w:t>
      </w:r>
      <w:r>
        <w:t>Physical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硅酸钙水合物（C-S-H）和氢氧化钙（CH，波特兰石）是波特兰水泥的主要水化产物。然而，各向异性的层状CH以及C-S-H和CH的不协调成核严重限制了胶凝材料的宏观性能。在这里，我们报告了一种氢键调节的质子转移策略，用于机械化学合成带正电、各向同性的无序 CH 前体 (CHP_H+)。该前驱体充当生长加速核，触发 CH 和 C-S-H 的双重异质成核，原位形成 CH@C-S-H 复合材料。自由能计算表明，CH 表面上的羟基空位驱动自发的水吸附，生成 ≡Ca−OH2+ 位点，从而稳定硅酸盐簇并促进复合材料生长。由此产生的水泥材料表现出加速的水化动力学、更高的水化放热、以及大大改善的弹性模量和压缩强度，12小时强度比对照提高了5.4倍。这项工作通过质子化调节重新编程水化产物的成核和生长路径，为先进胶凝材料提供了原子尺度的设计原理。</w:t>
      </w:r>
    </w:p>
    <w:p>
      <w:pPr>
        <w:spacing w:before="0" w:after="200" w:lineRule="auto" w:line="276"/>
      </w:pPr>
      <w:r>
        <w:rPr>
          <w:b/>
        </w:rPr>
        <w:t xml:space="preserve">Abstract (EN): </w:t>
      </w:r>
      <w:r>
        <w:t>Calcium silicate hydrate (C-S-H) and calcium hydroxide (CH, portlandite) are the dominant hydration products of Portland cement. However, the anisotropic layered CH and uncoordinated nucleation of C-S-H and CH severely restrict the macroscopic performance of cementitious materials. Here, we report a hydrogen-bond-regulated proton transfer strategy to mechanochemically synthesize a positively charged, isotropic disordered CH precursor (CHP_H+). This precursor serves as a growth-accelerating nucleus to trigger dual heterogeneous nucleation of CH and C-S-H, in situ forming a CH@C-S-H composite. Free energy calculations reveal that hydroxyl vacancies on CH surfaces drive spontaneous water adsorption to generate ≡Ca−OH2+ sites, which stabilize silicate clusters and promote composite growth. The resulting cementitious material shows accelerated hydration kinetics, higher hydration heat release, and greatly improved elastic modulus and compressive strength, delivering a 5.4-fold improvement in 12 h strength over the control. This work provides an atomic-scale design principle for advanced cementitious materials by reprogramming the nucleation and growth pathways of hydration products via protonation regulation.</w:t>
      </w:r>
    </w:p>
    <w:p>
      <w:pPr>
        <w:spacing w:before="120" w:after="120"/>
      </w:pPr>
      <w:r>
        <w:rPr>
          <w:sz w:val="18"/>
        </w:rPr>
        <w:t>——————————————————————————————————————————————————————————————————————</w:t>
      </w:r>
    </w:p>
    <w:p>
      <w:pPr>
        <w:spacing w:before="160" w:after="40" w:line="240" w:lineRule="auto"/>
      </w:pPr>
      <w:r>
        <w:rPr>
          <w:b/>
        </w:rPr>
        <w:t xml:space="preserve">[46] </w:t>
      </w:r>
      <w:hyperlink r:id="rId421">
        <w:r>
          <w:rPr>
            <w:color w:val="1155CC"/>
            <w:u w:val="single"/>
          </w:rPr>
          <w:t>用于高效增材制造金属层压板的环形夹具增材搅拌摩擦沉积方法</w:t>
        </w:r>
      </w:hyperlink>
    </w:p>
    <w:p>
      <w:pPr>
        <w:spacing w:before="0" w:after="80"/>
      </w:pPr>
      <w:r>
        <w:rPr>
          <w:i/>
          <w:sz w:val="20"/>
        </w:rPr>
        <w:t>EN: A ring-jig additive friction stir deposition method for efficient additive manufacturing of metal laminates</w:t>
      </w:r>
    </w:p>
    <w:p>
      <w:pPr>
        <w:spacing w:before="0" w:after="120"/>
      </w:pPr>
      <w:r>
        <w:rPr>
          <w:b/>
        </w:rPr>
        <w:t xml:space="preserve">Source: </w:t>
      </w:r>
      <w:r>
        <w:t>Physical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金属增材制造 (AM) 因其生产高混合、小批量、米级部件而受到关注，特别是在工业应用中。然而，传统的增材制造需要高能量输入、昂贵的粉末和较长的处理时间，限制了可扩展性和成本效益。为了克服这些挑战，人们正在探索固态增材制造方法，以降低能耗和提高构建速度。这项研究提出了一种源自摩擦表面处理的固态增材制造技术，其中通过旋转金属棒和基材之间的直接摩擦形成均匀的层。该方法的最大构建速率为8,000 cm3 h−1，而基于融合的AM方法最大可实现800 cm3 h−1，而传统的固态AM方法最大可实现2400 cm3 h−1。与其他工艺相比，所提出的方法显着提高了沉积速度。该方法将高构建率与良好的界面结合相结合，为大型结构金属部件的可扩展、经济高效的生产提供了一种有前途的方法。</w:t>
      </w:r>
    </w:p>
    <w:p>
      <w:pPr>
        <w:spacing w:before="0" w:after="200" w:lineRule="auto" w:line="276"/>
      </w:pPr>
      <w:r>
        <w:rPr>
          <w:b/>
        </w:rPr>
        <w:t xml:space="preserve">Abstract (EN): </w:t>
      </w:r>
      <w:r>
        <w:t>Metal additive manufacturing (AM) has attracted attention for producing high-mix, low-volume, meter-scale components, especially for industrial applications. However, conventional AM requires high-energy input, expensive powders, and long processing times, limiting scalability and cost-effectiveness. To overcome these challenges, solid-state AM methods are being explored for lower energy use and higher build rates. This study presents a solid-state AM technique derived from friction surfacing, in which uniform layers are formed by direct friction between a rotating metal bar and a substrate. The proposed method achieves a maximum build rate of 8,000 cm³ h−1, while fusion-based AM method achieves 800 cm3 h−1 and conventional solid-state AM method achieves 2400 cm3 h−1 in maximum. Compared with other processes, the proposed method offers significant gains in deposition speed. Combining high build rate with sound interfacial bonding, the proposed method provides a promising approach for scalable, cost-effective production of large structural metal components.</w:t>
      </w:r>
    </w:p>
    <w:p>
      <w:pPr>
        <w:spacing w:before="120" w:after="120"/>
      </w:pPr>
      <w:r>
        <w:rPr>
          <w:sz w:val="18"/>
        </w:rPr>
        <w:t>——————————————————————————————————————————————————————————————————————</w:t>
      </w:r>
    </w:p>
    <w:p>
      <w:pPr>
        <w:spacing w:before="160" w:after="40" w:line="240" w:lineRule="auto"/>
      </w:pPr>
      <w:r>
        <w:rPr>
          <w:b/>
        </w:rPr>
        <w:t xml:space="preserve">[47] </w:t>
      </w:r>
      <w:hyperlink r:id="rId233">
        <w:r>
          <w:rPr>
            <w:color w:val="1155CC"/>
            <w:u w:val="single"/>
          </w:rPr>
          <w:t>定向热发射可实现高效节能</w:t>
        </w:r>
      </w:hyperlink>
    </w:p>
    <w:p>
      <w:pPr>
        <w:spacing w:before="0" w:after="80"/>
      </w:pPr>
      <w:r>
        <w:rPr>
          <w:i/>
          <w:sz w:val="20"/>
        </w:rPr>
        <w:t>EN: Directional thermal emission enables efficient energy savings</w:t>
      </w:r>
    </w:p>
    <w:p>
      <w:pPr>
        <w:spacing w:before="0" w:after="120"/>
      </w:pPr>
      <w:r>
        <w:rPr>
          <w:b/>
        </w:rPr>
        <w:t xml:space="preserve">Source: </w:t>
      </w:r>
      <w:r>
        <w:t>Physical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热辐射是一种基本的传热机制，对于各种应用中的能量交换至关重要。然而，传统的辐射传热系统依赖于全向热辐射，导致能量在不期望的方向上耗散并限制了辐射传热效率。在这里，我们证明发射器和吸收器之间完美匹配的定向热发射可以达到高达 100% 的理论效率。在平行板配置中，用定制定向系统替换传统系统可将效率从 29% 提高到 100%。我们进一步通过实验证明，定向辐射传热在真空条件下可实现 67.8% 的节能，在非真空条件下可实现 28.7% 的节能。此外，定向辐射传热可以在车辆加热、车漆干燥、人体加热、轨道车辆解冻等多种场景下实现高效加热，实现17-46%的节能。我们的工作凸显了定向辐射传热的广泛适用性和节能潜力，为高效能源利用开辟了新途径。</w:t>
      </w:r>
    </w:p>
    <w:p>
      <w:pPr>
        <w:spacing w:before="0" w:after="200" w:lineRule="auto" w:line="276"/>
      </w:pPr>
      <w:r>
        <w:rPr>
          <w:b/>
        </w:rPr>
        <w:t xml:space="preserve">Abstract (EN): </w:t>
      </w:r>
      <w:r>
        <w:t>Thermal radiation, a fundamental heat transfer mechanism, is crucial for energy exchange across various applications. However, conventional radiative heat transfer systems rely on omnidirectional thermal radiation, causing energy dissipation in undesired directions and limiting radiative heat transfer efficiency. Here, we show that perfectly matched directional thermal emission between an emitter and absorber can reach a theoretical efficiency up to 100%. In a parallel-plate configuration, replacing a conventional system with a customized directional system raises efficiency from 29% to 100%. We further experimentally demonstrate directional radiative heat transfer realizes substantial energy savings of 67.8% in vacuum and 28.7% in non-vacuum conditions. Moreover, directional radiative heat transfer enables efficient heating in diverse scenarios, including vehicle heating, car paint drying, human body heating, and rail car thawing, achieving 17–46% energy savings. Our work highlights the broad applicability and energy-saving potential of directional radiative heat transfer, opening new avenues for efficient energy utilization.</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356">
        <w:r>
          <w:rPr>
            <w:color w:val="1155CC"/>
            <w:u w:val="single"/>
          </w:rPr>
          <w:t>稳定气候所需的净零以下</w:t>
        </w:r>
      </w:hyperlink>
    </w:p>
    <w:p>
      <w:pPr>
        <w:spacing w:before="0" w:after="80"/>
      </w:pPr>
      <w:r>
        <w:rPr>
          <w:i/>
          <w:sz w:val="20"/>
        </w:rPr>
        <w:t>EN: Less than net zero needed to stabilize climate</w:t>
      </w:r>
    </w:p>
    <w:p>
      <w:pPr>
        <w:spacing w:before="0" w:after="120"/>
      </w:pPr>
      <w:r>
        <w:rPr>
          <w:b/>
        </w:rPr>
        <w:t xml:space="preserve">Source: </w:t>
      </w:r>
      <w:r>
        <w:t>Nature Climate Change</w:t>
      </w:r>
      <w:r>
        <w:t xml:space="preserve">    </w:t>
      </w:r>
      <w:r>
        <w:rPr>
          <w:b/>
        </w:rPr>
        <w:t xml:space="preserve">Pub date: </w:t>
      </w:r>
      <w:r>
        <w:t>2026-07-24 00:00:00+00:00</w:t>
      </w:r>
      <w:r>
        <w:t xml:space="preserve">    </w:t>
      </w:r>
      <w:r>
        <w:rPr>
          <w:b/>
        </w:rPr>
        <w:t xml:space="preserve">DOI: </w:t>
      </w:r>
      <w:hyperlink r:id="rId357">
        <w:r>
          <w:rPr>
            <w:color w:val="1155CC"/>
            <w:u w:val="single"/>
          </w:rPr>
          <w:t>10.1038/s41558-026-02708-8</w:t>
        </w:r>
      </w:hyperlink>
    </w:p>
    <w:p>
      <w:pPr>
        <w:spacing w:before="0" w:after="120"/>
      </w:pPr>
      <w:r>
        <w:rPr>
          <w:b/>
        </w:rPr>
        <w:t xml:space="preserve">Notes: </w:t>
      </w:r>
      <w:r>
        <w:t>abstract_source=rss_nature</w:t>
      </w:r>
    </w:p>
    <w:p>
      <w:pPr>
        <w:spacing w:before="0" w:after="80" w:lineRule="auto" w:line="276"/>
      </w:pPr>
      <w:r>
        <w:rPr>
          <w:b/>
        </w:rPr>
        <w:t xml:space="preserve">摘要（ZH）: </w:t>
      </w:r>
      <w:r>
        <w:t>温室气体排放停止后，全球温度在很长一段时间内的变化并没有得到很好的限制。现在，研究表明全球持续变冷，特别是如果负二氧化碳排放量能够补偿持续的甲烷和氧化亚氮排放量的话。</w:t>
      </w:r>
    </w:p>
    <w:p>
      <w:pPr>
        <w:spacing w:before="0" w:after="200" w:lineRule="auto" w:line="276"/>
      </w:pPr>
      <w:r>
        <w:rPr>
          <w:b/>
        </w:rPr>
        <w:t xml:space="preserve">Abstract (EN): </w:t>
      </w:r>
      <w:r>
        <w:t>Global temperature change over long times after cessation of greenhouse gas emissions is not well constrained. Now, research shows a consistent global cooling, especially if negative CO2 emissions compensate for continued CH4 and N2O emissions.</w:t>
      </w:r>
    </w:p>
    <w:p>
      <w:pPr>
        <w:spacing w:before="120" w:after="120"/>
      </w:pPr>
      <w:r>
        <w:rPr>
          <w:sz w:val="18"/>
        </w:rPr>
        <w:t>——————————————————————————————————————————————————————————————————————</w:t>
      </w:r>
    </w:p>
    <w:p>
      <w:pPr>
        <w:spacing w:before="160" w:after="40" w:line="240" w:lineRule="auto"/>
      </w:pPr>
      <w:r>
        <w:rPr>
          <w:b/>
        </w:rPr>
        <w:t xml:space="preserve">[2] </w:t>
      </w:r>
      <w:hyperlink r:id="rId360">
        <w:r>
          <w:rPr>
            <w:color w:val="1155CC"/>
            <w:u w:val="single"/>
          </w:rPr>
          <w:t>中国铝工业脱碳：碳捕集、利用和封存与可再生能源技术协同的综合评估</w:t>
        </w:r>
      </w:hyperlink>
    </w:p>
    <w:p>
      <w:pPr>
        <w:spacing w:before="0" w:after="80"/>
      </w:pPr>
      <w:r>
        <w:rPr>
          <w:i/>
          <w:sz w:val="20"/>
        </w:rPr>
        <w:t>EN: Decarbonizing China's aluminium industry: a comprehensive assessment of synergistic carbon capture, utilization, and storage with renewable energy technologies</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361">
        <w:r>
          <w:rPr>
            <w:color w:val="1155CC"/>
            <w:u w:val="single"/>
          </w:rPr>
          <w:t>10.1016/j.apenergy.2026.128454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250">
        <w:r>
          <w:rPr>
            <w:color w:val="1155CC"/>
            <w:u w:val="single"/>
          </w:rPr>
          <w:t>一种利用详细过程模型优化 power-to-X 能源系统运行的分解方法</w:t>
        </w:r>
      </w:hyperlink>
    </w:p>
    <w:p>
      <w:pPr>
        <w:spacing w:before="0" w:after="80"/>
      </w:pPr>
      <w:r>
        <w:rPr>
          <w:i/>
          <w:sz w:val="20"/>
        </w:rPr>
        <w:t>EN: A decomposition method for optimizing the operation of power-to-X energy systems with detailed process models</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251">
        <w:r>
          <w:rPr>
            <w:color w:val="1155CC"/>
            <w:u w:val="single"/>
          </w:rPr>
          <w:t>10.1016/j.apenergy.2026.128445</w:t>
        </w:r>
      </w:hyperlink>
    </w:p>
    <w:p>
      <w:pPr>
        <w:spacing w:before="0" w:after="120"/>
      </w:pPr>
      <w:r>
        <w:rPr>
          <w:b/>
        </w:rPr>
        <w:t xml:space="preserve">Notes: </w:t>
      </w:r>
      <w:r>
        <w:t>abstract_source=openalex</w:t>
      </w:r>
    </w:p>
    <w:p>
      <w:pPr>
        <w:spacing w:before="0" w:after="80" w:lineRule="auto" w:line="276"/>
      </w:pPr>
      <w:r>
        <w:rPr>
          <w:b/>
        </w:rPr>
        <w:t xml:space="preserve">摘要（ZH）: </w:t>
      </w:r>
      <w:r>
        <w:t>对可再生能源的日益依赖需要通过复杂的流程（例如 power-to-X）来扩展能源系统。由于这些过程的不同操作特性，相应的优化问题非常复杂，导致模型在计算上难以解决。为了解决这一计算挑战，这项工作提出了一种分解方法来解决具有详细过程模型的复杂能源系统的运行优化问题。该方法通过为每个过程合并一个代理模型，将原始优化问题分解为不同模型粒度级别的优化问题。该方法以以前专注于单个连续过程系统的工作为基础，扩展到处理多个和更复杂的过程系统。为此，我们引入了多阶段过程系统的代理建模方法，并针对操作优化问题开发了三种解决方法。该方法通过 PEM 电解槽、直接空气捕获装置和两个甲烷化过程的详细过程模型，用于最大限度地降低 power-to-X 能源系统的日常运营成本。所有三种解决方案的运营成本相当，但计算效率不同。最有效的解决方案可以在一小时内确定最佳运营策略。此外，敏感性研究评估了关键参数对方法性能的影响，证明了其稳健性和适应性。结果凸显了该提案的潜力</w:t>
      </w:r>
    </w:p>
    <w:p>
      <w:pPr>
        <w:spacing w:before="0" w:after="200" w:lineRule="auto" w:line="276"/>
      </w:pPr>
      <w:r>
        <w:rPr>
          <w:b/>
        </w:rPr>
        <w:t xml:space="preserve">Abstract (EN): </w:t>
      </w:r>
      <w:r>
        <w:t>The growing reliance on renewable energy necessitates extending energy systems with complex processes such as power-to-X. Due to the diverse operational characteristics of these processes, the corresponding optimization problems are highly complex and result in models that are computationally difficult to solve. To address this computational challenge, this work proposes a decomposition method to solve operational optimization problems for complex energy systems with detailed process models. The method decomposes the original optimization problem into optimization problems with different levels of model granularity by incorporating a surrogate model for each process. Building on prior work focusing on a single continuous process system, this method is expanded to handle multiple and more complex process systems. To this end, we introduce a surrogate modeling approach for multistage process systems and develop three solution approaches for the operational optimization problems. The method is applied to minimize the daily operational cost of a power-to-X energy system with detailed process models of a PEM electrolyzer, a direct air capture plant and two methanation processes. All three solution approaches yield comparable operational costs, but differ in computational efficiency. The most efficient solution approach identifies an optimal operational strategy in under one hour. Additionally, a sensitivity study evaluates the impact of key parameters on the performance of the method, demonstrating its robustness and adaptability. The results highlight the potential of the proposed method to efficiently optimize the operations of complex energy systems with detailed process models.</w:t>
      </w:r>
    </w:p>
    <w:p>
      <w:pPr>
        <w:spacing w:before="120" w:after="120"/>
      </w:pPr>
      <w:r>
        <w:rPr>
          <w:sz w:val="18"/>
        </w:rPr>
        <w:t>——————————————————————————————————————————————————————————————————————</w:t>
      </w:r>
    </w:p>
    <w:p>
      <w:pPr>
        <w:spacing w:before="160" w:after="40" w:line="240" w:lineRule="auto"/>
      </w:pPr>
      <w:r>
        <w:rPr>
          <w:b/>
        </w:rPr>
        <w:t xml:space="preserve">[4] </w:t>
      </w:r>
      <w:hyperlink r:id="rId422">
        <w:r>
          <w:rPr>
            <w:color w:val="1155CC"/>
            <w:u w:val="single"/>
          </w:rPr>
          <w:t>阳离子微环境增强共价有机框架电催化 CO2 转化为 CH4</w:t>
        </w:r>
      </w:hyperlink>
    </w:p>
    <w:p>
      <w:pPr>
        <w:spacing w:before="0" w:after="80"/>
      </w:pPr>
      <w:r>
        <w:rPr>
          <w:i/>
          <w:sz w:val="20"/>
        </w:rPr>
        <w:t>EN: Cationic Microenvironment Enhancing Covalent Organic Frameworks for Electrocatalytic CO2 to CH4 Conversion</w:t>
      </w:r>
    </w:p>
    <w:p>
      <w:pPr>
        <w:spacing w:before="0" w:after="120"/>
      </w:pPr>
      <w:r>
        <w:rPr>
          <w:b/>
        </w:rPr>
        <w:t xml:space="preserve">Source: </w:t>
      </w:r>
      <w:r>
        <w:t>Wiley: Angewandte Chemie International Edition: Table of Contents</w:t>
      </w:r>
      <w:r>
        <w:t xml:space="preserve">    </w:t>
      </w:r>
      <w:r>
        <w:rPr>
          <w:b/>
        </w:rPr>
        <w:t xml:space="preserve">Pub date: </w:t>
      </w:r>
      <w:r>
        <w:t>2026-07-24 10:36:36+00:00</w:t>
      </w:r>
      <w:r>
        <w:t xml:space="preserve">    </w:t>
      </w:r>
      <w:r>
        <w:rPr>
          <w:b/>
        </w:rPr>
        <w:t xml:space="preserve">DOI: </w:t>
      </w:r>
      <w:hyperlink r:id="rId423">
        <w:r>
          <w:rPr>
            <w:color w:val="1155CC"/>
            <w:u w:val="single"/>
          </w:rPr>
          <w:t>10.1002/anie.2113321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电催化还原CO</w:t>
      </w:r>
      <w:r>
        <w:rPr>
          <w:vertAlign w:val="subscript"/>
        </w:rPr>
        <w:t>2</w:t>
      </w:r>
      <w:r>
        <w:t>至CH</w:t>
      </w:r>
      <w:r>
        <w:rPr>
          <w:vertAlign w:val="subscript"/>
        </w:rPr>
        <w:t>4</w:t>
      </w:r>
      <w:r>
        <w:t>受到缓慢的质子耦合电子转移动力学和竞争反应途径的阻碍。在此，我们引入了一种阳离子微环境策略，该策略将反应物富集、质子调节和中间体稳定集成在一个框架内。四烷基铵阳离子功能化铜卟啉共价有机骨架（Cu-Tph-COF-N</w:t>
      </w:r>
      <w:r>
        <w:t xml:space="preserve"> </w:t>
      </w:r>
      <w:r>
        <w:t>+</w:t>
      </w:r>
      <w:r>
        <w:t xml:space="preserve"> </w:t>
      </w:r>
      <w:r>
        <w:t>) 获得 CH</w:t>
      </w:r>
      <w:r>
        <w:rPr>
          <w:vertAlign w:val="subscript"/>
        </w:rPr>
        <w:t>4</w:t>
      </w:r>
      <w:r>
        <w:t>与 RHE 相比，-1.2 V 时的法拉第效率为 66.8%，并且相对于羟基功能化类似物，周转频率和部分电流密度显着增强。从机理上讲，阳离子框架产生局部静电场，集中 CO2</w:t>
      </w:r>
      <w:r>
        <w:rPr>
          <w:vertAlign w:val="subscript"/>
        </w:rPr>
        <w:t>2</w:t>
      </w:r>
      <w:r>
        <w:t>通过电荷偶极相互作用靠近活性位点，同时与水合钾相互作用</w:t>
      </w:r>
      <w:r>
        <w:t xml:space="preserve"> </w:t>
      </w:r>
      <w:r>
        <w:t>+</w:t>
      </w:r>
      <w:r>
        <w:t xml:space="preserve"> </w:t>
      </w:r>
      <w:r>
        <w:t>离子来调节质子转移，从而在不影响质子可用性的情况下抑制氢的析出。由此产生的铜卟啉电子调制稳定了关键的 *COOH 和 *CHO 中间体，并促进 C-H 键的形成，这一点得到了理论计算和原位光谱学的支持。这项工作强调了阳离子微环境工程作为一种简洁而通用的策略来引导多步CO</w:t>
      </w:r>
      <w:r>
        <w:rPr>
          <w:vertAlign w:val="subscript"/>
        </w:rPr>
        <w:t>2</w:t>
      </w:r>
      <w:r>
        <w:t>电还原</w:t>
      </w:r>
    </w:p>
    <w:p>
      <w:pPr>
        <w:spacing w:before="0" w:after="200" w:lineRule="auto" w:line="276"/>
      </w:pPr>
      <w:r>
        <w:rPr>
          <w:b/>
        </w:rPr>
        <w:t xml:space="preserve">Abstract (EN): </w:t>
      </w:r>
      <w:r>
        <w:t>Electrocatalytic reduction of CO</w:t>
      </w:r>
      <w:r>
        <w:rPr>
          <w:vertAlign w:val="subscript"/>
        </w:rPr>
        <w:t>2</w:t>
      </w:r>
      <w:r>
        <w:t>to CH</w:t>
      </w:r>
      <w:r>
        <w:rPr>
          <w:vertAlign w:val="subscript"/>
        </w:rPr>
        <w:t>4</w:t>
      </w:r>
      <w:r>
        <w:t>is hindered by sluggish proton‐coupled electron transfer kinetics and competing reaction pathways. Herein, we introduce a cationic microenvironment strategy that integrates reactant enrichment, proton regulation, and intermediate stabilization within a single framework. A tetra‐alkylammonium cation‐functionalized copper porphyrin covalent organic framework (Cu‐Tph‐COF‐N</w:t>
      </w:r>
      <w:r>
        <w:t xml:space="preserve"> </w:t>
      </w:r>
      <w:r>
        <w:t>+</w:t>
      </w:r>
      <w:r>
        <w:t xml:space="preserve"> </w:t>
      </w:r>
      <w:r>
        <w:t>) achieves a CH</w:t>
      </w:r>
      <w:r>
        <w:rPr>
          <w:vertAlign w:val="subscript"/>
        </w:rPr>
        <w:t>4</w:t>
      </w:r>
      <w:r>
        <w:t>Faradaic efficiency of 66.8% at −1.2 V versus RHE, together with markedly enhanced turnover frequency and partial current density relative to its hydroxyl‐functionalized analogue. Mechanistically, the cationic framework generates a localized electrostatic field that concentrates CO</w:t>
      </w:r>
      <w:r>
        <w:rPr>
          <w:vertAlign w:val="subscript"/>
        </w:rPr>
        <w:t>2</w:t>
      </w:r>
      <w:r>
        <w:t>near active sites through charge‐dipole interactions while cooperatively interacting with hydrated K</w:t>
      </w:r>
      <w:r>
        <w:t xml:space="preserve"> </w:t>
      </w:r>
      <w:r>
        <w:t>+</w:t>
      </w:r>
      <w:r>
        <w:t xml:space="preserve"> </w:t>
      </w:r>
      <w:r>
        <w:t>ions to modulate proton transfer, thereby suppressing hydrogen evolution without compromising proton availability. The resulting electronic modulation at Cu porphyrin stabilizes key *COOH and *CHO intermediates and facilitates C–H bond formation, as supported by theoretical calculations and in situ spectroscopy. This work highlights cationic microenvironment engineering as a concise and general strategy to steer multi‐step CO</w:t>
      </w:r>
      <w:r>
        <w:rPr>
          <w:vertAlign w:val="subscript"/>
        </w:rPr>
        <w:t>2</w:t>
      </w:r>
      <w:r>
        <w:t>electroreduction toward deep reduction products.</w:t>
      </w:r>
    </w:p>
    <w:p>
      <w:pPr>
        <w:spacing w:before="120" w:after="120"/>
      </w:pPr>
      <w:r>
        <w:rPr>
          <w:sz w:val="18"/>
        </w:rPr>
        <w:t>——————————————————————————————————————————————————————————————————————</w:t>
      </w:r>
    </w:p>
    <w:p>
      <w:pPr>
        <w:spacing w:before="160" w:after="40" w:line="240" w:lineRule="auto"/>
      </w:pPr>
      <w:r>
        <w:rPr>
          <w:b/>
        </w:rPr>
        <w:t xml:space="preserve">[5] </w:t>
      </w:r>
      <w:hyperlink r:id="rId424">
        <w:r>
          <w:rPr>
            <w:color w:val="1155CC"/>
            <w:u w:val="single"/>
          </w:rPr>
          <w:t>超越经典一氧化碳氧化：对非经典一氧化碳脱氢酶的结构和进化见解</w:t>
        </w:r>
      </w:hyperlink>
    </w:p>
    <w:p>
      <w:pPr>
        <w:spacing w:before="0" w:after="80"/>
      </w:pPr>
      <w:r>
        <w:rPr>
          <w:i/>
          <w:sz w:val="20"/>
        </w:rPr>
        <w:t>EN: Beyond Canonical CO Oxidation: Structural and Evolutionary Insights Into a Non‐Canonical Carbon Monoxide Dehydrogenase</w:t>
      </w:r>
    </w:p>
    <w:p>
      <w:pPr>
        <w:spacing w:before="0" w:after="120"/>
      </w:pPr>
      <w:r>
        <w:rPr>
          <w:b/>
        </w:rPr>
        <w:t xml:space="preserve">Source: </w:t>
      </w:r>
      <w:r>
        <w:t>Wiley: Angewandte Chemie International Edition: Table of Contents</w:t>
      </w:r>
      <w:r>
        <w:t xml:space="preserve">    </w:t>
      </w:r>
      <w:r>
        <w:rPr>
          <w:b/>
        </w:rPr>
        <w:t xml:space="preserve">Pub date: </w:t>
      </w:r>
      <w:r>
        <w:t>2026-07-24 10:55:33+00:00</w:t>
      </w:r>
      <w:r>
        <w:t xml:space="preserve">    </w:t>
      </w:r>
      <w:r>
        <w:rPr>
          <w:b/>
        </w:rPr>
        <w:t xml:space="preserve">DOI: </w:t>
      </w:r>
      <w:hyperlink r:id="rId425">
        <w:r>
          <w:rPr>
            <w:color w:val="1155CC"/>
            <w:u w:val="single"/>
          </w:rPr>
          <w:t>10.1002/anie.1702233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一氧化碳脱氢酶 (CODH) 催化 CO 可逆氧化为 CO</w:t>
      </w:r>
      <w:r>
        <w:rPr>
          <w:vertAlign w:val="subscript"/>
        </w:rPr>
        <w:t>2</w:t>
      </w:r>
      <w:r>
        <w:t>并在微生物碳代谢中发挥核心作用。虽然来自不同系统发育背景的已充分表征的 CODH 表现出高双向活性，但神秘的进化枝 B 在功能上仍未得到表征。在这里，我们首次展示了 B 进化枝 CODH 的结构和生化特征。</w:t>
      </w:r>
      <w:r>
        <w:t xml:space="preserve"> </w:t>
      </w:r>
      <w:r>
        <w:t>黄瘤胃球菌</w:t>
      </w:r>
      <w:r>
        <w:t xml:space="preserve"> </w:t>
      </w:r>
      <w:r>
        <w:t>（</w:t>
      </w:r>
      <w:r>
        <w:t xml:space="preserve"> </w:t>
      </w:r>
      <w:r>
        <w:t>射频</w:t>
      </w:r>
      <w:r>
        <w:t xml:space="preserve"> </w:t>
      </w:r>
      <w:r>
        <w:t>科德）。它揭示了与典型酶的显着差异。开发了一种新的厌氧冷冻电镜工作流程，完全在缺氧条件下通过手动印迹和投入冷冻进行。结果是 2.53 Å</w:t>
      </w:r>
      <w:r>
        <w:t xml:space="preserve"> </w:t>
      </w:r>
      <w:r>
        <w:t>射频</w:t>
      </w:r>
      <w:r>
        <w:t xml:space="preserve"> </w:t>
      </w:r>
      <w:r>
        <w:t>CODH 结构。该结构采用典型的 CODH 折叠，但表现出气体通道阻塞、质子转移途径受损和辅因子配位破坏。这提供了结构上的理由</w:t>
      </w:r>
      <w:r>
        <w:t xml:space="preserve"> </w:t>
      </w:r>
      <w:r>
        <w:t>射频</w:t>
      </w:r>
      <w:r>
        <w:t xml:space="preserve"> </w:t>
      </w:r>
      <w:r>
        <w:t>CODH 严重减弱 CO 氧化活性（经过充分研究，CO 氧化活性为 13 mU/mg 与 900 U/mg）</w:t>
      </w:r>
      <w:r>
        <w:t xml:space="preserve"> </w:t>
      </w:r>
      <w:r>
        <w:t>Ch</w:t>
      </w:r>
      <w:r>
        <w:t xml:space="preserve"> </w:t>
      </w:r>
      <w:r>
        <w:t>CODH-II）。 EPR 光谱揭示了 CODH 中以前未表征的独特氧化 C 簇状态。镜像树分析暗示了进化枝 B CODH 和相关 ABC 转运蛋白底物结合蛋白之间的共同进化，表明这些酶在通过 ABC 转运蛋白模块输入的底物的代谢中发挥作用。所有发现</w:t>
      </w:r>
    </w:p>
    <w:p>
      <w:pPr>
        <w:spacing w:before="0" w:after="200" w:lineRule="auto" w:line="276"/>
      </w:pPr>
      <w:r>
        <w:rPr>
          <w:b/>
        </w:rPr>
        <w:t xml:space="preserve">Abstract (EN): </w:t>
      </w:r>
      <w:r>
        <w:t>Carbon monoxide dehydrogenases (CODHs) catalyse the reversible oxidation of CO to CO</w:t>
      </w:r>
      <w:r>
        <w:rPr>
          <w:vertAlign w:val="subscript"/>
        </w:rPr>
        <w:t>2</w:t>
      </w:r>
      <w:r>
        <w:t>and play central roles in microbial carbon metabolism. While well‐characterised CODHs from different phylogenetic backgrounds exhibit high bidirectional activity, the enigmatic clade B remains functionally uncharacterised. Here, we present the first structural and biochemical characterisation of a clade B CODH from</w:t>
      </w:r>
      <w:r>
        <w:t xml:space="preserve"> </w:t>
      </w:r>
      <w:r>
        <w:t>Ruminococcus flavefaciens</w:t>
      </w:r>
      <w:r>
        <w:t xml:space="preserve"> </w:t>
      </w:r>
      <w:r>
        <w:t>(</w:t>
      </w:r>
      <w:r>
        <w:t xml:space="preserve"> </w:t>
      </w:r>
      <w:r>
        <w:t>Rf</w:t>
      </w:r>
      <w:r>
        <w:t xml:space="preserve"> </w:t>
      </w:r>
      <w:r>
        <w:t>CODH). It reveals striking divergence from canonical enzymes. A new anaerobic cryo‐EM workflow was developed, carried out entirely under anoxic conditions by manual blotting and plunge freezing. It resulted in a 2.53 Å</w:t>
      </w:r>
      <w:r>
        <w:t xml:space="preserve"> </w:t>
      </w:r>
      <w:r>
        <w:t>Rf</w:t>
      </w:r>
      <w:r>
        <w:t xml:space="preserve"> </w:t>
      </w:r>
      <w:r>
        <w:t>CODH structure. The structure adopts the typical CODH fold, but exhibits blocked gas channels, a compromised proton transfer pathway and disrupted cofactor coordination. This provides a structural rationale for</w:t>
      </w:r>
      <w:r>
        <w:t xml:space="preserve"> </w:t>
      </w:r>
      <w:r>
        <w:t>Rf</w:t>
      </w:r>
      <w:r>
        <w:t xml:space="preserve"> </w:t>
      </w:r>
      <w:r>
        <w:t>CODH's severely attenuated CO oxidation activity (13 mU/mg vs. 900 U/mg for the well‐studied</w:t>
      </w:r>
      <w:r>
        <w:t xml:space="preserve"> </w:t>
      </w:r>
      <w:r>
        <w:t>Ch</w:t>
      </w:r>
      <w:r>
        <w:t xml:space="preserve"> </w:t>
      </w:r>
      <w:r>
        <w:t>CODH‐II). EPR spectroscopy reveals unique oxidised C‐cluster states not previously characterised in CODHs. Mirror tree analysis hints to co‐evolution between clade B CODHs and associated ABC transporter substrate‐binding proteins, suggesting these enzymes function in metabolism of substrates imported via the ABC transporter module. All findings indicate evolutionary repurposing of the CODH scaffold for alternative physiological functions.</w:t>
      </w:r>
    </w:p>
    <w:p>
      <w:pPr>
        <w:spacing w:before="120" w:after="120"/>
      </w:pPr>
      <w:r>
        <w:rPr>
          <w:sz w:val="18"/>
        </w:rPr>
        <w:t>——————————————————————————————————————————————————————————————————————</w:t>
      </w:r>
    </w:p>
    <w:p>
      <w:pPr>
        <w:spacing w:before="160" w:after="40" w:line="240" w:lineRule="auto"/>
      </w:pPr>
      <w:r>
        <w:rPr>
          <w:b/>
        </w:rPr>
        <w:t xml:space="preserve">[6] </w:t>
      </w:r>
      <w:hyperlink r:id="rId426">
        <w:r>
          <w:rPr>
            <w:color w:val="1155CC"/>
            <w:u w:val="single"/>
          </w:rPr>
          <w:t>(Sr,Ca)(Ti,Ni)O3 (100) 面上的应变驱动原位 Ni 溶出可促进氢溢出和选择性 CO2 至 C2+ 光还原</w:t>
        </w:r>
      </w:hyperlink>
    </w:p>
    <w:p>
      <w:pPr>
        <w:spacing w:before="0" w:after="80"/>
      </w:pPr>
      <w:r>
        <w:rPr>
          <w:i/>
          <w:sz w:val="20"/>
        </w:rPr>
        <w:t>EN: Strain‐Driven In Situ Ni Exsolution on (Sr,Ca)(Ti,Ni)O3 (100) Facets Boosts Hydrogen Spillover and Selective CO2‐to‐C2+ Photoreduction</w:t>
      </w:r>
    </w:p>
    <w:p>
      <w:pPr>
        <w:spacing w:before="0" w:after="120"/>
      </w:pPr>
      <w:r>
        <w:rPr>
          <w:b/>
        </w:rPr>
        <w:t xml:space="preserve">Source: </w:t>
      </w:r>
      <w:r>
        <w:t>Wiley: Advanced Materials: Table of Contents</w:t>
      </w:r>
      <w:r>
        <w:t xml:space="preserve">    </w:t>
      </w:r>
      <w:r>
        <w:rPr>
          <w:b/>
        </w:rPr>
        <w:t xml:space="preserve">Pub date: </w:t>
      </w:r>
      <w:r>
        <w:t>2026-07-25 15:03:56+00:00</w:t>
      </w:r>
      <w:r>
        <w:t xml:space="preserve">    </w:t>
      </w:r>
      <w:r>
        <w:rPr>
          <w:b/>
        </w:rPr>
        <w:t xml:space="preserve">DOI: </w:t>
      </w:r>
      <w:hyperlink r:id="rId427">
        <w:r>
          <w:rPr>
            <w:color w:val="1155CC"/>
            <w:u w:val="single"/>
          </w:rPr>
          <w:t>10.1002/adma.74331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光催化CO</w:t>
      </w:r>
      <w:r>
        <w:rPr>
          <w:vertAlign w:val="subscript"/>
        </w:rPr>
        <w:t>2</w:t>
      </w:r>
      <w:r>
        <w:t>还原反应为生产增值化学品提供了一条可持续的途径，但由于二氧化碳之间的空间不匹配，传统系统的效率和碳氢化合物选择性有限。</w:t>
      </w:r>
      <w:r>
        <w:rPr>
          <w:vertAlign w:val="subscript"/>
        </w:rPr>
        <w:t>2</w:t>
      </w:r>
      <w:r>
        <w:t>吸附和质子源，延迟质子耦合电子转移（PCET）。在这里，我们构建了 Ni/(Sr,Ca)(Ti,Ni)O</w:t>
      </w:r>
      <w:r>
        <w:rPr>
          <w:vertAlign w:val="subscript"/>
        </w:rPr>
        <w:t>3</w:t>
      </w:r>
      <w:r>
        <w:t>通过熔盐溶出和铝热还原形成异质结构（Ni/SCTNO）。钙</w:t>
      </w:r>
      <w:r>
        <w:t xml:space="preserve"> </w:t>
      </w:r>
      <w:r>
        <w:t>2+</w:t>
      </w:r>
      <w:r>
        <w:t xml:space="preserve"> </w:t>
      </w:r>
      <w:r>
        <w:t>掺杂会引入晶格应变，从而驱动 (100) 面上 Ni 纳米粒子的原位出溶，而氧空位则产生正空间电荷层。这些效应协同形成肖特基结，充当氢溢出中心，使 H* 定向迁移到 CO</w:t>
      </w:r>
      <w:r>
        <w:rPr>
          <w:vertAlign w:val="subscript"/>
        </w:rPr>
        <w:t>2</w:t>
      </w:r>
      <w:r>
        <w:t>位点和时空协调的质子电子传输。在模拟阳光下，CH</w:t>
      </w:r>
      <w:r>
        <w:rPr>
          <w:vertAlign w:val="subscript"/>
        </w:rPr>
        <w:t>4</w:t>
      </w:r>
      <w:r>
        <w:t>,C</w:t>
      </w:r>
      <w:r>
        <w:rPr>
          <w:vertAlign w:val="subscript"/>
        </w:rPr>
        <w:t>2</w:t>
      </w:r>
      <w:r>
        <w:t>H</w:t>
      </w:r>
      <w:r>
        <w:rPr>
          <w:vertAlign w:val="subscript"/>
        </w:rPr>
        <w:t>4</w:t>
      </w:r>
      <w:r>
        <w:t>，和C</w:t>
      </w:r>
      <w:r>
        <w:rPr>
          <w:vertAlign w:val="subscript"/>
        </w:rPr>
        <w:t>2</w:t>
      </w:r>
      <w:r>
        <w:t>H</w:t>
      </w:r>
      <w:r>
        <w:rPr>
          <w:vertAlign w:val="subscript"/>
        </w:rPr>
        <w:t>6</w:t>
      </w:r>
      <w:r>
        <w:t>产率分别达到 41.89、18.01 和 16.53 µmol·g</w:t>
      </w:r>
      <w:r>
        <w:t xml:space="preserve"> </w:t>
      </w:r>
      <w:r>
        <w:t>-</w:t>
      </w:r>
      <w:r>
        <w:rPr>
          <w:vertAlign w:val="subscript"/>
        </w:rPr>
        <w:t>1</w:t>
      </w:r>
      <w:r>
        <w:t>·小时</w:t>
      </w:r>
      <w:r>
        <w:t xml:space="preserve"> </w:t>
      </w:r>
      <w:r>
        <w:t>-</w:t>
      </w:r>
      <w:r>
        <w:rPr>
          <w:vertAlign w:val="subscript"/>
        </w:rPr>
        <w:t>1</w:t>
      </w:r>
      <w:r>
        <w:t>分别具有 55.03% 的总烃选择性，超过了大多数报道的钙钛矿基光催化剂。这</w:t>
      </w:r>
    </w:p>
    <w:p>
      <w:pPr>
        <w:spacing w:before="0" w:after="200" w:lineRule="auto" w:line="276"/>
      </w:pPr>
      <w:r>
        <w:rPr>
          <w:b/>
        </w:rPr>
        <w:t xml:space="preserve">Abstract (EN): </w:t>
      </w:r>
      <w:r>
        <w:t>Photocatalytic CO</w:t>
      </w:r>
      <w:r>
        <w:rPr>
          <w:vertAlign w:val="subscript"/>
        </w:rPr>
        <w:t>2</w:t>
      </w:r>
      <w:r>
        <w:t>reduction offers a sustainable route to value‐added chemicals, yet conventional systems suffer from limited efficiency and hydrocarbon selectivity due to the spatial mismatch between CO</w:t>
      </w:r>
      <w:r>
        <w:rPr>
          <w:vertAlign w:val="subscript"/>
        </w:rPr>
        <w:t>2</w:t>
      </w:r>
      <w:r>
        <w:t>adsorption and proton sources, delaying proton‐coupled electron transfer (PCET). Here, we construct a Ni/(Sr,Ca)(Ti,Ni)O</w:t>
      </w:r>
      <w:r>
        <w:rPr>
          <w:vertAlign w:val="subscript"/>
        </w:rPr>
        <w:t>3</w:t>
      </w:r>
      <w:r>
        <w:t>heterostructure (Ni/SCTNO) via molten salt exsolution and aluminothermic reduction. Ca</w:t>
      </w:r>
      <w:r>
        <w:t xml:space="preserve"> </w:t>
      </w:r>
      <w:r>
        <w:t>2+</w:t>
      </w:r>
      <w:r>
        <w:t xml:space="preserve"> </w:t>
      </w:r>
      <w:r>
        <w:t>doping introduces lattice strain, which drives the in situ exsolution of Ni nanoparticles on the (100) facet, while oxygen vacancies create a positive space charge layer. These effects synergistically form Schottky junctions that act as hydrogen spillover centers, enabling directional H* migration to CO</w:t>
      </w:r>
      <w:r>
        <w:rPr>
          <w:vertAlign w:val="subscript"/>
        </w:rPr>
        <w:t>2</w:t>
      </w:r>
      <w:r>
        <w:t>sites and spatiotemporally coordinating proton–electron transport. Under simulated sunlight, CH</w:t>
      </w:r>
      <w:r>
        <w:rPr>
          <w:vertAlign w:val="subscript"/>
        </w:rPr>
        <w:t>4</w:t>
      </w:r>
      <w:r>
        <w:t>, C</w:t>
      </w:r>
      <w:r>
        <w:rPr>
          <w:vertAlign w:val="subscript"/>
        </w:rPr>
        <w:t>2</w:t>
      </w:r>
      <w:r>
        <w:t>H</w:t>
      </w:r>
      <w:r>
        <w:rPr>
          <w:vertAlign w:val="subscript"/>
        </w:rPr>
        <w:t>4</w:t>
      </w:r>
      <w:r>
        <w:t>, and C</w:t>
      </w:r>
      <w:r>
        <w:rPr>
          <w:vertAlign w:val="subscript"/>
        </w:rPr>
        <w:t>2</w:t>
      </w:r>
      <w:r>
        <w:t>H</w:t>
      </w:r>
      <w:r>
        <w:rPr>
          <w:vertAlign w:val="subscript"/>
        </w:rPr>
        <w:t>6</w:t>
      </w:r>
      <w:r>
        <w:t>yields reach 41.89, 18.01, and 16.53 µmol·g</w:t>
      </w:r>
      <w:r>
        <w:t xml:space="preserve"> </w:t>
      </w:r>
      <w:r>
        <w:t>−</w:t>
      </w:r>
      <w:r>
        <w:rPr>
          <w:vertAlign w:val="subscript"/>
        </w:rPr>
        <w:t>1</w:t>
      </w:r>
      <w:r>
        <w:t>·h</w:t>
      </w:r>
      <w:r>
        <w:t xml:space="preserve"> </w:t>
      </w:r>
      <w:r>
        <w:t>−</w:t>
      </w:r>
      <w:r>
        <w:rPr>
          <w:vertAlign w:val="subscript"/>
        </w:rPr>
        <w:t>1</w:t>
      </w:r>
      <w:r>
        <w:t>, respectively, with a total hydrocarbon selectivity of 55.03%, surpassing most reported perovskite‐based photocatalysts. This work presents an integrated strategy combining heterointerface engineering, strain regulation, and surface modification for efficient CO</w:t>
      </w:r>
      <w:r>
        <w:rPr>
          <w:vertAlign w:val="subscript"/>
        </w:rPr>
        <w:t>2</w:t>
      </w:r>
      <w:r>
        <w:t>‐to‐multicarbon fuel conversion.</w:t>
      </w:r>
    </w:p>
    <w:p>
      <w:pPr>
        <w:spacing w:before="120" w:after="120"/>
      </w:pPr>
      <w:r>
        <w:rPr>
          <w:sz w:val="18"/>
        </w:rPr>
        <w:t>——————————————————————————————————————————————————————————————————————</w:t>
      </w:r>
    </w:p>
    <w:p>
      <w:pPr>
        <w:spacing w:before="160" w:after="40" w:line="240" w:lineRule="auto"/>
      </w:pPr>
      <w:r>
        <w:rPr>
          <w:b/>
        </w:rPr>
        <w:t xml:space="preserve">[7] </w:t>
      </w:r>
      <w:hyperlink r:id="rId428">
        <w:r>
          <w:rPr>
            <w:color w:val="1155CC"/>
            <w:u w:val="single"/>
          </w:rPr>
          <w:t>近端 Ir-Ir 协同性重编程 CO2 至 DMF 氢化途径</w:t>
        </w:r>
      </w:hyperlink>
    </w:p>
    <w:p>
      <w:pPr>
        <w:spacing w:before="0" w:after="80"/>
      </w:pPr>
      <w:r>
        <w:rPr>
          <w:i/>
          <w:sz w:val="20"/>
        </w:rPr>
        <w:t>EN: Proximal Ir–Ir Cooperativity for Reprogramming the CO2‐to‐DMF Hydrogenation Pathway</w:t>
      </w:r>
    </w:p>
    <w:p>
      <w:pPr>
        <w:spacing w:before="0" w:after="120"/>
      </w:pPr>
      <w:r>
        <w:rPr>
          <w:b/>
        </w:rPr>
        <w:t xml:space="preserve">Source: </w:t>
      </w:r>
      <w:r>
        <w:t>Wiley: Angewandte Chemie International Edition: Table of Contents</w:t>
      </w:r>
      <w:r>
        <w:t xml:space="preserve">    </w:t>
      </w:r>
      <w:r>
        <w:rPr>
          <w:b/>
        </w:rPr>
        <w:t xml:space="preserve">Pub date: </w:t>
      </w:r>
      <w:r>
        <w:t>2026-07-26 17:53:14+00:00</w:t>
      </w:r>
      <w:r>
        <w:t xml:space="preserve">    </w:t>
      </w:r>
      <w:r>
        <w:rPr>
          <w:b/>
        </w:rPr>
        <w:t xml:space="preserve">DOI: </w:t>
      </w:r>
      <w:hyperlink r:id="rId429">
        <w:r>
          <w:rPr>
            <w:color w:val="1155CC"/>
            <w:u w:val="single"/>
          </w:rPr>
          <w:t>10.1002/anie.7448862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CO的加氢</w:t>
      </w:r>
      <w:r>
        <w:rPr>
          <w:vertAlign w:val="subscript"/>
        </w:rPr>
        <w:t>2</w:t>
      </w:r>
      <w:r>
        <w:t>到</w:t>
      </w:r>
      <w:r>
        <w:t xml:space="preserve"> </w:t>
      </w:r>
      <w:r>
        <w:t>氮</w:t>
      </w:r>
      <w:r>
        <w:t xml:space="preserve"> </w:t>
      </w:r>
      <w:r>
        <w:t>,</w:t>
      </w:r>
      <w:r>
        <w:t xml:space="preserve"> </w:t>
      </w:r>
      <w:r>
        <w:t>氮</w:t>
      </w:r>
      <w:r>
        <w:t xml:space="preserve"> </w:t>
      </w:r>
      <w:r>
        <w:t>‐二甲基甲酰胺（DMF）与二甲胺需要三种不同底物的协同转化，这是单核催化剂只能通过高势垒、连续步骤来解决的基本动力学挑战。在此，我们展示了双核 Cp*Ir(III) 配合物中配体启用的邻近策略，其中两个金属中心的空间限制促进了多个底物的协同激活。优化的双核结构配备了战略性定位的-OH吊坠，将限速的分子碰撞转变为动力学上有利的低势垒途径。这种电子和空间协同性最终达到 1 540 000 的周转数，使该催化剂跻身据报道的 DMF 生产最有效的分子系统之列，其选择性接近定量 (&gt; 99%)。综合计算和光谱研究表明，双 Ir 框架减轻了分子过程固有的熵损失，而羟基官能团使 Ir-H 键极化以促进 H</w:t>
      </w:r>
      <w:r>
        <w:rPr>
          <w:vertAlign w:val="subscript"/>
        </w:rPr>
        <w:t>2</w:t>
      </w:r>
      <w:r>
        <w:t>异解和CO</w:t>
      </w:r>
      <w:r>
        <w:rPr>
          <w:vertAlign w:val="subscript"/>
        </w:rPr>
        <w:t>2</w:t>
      </w:r>
      <w:r>
        <w:t>插入。原位核磁共振和红外光谱直接识别了关键的氢化铱和甲酸中间体，为计算预测的低势垒途径提供了实验验证。论文</w:t>
      </w:r>
    </w:p>
    <w:p>
      <w:pPr>
        <w:spacing w:before="0" w:after="200" w:lineRule="auto" w:line="276"/>
      </w:pPr>
      <w:r>
        <w:rPr>
          <w:b/>
        </w:rPr>
        <w:t xml:space="preserve">Abstract (EN): </w:t>
      </w:r>
      <w:r>
        <w:t>The hydrogenation of CO</w:t>
      </w:r>
      <w:r>
        <w:rPr>
          <w:vertAlign w:val="subscript"/>
        </w:rPr>
        <w:t>2</w:t>
      </w:r>
      <w:r>
        <w:t>to</w:t>
      </w:r>
      <w:r>
        <w:t xml:space="preserve"> </w:t>
      </w:r>
      <w:r>
        <w:t>N</w:t>
      </w:r>
      <w:r>
        <w:t xml:space="preserve"> </w:t>
      </w:r>
      <w:r>
        <w:t>,</w:t>
      </w:r>
      <w:r>
        <w:t xml:space="preserve"> </w:t>
      </w:r>
      <w:r>
        <w:t>N</w:t>
      </w:r>
      <w:r>
        <w:t xml:space="preserve"> </w:t>
      </w:r>
      <w:r>
        <w:t>‐dimethylformamide (DMF) with dimethylamine requires the concerted transformation of three distinct substrates, a fundamental kinetic challenge that mononuclear catalysts can only address through high‐barrier, sequential steps. Herein, we demonstrate a ligand‐enabled proximity strategy in binuclear Cp*Ir(III) complexes, wherein the spatial confinement of two metal centers facilitates the concerted activation of multiple substrates. The optimized binuclear architecture, equipped with strategically positioned ‒OH pendants, transforms the rate‐limiting termolecular collision into a kinetically favorable, low‐barrier pathway. This electronic and spatial cooperativity culminates in a turnover number of 1 540 000, placing the catalyst among the most efficient molecular systems reported for DMF production with selectivity approaching quantitative (&amp;gt; 99%). Integrated computational and spectroscopic studies reveal that the dual‐Ir framework mitigates the entropic penalty inherent to termolecular processes, while the hydroxyl functionality polarizes the Ir‒H bond to promote H</w:t>
      </w:r>
      <w:r>
        <w:rPr>
          <w:vertAlign w:val="subscript"/>
        </w:rPr>
        <w:t>2</w:t>
      </w:r>
      <w:r>
        <w:t>heterolysis and CO</w:t>
      </w:r>
      <w:r>
        <w:rPr>
          <w:vertAlign w:val="subscript"/>
        </w:rPr>
        <w:t>2</w:t>
      </w:r>
      <w:r>
        <w:t>insertion. In situ NMR and infrared spectroscopy directly identify the key Ir–hydride and Ir–formate intermediates, providing experimental validation of the computationally predicted low‐barrier pathway. These findings establish for the first time how multimetallic cooperativity and secondary coordination sphere effects operate in concert to bypass the intrinsic kinetic limitations of single‐site catalysts.</w:t>
      </w:r>
    </w:p>
    <w:p>
      <w:pPr>
        <w:spacing w:before="120" w:after="120"/>
      </w:pPr>
      <w:r>
        <w:rPr>
          <w:sz w:val="18"/>
        </w:rPr>
        <w:t>——————————————————————————————————————————————————————————————————————</w:t>
      </w:r>
    </w:p>
    <w:p>
      <w:pPr>
        <w:spacing w:before="160" w:after="40" w:line="240" w:lineRule="auto"/>
      </w:pPr>
      <w:r>
        <w:rPr>
          <w:b/>
        </w:rPr>
        <w:t xml:space="preserve">[8] </w:t>
      </w:r>
      <w:hyperlink r:id="rId430">
        <w:r>
          <w:rPr>
            <w:color w:val="1155CC"/>
            <w:u w:val="single"/>
          </w:rPr>
          <w:t>通过电驱动的连续化学循环实现增强且稳定的丙烷选择性氧化脱氢</w:t>
        </w:r>
      </w:hyperlink>
    </w:p>
    <w:p>
      <w:pPr>
        <w:spacing w:before="0" w:after="80"/>
      </w:pPr>
      <w:r>
        <w:rPr>
          <w:i/>
          <w:sz w:val="20"/>
        </w:rPr>
        <w:t>EN: Achieving enhanced and robust propane selective oxidative dehydrogenation via electrically-driven continuous chemical looping</w:t>
      </w:r>
    </w:p>
    <w:p>
      <w:pPr>
        <w:spacing w:before="0" w:after="120"/>
      </w:pPr>
      <w:r>
        <w:rPr>
          <w:b/>
        </w:rPr>
        <w:t xml:space="preserve">Source: </w:t>
      </w:r>
      <w:r>
        <w:t>Physical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氧化丙烷脱氢（OPDH）已成为直接生产丙烯的一种有前途的方法。然而，它仍然面临着丙烷过度氧化成COx的巨大挑战，损害了产品的选择性。在此，我们报告了一种电力驱动的连续化学循环工艺，可通过固体氧化物电解池（SOEC）内的电化学 CO2-OPDH 系统高效生产丙烯。在 10 mA cm−2 的最佳电流密度下，采用 Co3O4 改性的 La0.6Sr0.4Co0.2Fe0.8O3-δ (LSCF) 阳极的系统可实现 92.6% 的烯烃选择性和 14.2% 的单程丙烷转化率。这种电流驱动的配置使丙烯产量 (5.11 mmol gtotal−1 h−1) 比开路基线提高了 18.5 倍。电化学CO2-ODHP系统在120小时耐久性测试中也表现出良好的稳定性。原位表征和理论计算阐明了阴极 CO2 还原产生的 O2- 电驱动在线补充 Co3O4 晶格氧的机制。这种动态循环保持了适度的阳极表面氧活性，从而产生高效和选择性的 OPDH，而没有明显的丙烷过度氧化或裂解。</w:t>
      </w:r>
    </w:p>
    <w:p>
      <w:pPr>
        <w:spacing w:before="0" w:after="200" w:lineRule="auto" w:line="276"/>
      </w:pPr>
      <w:r>
        <w:rPr>
          <w:b/>
        </w:rPr>
        <w:t xml:space="preserve">Abstract (EN): </w:t>
      </w:r>
      <w:r>
        <w:t>Oxidative propane dehydrogenation (OPDH) has emerged as a promising approach for direct propylene production. However, it still confronts great challenge of overoxidation of propane to COx, damaging the products selectivity. Herein, we report an electrically-driven continuous chemical looping process to efficiently produce propylene via an electrochemical CO2-OPDH system within solid oxide electrolysis cells (SOECs). At an optimal current density of 10 mA cm−2, the system with a Co3O4-modified La0.6Sr0.4Co0.2Fe0.8O3-δ (LSCF) anode achieves 92.6% olefin selectivity and 14.2% single-pass propane conversion. This current-driven configuration boosts the propylene yield (5.11 mmol gtotal−1 h−1) by a factor of 18.5 over the open-circuit baseline. The electrochemical CO2-ODHP system also exhibits good stability during a 120-hour durability test. In-situ characterization and theoretical calculations elucidate the electrically driven online replenishment mechanism of Co3O4 lattice oxygen by O2- derived from cathode CO2 reduction. This dynamic cycle maintains moderate anode surface oxygen activity, resulting in highly efficient and selective OPDH without significant over-oxidation or cracking of propane.</w:t>
      </w:r>
    </w:p>
    <w:p>
      <w:pPr>
        <w:spacing w:before="120" w:after="120"/>
      </w:pPr>
      <w:r>
        <w:rPr>
          <w:sz w:val="18"/>
        </w:rPr>
        <w:t>——————————————————————————————————————————————————————————————————————</w:t>
      </w:r>
    </w:p>
    <w:p>
      <w:pPr>
        <w:spacing w:before="160" w:after="40" w:line="240" w:lineRule="auto"/>
      </w:pPr>
      <w:r>
        <w:rPr>
          <w:b/>
        </w:rPr>
        <w:t xml:space="preserve">[9] </w:t>
      </w:r>
      <w:hyperlink r:id="rId431">
        <w:r>
          <w:rPr>
            <w:color w:val="1155CC"/>
            <w:u w:val="single"/>
          </w:rPr>
          <w:t>通过原子设计的双中心催化剂从二氧化碳和硝酸盐直接电合成乙酰胺</w:t>
        </w:r>
      </w:hyperlink>
    </w:p>
    <w:p>
      <w:pPr>
        <w:spacing w:before="0" w:after="80"/>
      </w:pPr>
      <w:r>
        <w:rPr>
          <w:i/>
          <w:sz w:val="20"/>
        </w:rPr>
        <w:t>EN: Direct electrosynthesis of acetamide from CO2 and nitrate via an atomically engineered dual-site catalyst</w:t>
      </w:r>
    </w:p>
    <w:p>
      <w:pPr>
        <w:spacing w:before="0" w:after="120"/>
      </w:pPr>
      <w:r>
        <w:rPr>
          <w:b/>
        </w:rPr>
        <w:t xml:space="preserve">Source: </w:t>
      </w:r>
      <w:r>
        <w:t>Physical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利用丰富的小分子电催化合成酰胺为绿色化学生产提供了一条可持续的途径，但由于 C-C 和 C-N 键形成之间的动力学竞争而面临根本性挑战。在这里，我们展示了一种原子设计的双位点催化剂，其特征是在氮掺杂碳基质上与铜纳米簇 (Ni-SA/Cu-NC) 相邻的镍单原子，可有效地将 CO2 和 NO3− 共还原为乙酰胺。这种结构实现了互补功能，Ni 位点选择性地将 CO2 转化为 CO，而相邻的 Cu 纳米团簇促进 C-C 耦合形成*CCO 中间体，同时还原 NO3− 形成*NH2 中间体。由此产生的协同作用促进了快速中间体转移和 C-N 偶联，在 215.7 mA cm−2 的工业电流密度下提供 257.3 mmol h−1 gcat.−1 的乙酰胺产率，并稳定运行超过 160 小时。原位光谱研究和理论计算表明，强的 Ni-Cu 电子耦合可促进反应物吸附并减少关键步骤的活化势垒，包括 *CO 二聚和 *CCO-*NH2 耦合。这项工作为多位点催化剂提供了原子级设计策略，以引导复杂的电催化反应产生增值产品。</w:t>
      </w:r>
    </w:p>
    <w:p>
      <w:pPr>
        <w:spacing w:before="0" w:after="200" w:lineRule="auto" w:line="276"/>
      </w:pPr>
      <w:r>
        <w:rPr>
          <w:b/>
        </w:rPr>
        <w:t xml:space="preserve">Abstract (EN): </w:t>
      </w:r>
      <w:r>
        <w:t>The electrocatalytic synthesis of amides from abundant small molecules offers a sustainable route for green chemical production, yet faces fundamental challenges due to kinetic competition between C–C and C–N bond formation. Here we show an atomically engineered dual-site catalyst featuring nickel single atoms adjacent to copper nanoclusters (Ni-SA/Cu-NCs) on a nitrogen-doped carbon matrix for efficient CO2 and NO3− co-reduction to acetamide. This architecture enables complementary functions, with Ni sites selectively converting CO2 to CO and neighboring Cu nanoclusters promoting C–C coupling to form the *CCO intermediate while concurrently reducing NO3− to form the *NH2 intermediate. The resulting synergy facilitates rapid intermediate transfer and C–N coupling, delivering an acetamide yield rate of 257.3 mmol h−1 gcat.−1 at an industrial current density of 215.7 mA cm−2, with stable operation over 160 h. In situ spectroscopic studies and theoretical calculations suggest that strong Ni–Cu electronic coupling promotes reactant adsorption and reduces the activation barriers for critical steps, including *CO dimerization and *CCO–*NH2 coupling. This work provides an atomic-level design strategy for multi-site catalysts to steer complex electrocatalytic reactions toward value-added products.</w:t>
      </w:r>
    </w:p>
    <w:p>
      <w:pPr>
        <w:spacing w:before="120" w:after="120"/>
      </w:pPr>
      <w:r>
        <w:rPr>
          <w:sz w:val="18"/>
        </w:rPr>
        <w:t>——————————————————————————————————————————————————————————————————————</w:t>
      </w:r>
    </w:p>
    <w:p>
      <w:pPr>
        <w:spacing w:before="160" w:after="40" w:line="240" w:lineRule="auto"/>
      </w:pPr>
      <w:r>
        <w:rPr>
          <w:b/>
        </w:rPr>
        <w:t xml:space="preserve">[10] </w:t>
      </w:r>
      <w:hyperlink r:id="rId432">
        <w:r>
          <w:rPr>
            <w:color w:val="1155CC"/>
            <w:u w:val="single"/>
          </w:rPr>
          <w:t>金属卟啉笼中碱金属离子的动态结合：对氧化还原催化的影响</w:t>
        </w:r>
      </w:hyperlink>
    </w:p>
    <w:p>
      <w:pPr>
        <w:spacing w:before="0" w:after="80"/>
      </w:pPr>
      <w:r>
        <w:rPr>
          <w:i/>
          <w:sz w:val="20"/>
        </w:rPr>
        <w:t>EN: Dynamic Binding of Alkali‐Metal Ions in a Metalloporphyrin Cage: Impact on Redox Catalysis</w:t>
      </w:r>
    </w:p>
    <w:p>
      <w:pPr>
        <w:spacing w:before="0" w:after="120"/>
      </w:pPr>
      <w:r>
        <w:rPr>
          <w:b/>
        </w:rPr>
        <w:t xml:space="preserve">Source: </w:t>
      </w:r>
      <w:r>
        <w:t>Wiley: Angewandte Chemie International Edition: Table of Contents</w:t>
      </w:r>
      <w:r>
        <w:t xml:space="preserve">    </w:t>
      </w:r>
      <w:r>
        <w:rPr>
          <w:b/>
        </w:rPr>
        <w:t xml:space="preserve">Pub date: </w:t>
      </w:r>
      <w:r>
        <w:t>2026-07-27 12:12:40+00:00</w:t>
      </w:r>
      <w:r>
        <w:t xml:space="preserve">    </w:t>
      </w:r>
      <w:r>
        <w:rPr>
          <w:b/>
        </w:rPr>
        <w:t xml:space="preserve">DOI: </w:t>
      </w:r>
      <w:hyperlink r:id="rId433">
        <w:r>
          <w:rPr>
            <w:color w:val="1155CC"/>
            <w:u w:val="single"/>
          </w:rPr>
          <w:t>10.1002/anie.9925316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局部静电环境对催化反应活性的影响在酶系统中已得到充分证实，但它们在合成催化剂中的系统实施仍然有限。在这里，我们研究了碱金属阳离子与钴卟啉笼络合物的动态结合，作为调节其氧化还原性质和对 CO 的催化活性的策略</w:t>
      </w:r>
      <w:r>
        <w:rPr>
          <w:vertAlign w:val="subscript"/>
        </w:rPr>
        <w:t>2</w:t>
      </w:r>
      <w:r>
        <w:t>减少量（二氧化碳</w:t>
      </w:r>
      <w:r>
        <w:rPr>
          <w:vertAlign w:val="subscript"/>
        </w:rPr>
        <w:t>2</w:t>
      </w:r>
      <w:r>
        <w:t>RR）。电化学研究表明 Co</w:t>
      </w:r>
      <w:r>
        <w:rPr>
          <w:vertAlign w:val="subscript"/>
        </w:rPr>
        <w:t>1</w:t>
      </w:r>
      <w:r>
        <w:t>+</w:t>
      </w:r>
      <w:r>
        <w:t xml:space="preserve"> </w:t>
      </w:r>
      <w:r>
        <w:t>→ 公司</w:t>
      </w:r>
      <w:r>
        <w:rPr>
          <w:vertAlign w:val="subscript"/>
        </w:rPr>
        <w:t>0</w:t>
      </w:r>
      <w:r>
        <w:t>氧化还原电位对电解质阳离子的特性高度敏感，其中 K</w:t>
      </w:r>
      <w:r>
        <w:t xml:space="preserve"> </w:t>
      </w:r>
      <w:r>
        <w:t>+</w:t>
      </w:r>
      <w:r>
        <w:t xml:space="preserve"> </w:t>
      </w:r>
      <w:r>
        <w:t>和铯</w:t>
      </w:r>
      <w:r>
        <w:t xml:space="preserve"> </w:t>
      </w:r>
      <w:r>
        <w:t>+</w:t>
      </w:r>
      <w:r>
        <w:t xml:space="preserve"> </w:t>
      </w:r>
      <w:r>
        <w:t>引起最大的正向变化（分别为 236 和 225 mV），导致 CO 大幅减少</w:t>
      </w:r>
      <w:r>
        <w:rPr>
          <w:vertAlign w:val="subscript"/>
        </w:rPr>
        <w:t>2</w:t>
      </w:r>
      <w:r>
        <w:t>RR 过电势。相比之下，李</w:t>
      </w:r>
      <w:r>
        <w:t xml:space="preserve"> </w:t>
      </w:r>
      <w:r>
        <w:t>+</w:t>
      </w:r>
      <w:r>
        <w:t xml:space="preserve"> </w:t>
      </w:r>
      <w:r>
        <w:t>, 钠</w:t>
      </w:r>
      <w:r>
        <w:t xml:space="preserve"> </w:t>
      </w:r>
      <w:r>
        <w:t>+</w:t>
      </w:r>
      <w:r>
        <w:t xml:space="preserve"> </w:t>
      </w:r>
      <w:r>
        <w:t>，和钙</w:t>
      </w:r>
      <w:r>
        <w:rPr>
          <w:vertAlign w:val="subscript"/>
        </w:rPr>
        <w:t>2</w:t>
      </w:r>
      <w:r>
        <w:t>+</w:t>
      </w:r>
      <w:r>
        <w:t xml:space="preserve"> </w:t>
      </w:r>
      <w:r>
        <w:t>仅产生轻微或中等影响。分子动力学模拟在结合模式和动力学方面使这些观察结果合理化：Li</w:t>
      </w:r>
      <w:r>
        <w:t xml:space="preserve"> </w:t>
      </w:r>
      <w:r>
        <w:t>+</w:t>
      </w:r>
      <w:r>
        <w:t xml:space="preserve"> </w:t>
      </w:r>
      <w:r>
        <w:t>保持完全溶剂化，Na</w:t>
      </w:r>
      <w:r>
        <w:t xml:space="preserve"> </w:t>
      </w:r>
      <w:r>
        <w:t>+</w:t>
      </w:r>
      <w:r>
        <w:t xml:space="preserve"> </w:t>
      </w:r>
      <w:r>
        <w:t>与笼子的相互作用较弱，而 K</w:t>
      </w:r>
      <w:r>
        <w:t xml:space="preserve"> </w:t>
      </w:r>
      <w:r>
        <w:t>+</w:t>
      </w:r>
      <w:r>
        <w:t xml:space="preserve"> </w:t>
      </w:r>
      <w:r>
        <w:t>和铯</w:t>
      </w:r>
      <w:r>
        <w:t xml:space="preserve"> </w:t>
      </w:r>
      <w:r>
        <w:t>+</w:t>
      </w:r>
      <w:r>
        <w:t xml:space="preserve"> </w:t>
      </w:r>
      <w:r>
        <w:t>绑定指定</w:t>
      </w:r>
    </w:p>
    <w:p>
      <w:pPr>
        <w:spacing w:before="0" w:after="200" w:lineRule="auto" w:line="276"/>
      </w:pPr>
      <w:r>
        <w:rPr>
          <w:b/>
        </w:rPr>
        <w:t xml:space="preserve">Abstract (EN): </w:t>
      </w:r>
      <w:r>
        <w:t>The influence of local electrostatic environments on catalytic reactivity is well established in enzymatic systems, but their systematic implementation in synthetic catalysts remains limited. Here, we investigate the dynamic binding of alkali‐metal cations to a cobalt porphyrin cage complex as a strategy to modulate its redox properties and catalytic activity toward CO</w:t>
      </w:r>
      <w:r>
        <w:rPr>
          <w:vertAlign w:val="subscript"/>
        </w:rPr>
        <w:t>2</w:t>
      </w:r>
      <w:r>
        <w:t>reduction (CO</w:t>
      </w:r>
      <w:r>
        <w:rPr>
          <w:vertAlign w:val="subscript"/>
        </w:rPr>
        <w:t>2</w:t>
      </w:r>
      <w:r>
        <w:t>RR). Electrochemical studies reveal that the Co</w:t>
      </w:r>
      <w:r>
        <w:rPr>
          <w:vertAlign w:val="subscript"/>
        </w:rPr>
        <w:t>1</w:t>
      </w:r>
      <w:r>
        <w:t>+</w:t>
      </w:r>
      <w:r>
        <w:t xml:space="preserve"> </w:t>
      </w:r>
      <w:r>
        <w:t>→ Co</w:t>
      </w:r>
      <w:r>
        <w:rPr>
          <w:vertAlign w:val="subscript"/>
        </w:rPr>
        <w:t>0</w:t>
      </w:r>
      <w:r>
        <w:t>redox potential is highly sensitive to the identity of the electrolyte cation, with K</w:t>
      </w:r>
      <w:r>
        <w:t xml:space="preserve"> </w:t>
      </w:r>
      <w:r>
        <w:t>+</w:t>
      </w:r>
      <w:r>
        <w:t xml:space="preserve"> </w:t>
      </w:r>
      <w:r>
        <w:t>and Cs</w:t>
      </w:r>
      <w:r>
        <w:t xml:space="preserve"> </w:t>
      </w:r>
      <w:r>
        <w:t>+</w:t>
      </w:r>
      <w:r>
        <w:t xml:space="preserve"> </w:t>
      </w:r>
      <w:r>
        <w:t>inducing the largest positive shifts (236 and 225 mV, respectively), resulting in substantial decreases in CO</w:t>
      </w:r>
      <w:r>
        <w:rPr>
          <w:vertAlign w:val="subscript"/>
        </w:rPr>
        <w:t>2</w:t>
      </w:r>
      <w:r>
        <w:t>RR overpotential. In contrast, Li</w:t>
      </w:r>
      <w:r>
        <w:t xml:space="preserve"> </w:t>
      </w:r>
      <w:r>
        <w:t>+</w:t>
      </w:r>
      <w:r>
        <w:t xml:space="preserve"> </w:t>
      </w:r>
      <w:r>
        <w:t>, Na</w:t>
      </w:r>
      <w:r>
        <w:t xml:space="preserve"> </w:t>
      </w:r>
      <w:r>
        <w:t>+</w:t>
      </w:r>
      <w:r>
        <w:t xml:space="preserve"> </w:t>
      </w:r>
      <w:r>
        <w:t>, and Ca</w:t>
      </w:r>
      <w:r>
        <w:rPr>
          <w:vertAlign w:val="subscript"/>
        </w:rPr>
        <w:t>2</w:t>
      </w:r>
      <w:r>
        <w:t>+</w:t>
      </w:r>
      <w:r>
        <w:t xml:space="preserve"> </w:t>
      </w:r>
      <w:r>
        <w:t>produce only minor or moderate effects. Molecular dynamics simulations rationalize these observations in terms of binding mode and dynamics: Li</w:t>
      </w:r>
      <w:r>
        <w:t xml:space="preserve"> </w:t>
      </w:r>
      <w:r>
        <w:t>+</w:t>
      </w:r>
      <w:r>
        <w:t xml:space="preserve"> </w:t>
      </w:r>
      <w:r>
        <w:t>remains fully solvated, Na</w:t>
      </w:r>
      <w:r>
        <w:t xml:space="preserve"> </w:t>
      </w:r>
      <w:r>
        <w:t>+</w:t>
      </w:r>
      <w:r>
        <w:t xml:space="preserve"> </w:t>
      </w:r>
      <w:r>
        <w:t>interacts weakly with the cage, while K</w:t>
      </w:r>
      <w:r>
        <w:t xml:space="preserve"> </w:t>
      </w:r>
      <w:r>
        <w:t>+</w:t>
      </w:r>
      <w:r>
        <w:t xml:space="preserve"> </w:t>
      </w:r>
      <w:r>
        <w:t>and Cs</w:t>
      </w:r>
      <w:r>
        <w:t xml:space="preserve"> </w:t>
      </w:r>
      <w:r>
        <w:t>+</w:t>
      </w:r>
      <w:r>
        <w:t xml:space="preserve"> </w:t>
      </w:r>
      <w:r>
        <w:t>bind specifically and symmetrically to the ether‐functionalized cage walls, with oxidation‐state‐dependent occupancy. These findings illustrate how alkali‐metal ion coordination can be harnessed to modulate molecular electrocatalysts and guide the design of redox‐tunable systems.</w:t>
      </w:r>
    </w:p>
    <w:p>
      <w:pPr>
        <w:spacing w:before="120" w:after="120"/>
      </w:pPr>
      <w:r>
        <w:rPr>
          <w:sz w:val="18"/>
        </w:rPr>
        <w:t>——————————————————————————————————————————————————————————————————————</w:t>
      </w:r>
    </w:p>
    <w:p>
      <w:pPr>
        <w:spacing w:before="160" w:after="40" w:line="240" w:lineRule="auto"/>
      </w:pPr>
      <w:r>
        <w:rPr>
          <w:b/>
        </w:rPr>
        <w:t xml:space="preserve">[11] </w:t>
      </w:r>
      <w:hyperlink r:id="rId434">
        <w:r>
          <w:rPr>
            <w:color w:val="1155CC"/>
            <w:u w:val="single"/>
          </w:rPr>
          <w:t>CO2与双环烷烃交替共聚制备环状聚酯</w:t>
        </w:r>
      </w:hyperlink>
    </w:p>
    <w:p>
      <w:pPr>
        <w:spacing w:before="0" w:after="80"/>
      </w:pPr>
      <w:r>
        <w:rPr>
          <w:i/>
          <w:sz w:val="20"/>
        </w:rPr>
        <w:t>EN: Alternating CO2 and bicycloalkane copolymerization to circular polyesters</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435">
        <w:r>
          <w:rPr>
            <w:color w:val="1155CC"/>
            <w:u w:val="single"/>
          </w:rPr>
          <w:t>10.1038/s41586-026-10848-2</w:t>
        </w:r>
      </w:hyperlink>
    </w:p>
    <w:p>
      <w:pPr>
        <w:spacing w:before="0" w:after="120"/>
      </w:pPr>
      <w:r>
        <w:rPr>
          <w:b/>
        </w:rPr>
        <w:t xml:space="preserve">Notes: </w:t>
      </w:r>
      <w:r>
        <w:t>abstract_source=pubmed</w:t>
      </w:r>
    </w:p>
    <w:p>
      <w:pPr>
        <w:spacing w:before="0" w:after="80" w:lineRule="auto" w:line="276"/>
      </w:pPr>
      <w:r>
        <w:rPr>
          <w:b/>
        </w:rPr>
        <w:t xml:space="preserve">摘要（ZH）: </w:t>
      </w:r>
      <w:r>
        <w:t>自 20 世纪 60 年代以来，人们一直在追求将丰富但惰性的 CO2 转化为有用的聚合物（参考文献 1），通常通过在催化剂的辅助下与反应性共聚单体共聚来实现，这可以解决与 CO2 固定和掺入相关的热力学约束和高动力学障碍2-5。然而，制造聚酯仍然是一个挑战，因为二氧化碳与烯烃的交替共聚在热力学上是不可行的6。在这里，我们介绍了一种闭环CO2基聚酯平台，通过CO2与双环烷烃、双环丁烷（BCB）和戊烷（BCP）单体直接交替共聚来生产高性能且可回收的聚酯。这种共聚反应由简单的有机催化剂引发，并以完美交替的方式进行，形成具有最大（50mol％）CO2掺入量和结构明确的主链的高摩尔质量聚酯，其中链内环结构能够实现可调节的热性能和机械性能。这些聚酯表现出所需的正交性能和报废结果。尽管 BCB-CO2 聚酯在整个 pH 范围内表现出优异的热稳定性和水解稳定性，但它们可以在本体和碱催化条件下选择性解聚，以 &gt;90% 的分离产率再生纯 BCB 单体。 BCP-CO2聚酯也可以选择性解聚，但解聚为双环内酯。连续的解聚-再聚合循环为 BCB/BCP-CO2 高性能聚酯建立了循环生命周期。</w:t>
      </w:r>
    </w:p>
    <w:p>
      <w:pPr>
        <w:spacing w:before="0" w:after="200" w:lineRule="auto" w:line="276"/>
      </w:pPr>
      <w:r>
        <w:rPr>
          <w:b/>
        </w:rPr>
        <w:t xml:space="preserve">Abstract (EN): </w:t>
      </w:r>
      <w:r>
        <w:t>Transforming abundant but inert CO2 into useful polymers has been pursued since the 1960s (ref. 1) and has typically been achieved by copolymerization with a reactive comonomer, aided by a catalyst, which can address both thermodynamic constraints and high kinetic barriers associated with CO2 fixation and incorporation2-5. However, making polyesters remains a challenge as alternating copolymerization of CO2 with alkenes is thermodynamically infeasible6. Here we introduce a closed-loop CO2-based polyester platform for producing high-performance yet recyclable polyesters by direct alternating copolymerization of CO2 with bicycloalkanes, bicyclic butane (BCB) and pentane (BCP) monomers. This copolymerization is initiated by a simple organic catalyst and proceeds in a perfectly alternating fashion to high-molar-mass polyesters with maximum (50 mol%) CO2 incorporation and architecturally defined backbones, in which the in-chain ring structure enables tailorable thermal and mechanical properties. These polyesters exhibit desired orthogonal performance and end-of-life outcomes. Although the BCB-CO2 polyesters exhibit exceptional thermal and hydrolytic stability across the full pH range, they can be selectively depolymerized in bulk and base-catalysed conditions to regenerate pure BCB monomers in &gt;90% isolated yield. The BCP-CO2 polyesters can also be selectively depolymerized but to bicyclolactones. Sequential depolymerization-repolymerization cycles establish circular lifecycles for BCB/BCP-CO2 high-performance polyesters.</w:t>
      </w:r>
    </w:p>
    <w:p>
      <w:pPr>
        <w:spacing w:before="120" w:after="120"/>
      </w:pPr>
      <w:r>
        <w:rPr>
          <w:sz w:val="18"/>
        </w:rPr>
        <w:t>——————————————————————————————————————————————————————————————————————</w:t>
      </w:r>
    </w:p>
    <w:p>
      <w:pPr>
        <w:spacing w:before="160" w:after="40" w:line="240" w:lineRule="auto"/>
      </w:pPr>
      <w:r>
        <w:rPr>
          <w:b/>
        </w:rPr>
        <w:t xml:space="preserve">[12] </w:t>
      </w:r>
      <w:hyperlink r:id="rId436">
        <w:r>
          <w:rPr>
            <w:color w:val="1155CC"/>
            <w:u w:val="single"/>
          </w:rPr>
          <w:t>海洋铁肥化的气候效益和生态成本权衡</w:t>
        </w:r>
      </w:hyperlink>
    </w:p>
    <w:p>
      <w:pPr>
        <w:spacing w:before="0" w:after="80"/>
      </w:pPr>
      <w:r>
        <w:rPr>
          <w:i/>
          <w:sz w:val="20"/>
        </w:rPr>
        <w:t>EN: Climate benefit and ecological cost trade-offs for ocean iron fertilization</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437">
        <w:r>
          <w:rPr>
            <w:color w:val="1155CC"/>
            <w:u w:val="single"/>
          </w:rPr>
          <w:t>10.1038/s41586-026-10795-y</w:t>
        </w:r>
      </w:hyperlink>
    </w:p>
    <w:p>
      <w:pPr>
        <w:spacing w:before="0" w:after="120"/>
      </w:pPr>
      <w:r>
        <w:rPr>
          <w:b/>
        </w:rPr>
        <w:t xml:space="preserve">Notes: </w:t>
      </w:r>
      <w:r>
        <w:t>abstract_source=pubmed</w:t>
      </w:r>
    </w:p>
    <w:p>
      <w:pPr>
        <w:spacing w:before="0" w:after="80" w:lineRule="auto" w:line="276"/>
      </w:pPr>
      <w:r>
        <w:rPr>
          <w:b/>
        </w:rPr>
        <w:t xml:space="preserve">摘要（ZH）: </w:t>
      </w:r>
      <w:r>
        <w:t>海洋铁施肥（OIF）作为一种潜在的二氧化碳去除（CDR）策略正在被讨论1。然而，人们对气候效益与生态成本之间的权衡仍知之甚少2-4。在这里，我们使用一个过程丰富的海洋生物地球化学模型，该模型具有经过验证的海洋生物多样性和生物地球化学5表征，以量化 60 年来十个海洋生物群落的受精潜力和生态系统影响。我们发现气候生态系统权衡方面存在区域差异：具有可比 CDR 效率的生物群落具有截然不同的生态结果。南大洋和赤道太平洋通过不同的途径实现最高效率：前者通过非本地下游碳输出，后者通过本地输出并造成下游损失，因为受精的水华消耗了源水中的常量营养素，抑制了非本地生产力。因此，赤道施肥减少了能量流向更高的营养级，扩大了最低氧区（OMZ）并减少了大型浮游动物的生物量。通过将部署转移到高纬度地区，这些生态系统影响可能是可以避免的。受精后恢复实验揭示了南大洋的生态系统恢复力，但由于区域铁滞留而导致赤道太平洋的持续扰动。平衡气候效益和生态风险产生三个层次：南大洋（更高效率/更低风险）；赤道太平洋和全球受精（效率更高/风险更高）；和亚热带地区（效率较低/风险中等）。六十年施肥净产量C</w:t>
      </w:r>
    </w:p>
    <w:p>
      <w:pPr>
        <w:spacing w:before="0" w:after="200" w:lineRule="auto" w:line="276"/>
      </w:pPr>
      <w:r>
        <w:rPr>
          <w:b/>
        </w:rPr>
        <w:t xml:space="preserve">Abstract (EN): </w:t>
      </w:r>
      <w:r>
        <w:t>Ocean iron fertilization (OIF) is being discussed as a potential carbon dioxide removal (CDR) strategy1. Yet the trade-offs between climate benefits and ecological costs remain poorly understood2-4. Here we use a process-rich ocean biogeochemical model with validated representations of marine biodiversity and biogeochemistry5 to quantify fertilization potential and ecosystem impact across ten ocean biomes over 60 years. We find regional disparities in climate ecosystem trade-offs: biomes with comparable CDR efficiency have contrasting ecological outcomes. The Southern Ocean and the equatorial Pacific achieve the highest efficiencies through distinct pathways: the former through non-local downstream carbon export, the latter through local export with downstream loss, as fertilized blooms deplete macronutrients in source water, suppressing non-local productivity. Consequently, equatorial fertilization reduces energy flows to higher trophic levels, expands oxygen-minimum zones (OMZs) and reduces macrozooplankton biomass. These ecosystem impacts are potentially avoidable by shifting deployment to higher latitudes. Post-fertilization recovery experiments reveal ecosystem resilience in the Southern Ocean but persistent perturbations in the equatorial Pacific owing to regional iron retention. Balancing climate benefits and ecological risks yields three tiers: the Southern Ocean (higher efficiency/lower risk); the equatorial Pacific and global fertilization (higher efficiency/higher risk); and the subtropics (lower efficiency/moderate risk). Sixty years of fertilization yield net CDR of 1.1-5.3 ppm, with more than half re-emitted within decades post-fertilization. The disconnect between local interventions and global outcomes complicates robust carbon crediting and raises equity and governance concerns.</w:t>
      </w:r>
    </w:p>
    <w:p>
      <w:pPr>
        <w:spacing w:before="120" w:after="120"/>
      </w:pPr>
      <w:r>
        <w:rPr>
          <w:sz w:val="18"/>
        </w:rPr>
        <w:t>——————————————————————————————————————————————————————————————————————</w:t>
      </w:r>
    </w:p>
    <w:p>
      <w:pPr>
        <w:spacing w:before="160" w:after="40" w:line="240" w:lineRule="auto"/>
      </w:pPr>
      <w:r>
        <w:rPr>
          <w:b/>
        </w:rPr>
        <w:t xml:space="preserve">[13] </w:t>
      </w:r>
      <w:hyperlink r:id="rId438">
        <w:r>
          <w:rPr>
            <w:color w:val="1155CC"/>
            <w:u w:val="single"/>
          </w:rPr>
          <w:t>人工藻华可以消除大气中的碳——但它们可以负责任地使用吗？</w:t>
        </w:r>
      </w:hyperlink>
    </w:p>
    <w:p>
      <w:pPr>
        <w:spacing w:before="0" w:after="80"/>
      </w:pPr>
      <w:r>
        <w:rPr>
          <w:i/>
          <w:sz w:val="20"/>
        </w:rPr>
        <w:t>EN: Artificial algal blooms could remove atmospheric carbon — but can they be used responsibly?</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439">
        <w:r>
          <w:rPr>
            <w:color w:val="1155CC"/>
            <w:u w:val="single"/>
          </w:rPr>
          <w:t>10.1038/d41586-026-02126-y</w:t>
        </w:r>
      </w:hyperlink>
    </w:p>
    <w:p>
      <w:pPr>
        <w:spacing w:before="0" w:after="120"/>
      </w:pPr>
      <w:r>
        <w:rPr>
          <w:b/>
        </w:rPr>
        <w:t xml:space="preserve">Notes: </w:t>
      </w:r>
      <w:r>
        <w:t>abstract_source=rss_nature</w:t>
      </w:r>
    </w:p>
    <w:p>
      <w:pPr>
        <w:spacing w:before="0" w:after="80" w:lineRule="auto" w:line="276"/>
      </w:pPr>
      <w:r>
        <w:rPr>
          <w:b/>
        </w:rPr>
        <w:t xml:space="preserve">摘要（ZH）: </w:t>
      </w:r>
      <w:r>
        <w:t>在海洋中添加铁来刺激吸收碳的浮游植物可能会产生远远超出干预地点的生态后果。</w:t>
      </w:r>
    </w:p>
    <w:p>
      <w:pPr>
        <w:spacing w:before="0" w:after="200" w:lineRule="auto" w:line="276"/>
      </w:pPr>
      <w:r>
        <w:rPr>
          <w:b/>
        </w:rPr>
        <w:t xml:space="preserve">Abstract (EN): </w:t>
      </w:r>
      <w:r>
        <w:t>Adding iron to the ocean to stimulate carbon-absorbing phytoplankton could have ecological consequences that reach far beyond the intervention site.</w:t>
      </w:r>
    </w:p>
    <w:p>
      <w:pPr>
        <w:spacing w:before="120" w:after="120"/>
      </w:pPr>
      <w:r>
        <w:rPr>
          <w:sz w:val="18"/>
        </w:rPr>
        <w:t>——————————————————————————————————————————————————————————————————————</w:t>
      </w:r>
    </w:p>
    <w:p>
      <w:pPr>
        <w:spacing w:before="160" w:after="40" w:line="240" w:lineRule="auto"/>
      </w:pPr>
      <w:r>
        <w:rPr>
          <w:b/>
        </w:rPr>
        <w:t xml:space="preserve">[14] </w:t>
      </w:r>
      <w:hyperlink r:id="rId338">
        <w:r>
          <w:rPr>
            <w:color w:val="1155CC"/>
            <w:u w:val="single"/>
          </w:rPr>
          <w:t>通过空腔状分子筛通道调控微孔结构</w:t>
        </w:r>
      </w:hyperlink>
    </w:p>
    <w:p>
      <w:pPr>
        <w:spacing w:before="0" w:after="80"/>
      </w:pPr>
      <w:r>
        <w:rPr>
          <w:i/>
          <w:sz w:val="20"/>
        </w:rPr>
        <w:t>EN: Regulating the microporous structure by cavity-shaped molecular sieving channels</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339">
        <w:r>
          <w:rPr>
            <w:color w:val="1155CC"/>
            <w:u w:val="single"/>
          </w:rPr>
          <w:t>10.1126/sciadv.aee9782</w:t>
        </w:r>
      </w:hyperlink>
    </w:p>
    <w:p>
      <w:pPr>
        <w:spacing w:before="0" w:after="120"/>
      </w:pPr>
      <w:r>
        <w:rPr>
          <w:b/>
        </w:rPr>
        <w:t xml:space="preserve">Notes: </w:t>
      </w:r>
      <w:r>
        <w:t>abstract_source=crossref</w:t>
      </w:r>
    </w:p>
    <w:p>
      <w:pPr>
        <w:spacing w:before="0" w:after="80" w:lineRule="auto" w:line="276"/>
      </w:pPr>
      <w:r>
        <w:rPr>
          <w:b/>
        </w:rPr>
        <w:t xml:space="preserve">摘要（ZH）: </w:t>
      </w:r>
      <w:r>
        <w:t>膜分离技术是传统能源密集型气体分离技术的一种有前途且有效的替代技术。然而，大多数商用膜具有低渗透性和中等选择性，这限制了它们满足氢气纯化和天然气升级严格的气体纯度要求的能力。在本研究中，选择广泛使用的商业聚合物Matrimid作为基质材料。具有选择性空腔的葫芦脲（CB）被纳入Matrimid作为短程气体传输通道。这种修改增加了气体传输路径并增强了膜结构内气体传输网络的连通性。的H</w:t>
      </w:r>
      <w:r>
        <w:rPr>
          <w:vertAlign w:val="subscript"/>
        </w:rPr>
        <w:t>2</w:t>
      </w:r>
      <w:r>
        <w:t>Matrimid-CB-5% 膜的渗透性从 113 Barrer 下降至 74 Barrer，而 H</w:t>
      </w:r>
      <w:r>
        <w:rPr>
          <w:vertAlign w:val="subscript"/>
        </w:rPr>
        <w:t>2</w:t>
      </w:r>
      <w:r>
        <w:t>/CH</w:t>
      </w:r>
      <w:r>
        <w:rPr>
          <w:vertAlign w:val="subscript"/>
        </w:rPr>
        <w:t>4</w:t>
      </w:r>
      <w:r>
        <w:t>在 600 天的老化过程中，选择性从 169 增加到 743。值得注意的是，这些膜的分离效率超过了最新的 CO 上限线</w:t>
      </w:r>
      <w:r>
        <w:rPr>
          <w:vertAlign w:val="subscript"/>
        </w:rPr>
        <w:t>2</w:t>
      </w:r>
      <w:r>
        <w:t>/N</w:t>
      </w:r>
      <w:r>
        <w:rPr>
          <w:vertAlign w:val="subscript"/>
        </w:rPr>
        <w:t>2</w:t>
      </w:r>
      <w:r>
        <w:t>和一氧化碳</w:t>
      </w:r>
      <w:r>
        <w:rPr>
          <w:vertAlign w:val="subscript"/>
        </w:rPr>
        <w:t>2</w:t>
      </w:r>
      <w:r>
        <w:t>/CH</w:t>
      </w:r>
      <w:r>
        <w:rPr>
          <w:vertAlign w:val="subscript"/>
        </w:rPr>
        <w:t>4</w:t>
      </w:r>
      <w:r>
        <w:t>分离。这些结果表明，与广泛使用的商业材料（例如 Matrimid、醋酸纤维素、聚砜和其他混合基质膜）相比，有了显着的改进。</w:t>
      </w:r>
    </w:p>
    <w:p>
      <w:pPr>
        <w:spacing w:before="0" w:after="200" w:lineRule="auto" w:line="276"/>
      </w:pPr>
      <w:r>
        <w:rPr>
          <w:b/>
        </w:rPr>
        <w:t xml:space="preserve">Abstract (EN): </w:t>
      </w:r>
      <w:r>
        <w:t>Membrane separation technology represents a promising and effective alternative to traditional energy-intensive gas separation technologies. However, most commercial membranes have low permeability and moderate selectivity, which limits their ability to meet the stringent gas purity requirements for hydrogen purification and natural gas upgrading. In this study, Matrimid, a widely used commercial polymer, was selected as the matrix material. Cucurbituril (CB) with selective cavity was incorporated into Matrimid as short-path gas transport channels. This modification increased the gas transport pathways and enhanced the connectivity of gas transmission networks within the membrane structure. The H</w:t>
      </w:r>
      <w:r>
        <w:rPr>
          <w:vertAlign w:val="subscript"/>
        </w:rPr>
        <w:t>2</w:t>
      </w:r>
      <w:r>
        <w:t>permeability of Matrimid-CB-5% membrane decreased from 113 to 74 Barrer, while the H</w:t>
      </w:r>
      <w:r>
        <w:rPr>
          <w:vertAlign w:val="subscript"/>
        </w:rPr>
        <w:t>2</w:t>
      </w:r>
      <w:r>
        <w:t>/CH</w:t>
      </w:r>
      <w:r>
        <w:rPr>
          <w:vertAlign w:val="subscript"/>
        </w:rPr>
        <w:t>4</w:t>
      </w:r>
      <w:r>
        <w:t>selectivity increased from 169 to 743 during 600-day aging. Notably, the membranes achieved separation efficiencies that surpassed the latest upper bound line for CO</w:t>
      </w:r>
      <w:r>
        <w:rPr>
          <w:vertAlign w:val="subscript"/>
        </w:rPr>
        <w:t>2</w:t>
      </w:r>
      <w:r>
        <w:t>/N</w:t>
      </w:r>
      <w:r>
        <w:rPr>
          <w:vertAlign w:val="subscript"/>
        </w:rPr>
        <w:t>2</w:t>
      </w:r>
      <w:r>
        <w:t>and CO</w:t>
      </w:r>
      <w:r>
        <w:rPr>
          <w:vertAlign w:val="subscript"/>
        </w:rPr>
        <w:t>2</w:t>
      </w:r>
      <w:r>
        <w:t>/CH</w:t>
      </w:r>
      <w:r>
        <w:rPr>
          <w:vertAlign w:val="subscript"/>
        </w:rPr>
        <w:t>4</w:t>
      </w:r>
      <w:r>
        <w:t>separations. These results indicate a substantial improvement over widely used commercial materials such as Matrimid, cellulose acetate, polysulfone, and other mixed matrix membranes.</w:t>
      </w:r>
    </w:p>
    <w:p>
      <w:pPr>
        <w:spacing w:before="120" w:after="120"/>
      </w:pPr>
      <w:r>
        <w:rPr>
          <w:sz w:val="18"/>
        </w:rPr>
        <w:t>——————————————————————————————————————————————————————————————————————</w:t>
      </w:r>
    </w:p>
    <w:p>
      <w:pPr>
        <w:spacing w:before="160" w:after="40" w:line="240" w:lineRule="auto"/>
      </w:pPr>
      <w:r>
        <w:rPr>
          <w:b/>
        </w:rPr>
        <w:t xml:space="preserve">[15] </w:t>
      </w:r>
      <w:hyperlink r:id="rId440">
        <w:r>
          <w:rPr>
            <w:color w:val="1155CC"/>
            <w:u w:val="single"/>
          </w:rPr>
          <w:t>枯竭气藏中氢气和二氧化碳的地下生物甲烷化：热-水-生物耦合模型</w:t>
        </w:r>
      </w:hyperlink>
    </w:p>
    <w:p>
      <w:pPr>
        <w:spacing w:before="0" w:after="80"/>
      </w:pPr>
      <w:r>
        <w:rPr>
          <w:i/>
          <w:sz w:val="20"/>
        </w:rPr>
        <w:t>EN: Underground bio-methanation of hydrogen and carbon dioxide in depleted gas reservoirs: Thermo-hydro-bio coupled modeling</w:t>
      </w:r>
    </w:p>
    <w:p>
      <w:pPr>
        <w:spacing w:before="0" w:after="120"/>
      </w:pPr>
      <w:r>
        <w:rPr>
          <w:b/>
        </w:rPr>
        <w:t xml:space="preserve">Source: </w:t>
      </w:r>
      <w:r>
        <w:t>ScienceDirect Publication: Applied Energy</w:t>
      </w:r>
      <w:r>
        <w:t xml:space="preserve">    </w:t>
      </w:r>
      <w:r>
        <w:rPr>
          <w:b/>
        </w:rPr>
        <w:t xml:space="preserve">Pub date: </w:t>
      </w:r>
      <w:r>
        <w:t>2026-07-30 00:00:00+00:00</w:t>
      </w:r>
      <w:r>
        <w:t xml:space="preserve">    </w:t>
      </w:r>
      <w:r>
        <w:rPr>
          <w:b/>
        </w:rPr>
        <w:t xml:space="preserve">DOI: </w:t>
      </w:r>
      <w:hyperlink r:id="rId441">
        <w:r>
          <w:rPr>
            <w:color w:val="1155CC"/>
            <w:u w:val="single"/>
          </w:rPr>
          <w:t>10.1016/j.apenergy.2026.128555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342">
        <w:r>
          <w:rPr>
            <w:color w:val="1155CC"/>
            <w:u w:val="single"/>
          </w:rPr>
          <w:t>太阳能驱动的人工混合系统超越自然生物转化</w:t>
        </w:r>
      </w:hyperlink>
    </w:p>
    <w:p>
      <w:pPr>
        <w:spacing w:before="0" w:after="80"/>
      </w:pPr>
      <w:r>
        <w:rPr>
          <w:i/>
          <w:sz w:val="20"/>
        </w:rPr>
        <w:t>EN: Solar-driven artificial hybrid systems for beyond natural biotransformation</w:t>
      </w:r>
    </w:p>
    <w:p>
      <w:pPr>
        <w:spacing w:before="0" w:after="120"/>
      </w:pPr>
      <w:r>
        <w:rPr>
          <w:b/>
        </w:rPr>
        <w:t xml:space="preserve">Source: </w:t>
      </w:r>
      <w:r>
        <w:t>National Science Review Advance Access</w:t>
      </w:r>
      <w:r>
        <w:t xml:space="preserve">    </w:t>
      </w:r>
      <w:r>
        <w:rPr>
          <w:b/>
        </w:rPr>
        <w:t xml:space="preserve">Pub date: </w:t>
      </w:r>
      <w:r>
        <w:t>2026-07-30 00:00:00+00:00</w:t>
      </w:r>
      <w:r>
        <w:t xml:space="preserve">    </w:t>
      </w:r>
      <w:r>
        <w:rPr>
          <w:b/>
        </w:rPr>
        <w:t xml:space="preserve">DOI: </w:t>
      </w:r>
      <w:hyperlink r:id="rId343">
        <w:r>
          <w:rPr>
            <w:color w:val="1155CC"/>
            <w:u w:val="single"/>
          </w:rPr>
          <w:t>10.1093/nsr/nwag461</w:t>
        </w:r>
      </w:hyperlink>
    </w:p>
    <w:p>
      <w:pPr>
        <w:spacing w:before="0" w:after="120"/>
      </w:pPr>
      <w:r>
        <w:rPr>
          <w:b/>
        </w:rPr>
        <w:t xml:space="preserve">Notes: </w:t>
      </w:r>
      <w:r>
        <w:t>abstract_source=rss_oup</w:t>
      </w:r>
    </w:p>
    <w:p>
      <w:pPr>
        <w:spacing w:before="0" w:after="80" w:lineRule="auto" w:line="276"/>
      </w:pPr>
      <w:r>
        <w:rPr>
          <w:b/>
        </w:rPr>
        <w:t xml:space="preserve">摘要（ZH）: </w:t>
      </w:r>
      <w:r>
        <w:t>生物转化在解决与资源利用和能源可持续性相关的全球挑战方面发挥着至关重要的作用。光合作用和微生物代谢等自然过程将外部资源转化为功能化合物。然而，这些过程通常受到效率低下、反应速度慢和产品多样性有限的限制。物理、化学和生物科学的最新进展导致自然和人工策略的融合，有效应对这些挑战。这些发展与人工光合作用的进步一起，为二氧化碳减排、固氮和可持续化学生产提供了解决方案，从而扩大了生物转化的范围，超越了传统的自然过程。在此，我们首先介绍近年来在解决自然生物转化过程中涉及的蛋白质/蛋白质复合物/酶的结构和催化机制方面的代表性成果。然后，我们的评论重点介绍了受自然光合作用启发的有机生物混合系统，重点关注二氧化碳和氮气的转化以及它们所带来的各种增值产品。此外，本文将探讨人工光合作用系统的潜力，研究其在推进生物转化过程中的集成和应用。最后，我们讨论了关键挑战并提出了推进该领域研究的未来策略。人工系统的不断进步为变革带来了巨大的希望，并为可持续发展铺平了道路。</w:t>
      </w:r>
    </w:p>
    <w:p>
      <w:pPr>
        <w:spacing w:before="0" w:after="200" w:lineRule="auto" w:line="276"/>
      </w:pPr>
      <w:r>
        <w:rPr>
          <w:b/>
        </w:rPr>
        <w:t xml:space="preserve">Abstract (EN): </w:t>
      </w:r>
      <w:r>
        <w:t>Biotransformation plays a crucial role in addressing global challenges related to resource utilization and energy sustainability. Natural processes, such as photosynthesis and microbial metabolism, transform external resources into functional compounds. However, these processes are often constrained by inefficiencies, slow reaction rates, and limited product diversity. Recent advancements across the physical, chemical, and biological sciences have led to the convergence of natural and artificial strategies that effectively tackle these challenges. These developments, alongside progress in artificial photosynthesis, offer solutions for CO2 reduction, N2 fixation, and sustainable chemical production, thereby broadening the scope of biotransformation beyond traditional natural processes. Herein, we first introduce recent representative achievements in resolving the structures and catalytic mechanisms of proteins/protein complexes/enzymes involved in natural biotransformation processes. Our review then highlights natural photosynthesis-inspired organic-biological hybrid systems, focusing on the conversion of CO2 and N2 as well as the diverse range of value-added products they enable. Furthermore, this paper will explore the potential of artificial photosynthesis systems, examining their integration and applications in advancing biotransformation processes. Finally, we discuss key challenges and propose future strategies to advance research in this field. The ongoing advancements in artificial systems hold immense promise for revolutionizing and paving the way for a sustainable future that extends beyond natural biotransformation.</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442">
        <w:r>
          <w:rPr>
            <w:color w:val="1155CC"/>
            <w:u w:val="single"/>
          </w:rPr>
          <w:t>可修复和后编程金属有机框架——Vitrimer 复合材料</w:t>
        </w:r>
      </w:hyperlink>
    </w:p>
    <w:p>
      <w:pPr>
        <w:spacing w:before="0" w:after="80"/>
      </w:pPr>
      <w:r>
        <w:rPr>
          <w:i/>
          <w:sz w:val="20"/>
        </w:rPr>
        <w:t>EN: Healable and Post‐Programmable Metal–Organic Framework—Vitrimer Composites</w:t>
      </w:r>
    </w:p>
    <w:p>
      <w:pPr>
        <w:spacing w:before="0" w:after="120"/>
      </w:pPr>
      <w:r>
        <w:rPr>
          <w:b/>
        </w:rPr>
        <w:t xml:space="preserve">Source: </w:t>
      </w:r>
      <w:r>
        <w:t>Wiley: Advanced Materials: Table of Contents</w:t>
      </w:r>
      <w:r>
        <w:t xml:space="preserve">    </w:t>
      </w:r>
      <w:r>
        <w:rPr>
          <w:b/>
        </w:rPr>
        <w:t xml:space="preserve">Pub date: </w:t>
      </w:r>
      <w:r>
        <w:t>2026-07-25 21:38:24+00:00</w:t>
      </w:r>
      <w:r>
        <w:t xml:space="preserve">    </w:t>
      </w:r>
      <w:r>
        <w:rPr>
          <w:b/>
        </w:rPr>
        <w:t xml:space="preserve">DOI: </w:t>
      </w:r>
      <w:hyperlink r:id="rId443">
        <w:r>
          <w:rPr>
            <w:color w:val="1155CC"/>
            <w:u w:val="single"/>
          </w:rPr>
          <w:t>10.1002/adma.74248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金属有机骨架 (MOF) 颗粒通常被纳入聚合物复合材料中以赋予多孔性或功能性，但它们通常仍然作为填料而不是定义聚合物网络结构。在这里，我们报告了一种新的设计原理，其中 UiO-66-NH</w:t>
      </w:r>
      <w:r>
        <w:rPr>
          <w:vertAlign w:val="subscript"/>
        </w:rPr>
        <w:t>2</w:t>
      </w:r>
      <w:r>
        <w:t>纳米颗粒用作线性聚亚胺的动态共价交联剂，形成 MOF-vitrimer 复合材料。通过 MOF 结合的胺和聚合物醛之间形成亚胺键，MOF 成为一个完整的网络节点，产生具有高耐溶剂性的独立 MOF-vitrimer 复合膜，同时 MOF 保留结晶度。这种结构带来了超越传统 MOF-聚合物复合材料的特性：动态亚胺交换能够实现热修复、机械再加工和化学回收。此外，合成后回火可重新分配网络连接性，并将机械性能从柔软且可延展的状态重新编程为刚性且坚固的状态，从而使材料</w:t>
      </w:r>
      <w:r>
        <w:t xml:space="preserve"> </w:t>
      </w:r>
      <w:r>
        <w:t>多能性</w:t>
      </w:r>
      <w:r>
        <w:t xml:space="preserve"> </w:t>
      </w:r>
      <w:r>
        <w:t>和可调节性以适应不同的应用。与传统的有机交联剂不同，MOF节点还保留了其固有功能，使复合材料能够进行水性染料吸附和有机磷酸盐模拟水解，同时保持易于处理和回收。这项工作将 MOF 确立为多功能动态交联剂，用于可修复、可回收和后编程混合材料，将 MOF-聚合物复合材料扩展到被动填料之外</w:t>
      </w:r>
    </w:p>
    <w:p>
      <w:pPr>
        <w:spacing w:before="0" w:after="200" w:lineRule="auto" w:line="276"/>
      </w:pPr>
      <w:r>
        <w:rPr>
          <w:b/>
        </w:rPr>
        <w:t xml:space="preserve">Abstract (EN): </w:t>
      </w:r>
      <w:r>
        <w:t>Metal–organic framework (MOF) particles are commonly incorporated into polymer composites to impart porosity or functionality, but they often remain as fillers rather than defining the polymer network architecture. Here, we report a new design principle in which UiO‐66‐NH</w:t>
      </w:r>
      <w:r>
        <w:rPr>
          <w:vertAlign w:val="subscript"/>
        </w:rPr>
        <w:t>2</w:t>
      </w:r>
      <w:r>
        <w:t>nanoparticles are used as dynamic covalent crosslinkers for a linear polyimines to form MOF–vitrimer composites. Through imine bond formation between MOF‐bound amines and polymer aldehydes, the MOF becomes an integral network node, yielding free‐standing MOF–vitrimer composite films with high solvent resistance, while the MOF retains crystallinity. This architecture gives rise to properties beyond conventional MOF–polymer composites: dynamic imine exchange enables thermal healing, mechanical reprocessing, and chemical recycling. Furthermore, post‐synthetic tempering redistributes network connectivity and reprograms the mechanical properties from soft and extensible to stiff and strong, enabling material</w:t>
      </w:r>
      <w:r>
        <w:t xml:space="preserve"> </w:t>
      </w:r>
      <w:r>
        <w:t>pluripotency</w:t>
      </w:r>
      <w:r>
        <w:t xml:space="preserve"> </w:t>
      </w:r>
      <w:r>
        <w:t>and tunability to suit different applications. Unlike conventional organic crosslinkers, the MOF nodes also retain their intrinsic functions, allowing the composites to perform aqueous dye adsorption and organophosphate simulant hydrolysis while remaining easy to handle and recover. This work establishes MOFs as multifunctional dynamic crosslinkers for healable, recyclable, and post‐programmable hybrid materials, expanding MOF–polymer composites beyond passive filler architectures.</w:t>
      </w:r>
    </w:p>
    <w:p>
      <w:pPr>
        <w:spacing w:before="120" w:after="120"/>
      </w:pPr>
      <w:r>
        <w:rPr>
          <w:sz w:val="18"/>
        </w:rPr>
        <w:t>——————————————————————————————————————————————————————————————————————</w:t>
      </w:r>
    </w:p>
    <w:p>
      <w:pPr>
        <w:spacing w:before="160" w:after="40" w:line="240" w:lineRule="auto"/>
      </w:pPr>
      <w:r>
        <w:rPr>
          <w:b/>
        </w:rPr>
        <w:t xml:space="preserve">[2] </w:t>
      </w:r>
      <w:hyperlink r:id="rId444">
        <w:r>
          <w:rPr>
            <w:color w:val="1155CC"/>
            <w:u w:val="single"/>
          </w:rPr>
          <w:t>具有定制吸附平衡的多组分纳米线气凝胶用于聚对苯二甲酸乙二醇酯的升级循环</w:t>
        </w:r>
      </w:hyperlink>
    </w:p>
    <w:p>
      <w:pPr>
        <w:spacing w:before="0" w:after="80"/>
      </w:pPr>
      <w:r>
        <w:rPr>
          <w:i/>
          <w:sz w:val="20"/>
        </w:rPr>
        <w:t>EN: Multicomponent Nanowire Aerogels With Tailored Adsorption Equilibrium for the Upcycling of Polyethylene Terephthalate</w:t>
      </w:r>
    </w:p>
    <w:p>
      <w:pPr>
        <w:spacing w:before="0" w:after="120"/>
      </w:pPr>
      <w:r>
        <w:rPr>
          <w:b/>
        </w:rPr>
        <w:t xml:space="preserve">Source: </w:t>
      </w:r>
      <w:r>
        <w:t>Wiley: Advanced Materials: Table of Contents</w:t>
      </w:r>
      <w:r>
        <w:t xml:space="preserve">    </w:t>
      </w:r>
      <w:r>
        <w:rPr>
          <w:b/>
        </w:rPr>
        <w:t xml:space="preserve">Pub date: </w:t>
      </w:r>
      <w:r>
        <w:t>2026-07-25 21:40:49+00:00</w:t>
      </w:r>
      <w:r>
        <w:t xml:space="preserve">    </w:t>
      </w:r>
      <w:r>
        <w:rPr>
          <w:b/>
        </w:rPr>
        <w:t xml:space="preserve">DOI: </w:t>
      </w:r>
      <w:hyperlink r:id="rId445">
        <w:r>
          <w:rPr>
            <w:color w:val="1155CC"/>
            <w:u w:val="single"/>
          </w:rPr>
          <w:t>10.1002/adma.74280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多组分纳米线气凝胶 (MNWA) 将 1D 各向异性与 3D 多孔框架相结合，但由于不兼容的还原动力学和多组分系统的不混溶性，其合成仍然具有挑战性。在此，我们开发了一种“受限拓扑变换”策略来直接制造 MNWA。我们揭示了“受限界面键合演化竞争机制”在控制转变过程中贵金属与 Te 模板相互作用的关键作用。 MNWA 能够实现聚对苯二甲酸乙二醇酯 (PET) 的高效增值转化，展示了其实际潜力。具体来说，PdPtRuRhIrTe MNWAs/C表现出高达91.7%的法拉第效率和12.05 mmol h的产率</w:t>
      </w:r>
      <w:r>
        <w:t xml:space="preserve"> </w:t>
      </w:r>
      <w:r>
        <w:t>−1</w:t>
      </w:r>
      <w:r>
        <w:t xml:space="preserve"> </w:t>
      </w:r>
      <w:r>
        <w:t>毫克</w:t>
      </w:r>
      <w:r>
        <w:t xml:space="preserve"> </w:t>
      </w:r>
      <w:r>
        <w:t>−1</w:t>
      </w:r>
      <w:r>
        <w:t xml:space="preserve"> </w:t>
      </w:r>
      <w:r>
        <w:t>在电催化 PET 衍生的乙二醇氧化反应 (EGOR) 中，乙醇酸的催化活性高于多元纳米粒子气凝胶和 PdTe/PtTe/PdPtTe 纳米线气凝胶。值得注意的是，PdPtRuRhIrTe MNWAs/C 在工业级电流密度 100 mA cm 的循环测试中保持稳定运行超过 1000 小时</w:t>
      </w:r>
      <w:r>
        <w:t xml:space="preserve"> </w:t>
      </w:r>
      <w:r>
        <w:t>−2</w:t>
      </w:r>
      <w:r>
        <w:t xml:space="preserve"> </w:t>
      </w:r>
      <w:r>
        <w:t>在膜电极组件中，每 24 小时更换一次电解质。进一步的分析和理论计算表明，PdPtRuRhIrTe MNWAs的多组分协同效应促进了电子和质量传输，调节表面吸附的*OH和EG的吸附，从而降低了能量势垒</w:t>
      </w:r>
    </w:p>
    <w:p>
      <w:pPr>
        <w:spacing w:before="0" w:after="200" w:lineRule="auto" w:line="276"/>
      </w:pPr>
      <w:r>
        <w:rPr>
          <w:b/>
        </w:rPr>
        <w:t xml:space="preserve">Abstract (EN): </w:t>
      </w:r>
      <w:r>
        <w:t>Multicomponent nanowire aerogels (MNWAs) integrate 1D anisotropy with 3D porous frameworks, yet their synthesis remains challenging due to incompatible reduction kinetics and immiscibility of multicomponent systems. Herein, we develop a “confined topological transformation” strategy to directly fabricate MNWAs. We uncover the critical role of “confined interfacial bonding evolution competition mechanism” in governing noble metal interactions with Te templates during transformation. The MNWAs enable efficient value‐added conversion of polyethylene terephthalate (PET), demonstrating their practical potential. Specifically, the PdPtRuRhIrTe MNWAs/C exhibit remarkably high Faraday efficiency of 91.7% and yield rate of 12.05 mmol h</w:t>
      </w:r>
      <w:r>
        <w:t xml:space="preserve"> </w:t>
      </w:r>
      <w:r>
        <w:t>−1</w:t>
      </w:r>
      <w:r>
        <w:t xml:space="preserve"> </w:t>
      </w:r>
      <w:r>
        <w:t>mg</w:t>
      </w:r>
      <w:r>
        <w:t xml:space="preserve"> </w:t>
      </w:r>
      <w:r>
        <w:t>−1</w:t>
      </w:r>
      <w:r>
        <w:t xml:space="preserve"> </w:t>
      </w:r>
      <w:r>
        <w:t>for glycolic acid in electrocatalytic PET‐derived ethylene glycol oxidation reaction (EGOR), which is higher than that of multicomponent nanopartical aerogels and PdTe/PtTe/PdPtTe nanowire aerogels. Notably, the PdPtRuRhIrTe MNWAs/C maintain stable operation for over 1000 h in cyclic tests at an industrial‐level current density of 100 mA cm</w:t>
      </w:r>
      <w:r>
        <w:t xml:space="preserve"> </w:t>
      </w:r>
      <w:r>
        <w:t>−2</w:t>
      </w:r>
      <w:r>
        <w:t xml:space="preserve"> </w:t>
      </w:r>
      <w:r>
        <w:t>in a membrane electrode assembly, with electrolyte replacement every 24 h. Further analysis and theoretical calculations reveal that the multicomponent nature synergistic effect of PdPtRuRhIrTe MNWAs promote the electronic and mass transmission, modulate the adsorption of surface‐adsorbed *OH and EG, thereby lowering the energy barrier of the potential determining step (the formation of *HOCH</w:t>
      </w:r>
      <w:r>
        <w:rPr>
          <w:vertAlign w:val="subscript"/>
        </w:rPr>
        <w:t>2</w:t>
      </w:r>
      <w:r>
        <w:t>CHOHOH) and ultimately enhancing the electrocatalytic performance.</w:t>
      </w:r>
    </w:p>
    <w:p>
      <w:pPr>
        <w:spacing w:before="120" w:after="120"/>
      </w:pPr>
      <w:r>
        <w:rPr>
          <w:sz w:val="18"/>
        </w:rPr>
        <w:t>——————————————————————————————————————————————————————————————————————</w:t>
      </w:r>
    </w:p>
    <w:p>
      <w:pPr>
        <w:spacing w:before="160" w:after="40" w:line="240" w:lineRule="auto"/>
      </w:pPr>
      <w:r>
        <w:rPr>
          <w:b/>
        </w:rPr>
        <w:t xml:space="preserve">[3] </w:t>
      </w:r>
      <w:hyperlink r:id="rId446">
        <w:r>
          <w:rPr>
            <w:color w:val="1155CC"/>
            <w:u w:val="single"/>
          </w:rPr>
          <w:t>化学选择性配位-环状氨基甲酸酯插入聚合制备具有多种结构的圆形聚氨酯</w:t>
        </w:r>
      </w:hyperlink>
    </w:p>
    <w:p>
      <w:pPr>
        <w:spacing w:before="0" w:after="80"/>
      </w:pPr>
      <w:r>
        <w:rPr>
          <w:i/>
          <w:sz w:val="20"/>
        </w:rPr>
        <w:t>EN: Chemoselective Coordination–Insertion Polymerization of Cyclic Carbamates to Circular Polyurethanes with Diverse Architectures</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447">
        <w:r>
          <w:rPr>
            <w:color w:val="1155CC"/>
            <w:u w:val="single"/>
          </w:rPr>
          <w:t>10.1021/jacs.6c05975</w:t>
        </w:r>
      </w:hyperlink>
    </w:p>
    <w:p>
      <w:pPr>
        <w:spacing w:before="0" w:after="120"/>
      </w:pPr>
      <w:r>
        <w:rPr>
          <w:b/>
        </w:rPr>
        <w:t xml:space="preserve">Notes: </w:t>
      </w:r>
      <w:r>
        <w:t>abstract_source=pubmed</w:t>
      </w:r>
    </w:p>
    <w:p>
      <w:pPr>
        <w:spacing w:before="0" w:after="80" w:lineRule="auto" w:line="276"/>
      </w:pPr>
      <w:r>
        <w:rPr>
          <w:b/>
        </w:rPr>
        <w:t xml:space="preserve">摘要（ZH）: </w:t>
      </w:r>
      <w:r>
        <w:t>通过杂环单体的链增长开环聚合（ROP）合成传统的逐步增长缩聚物具有精确的结构控制和直接闭环环状度的优点，但由于单体范围有限、聚合物摩尔质量低或缺乏化学选择性，现有的环状氨基甲酸酯（CC）的阳离子或阴离子ROP在聚氨酯（PU）合成中的应用面临挑战。在此，我们引入了CC的金属催化配位插入ROP（CI-ROP），它克服了这些挑战，并能够以受控和化学选择性的方式合成具有特定结构的PU，包括线性、环状、共聚和交联结构，可以从单一单体获得。通过单体设计和催化剂选择的耦合，这种 CI-ROP 策略可以容忍 CC 中的酰胺质子和大体积取代基，提供对聚合物微观结构和拓扑的精确控制，并提供摩尔质量高达 ~260 kg/mol 的 PU。机理研究阐明了配位（相对于阴离子）ROP 条件下化学选择性 C-O 与 C-N 键断裂的起源，提供了对观察到的聚合物结构的分子水平理解。线性和环状 PU 的催化本体解聚以 &gt;90% 的分离产率回收 CC，而通过两步工艺回收交联 PU 也以~80% 的产率回收 CC，这要归功于动态键交换，使得共聚线性和交联 PU 之间能够可逆地相互转化。</w:t>
      </w:r>
    </w:p>
    <w:p>
      <w:pPr>
        <w:spacing w:before="0" w:after="200" w:lineRule="auto" w:line="276"/>
      </w:pPr>
      <w:r>
        <w:rPr>
          <w:b/>
        </w:rPr>
        <w:t xml:space="preserve">Abstract (EN): </w:t>
      </w:r>
      <w:r>
        <w:t>The synthesis of conventional step-growth condensation polymers by chain-growth ring-opening polymerization (ROP) of heterocyclic monomers holds advantages in its precise structural control and direct closed-loop circularity, but its application in polyurethane (PU) synthesis by existing cationic or anionic ROP of cyclic carbamates (CCs) presents challenges due to the limited monomer scope and low polymer molar mass or the lack of chemoselectivity. Herein, we introduce a metal-catalyzed coordination-insertion ROP (CI-ROP) of CCs that overcomes these challenges and enables controlled and chemoselective synthesis of PUs with defined architectures, including linear, cyclic, copolymeric, and cross-linked structures, accessible from a single monomer. Through coupling of monomer design and catalyst selection, this CI-ROP strategy tolerates the amide proton and bulky substituents in CCs, affords precise control over polymer microstructure and topology, and delivers PUs with molar mass up to ∼260 kg/mol. Mechanistic investigations clarify the origin of chemoselective C-O versus C-N bond cleavage under coordination (vs anionic) ROP conditions, providing a molecular-level understanding of the observed polymer architectures. Catalytic bulk depolymerization of linear and cyclic PUs recovers CCs in &gt;90% isolated yield, while recycling of cross-linked PUs via a two-step process also recovers CCs in ∼80% yield, thanks to dynamic bond exchange that enables reversible interconversion between copolymeric linear and cross-linked PUs.</w:t>
      </w:r>
    </w:p>
    <w:p>
      <w:pPr>
        <w:spacing w:before="120" w:after="120"/>
      </w:pPr>
      <w:r>
        <w:rPr>
          <w:sz w:val="18"/>
        </w:rPr>
        <w:t>——————————————————————————————————————————————————————————————————————</w:t>
      </w:r>
    </w:p>
    <w:p>
      <w:pPr>
        <w:spacing w:before="160" w:after="40" w:line="240" w:lineRule="auto"/>
      </w:pPr>
      <w:r>
        <w:rPr>
          <w:b/>
        </w:rPr>
        <w:t xml:space="preserve">[4] </w:t>
      </w:r>
      <w:hyperlink r:id="rId391">
        <w:r>
          <w:rPr>
            <w:color w:val="1155CC"/>
            <w:u w:val="single"/>
          </w:rPr>
          <w:t>从外卖到起飞</w:t>
        </w:r>
      </w:hyperlink>
    </w:p>
    <w:p>
      <w:pPr>
        <w:spacing w:before="0" w:after="80"/>
      </w:pPr>
      <w:r>
        <w:rPr>
          <w:i/>
          <w:sz w:val="20"/>
        </w:rPr>
        <w:t>EN: From takeout to takeoff</w:t>
      </w:r>
    </w:p>
    <w:p>
      <w:pPr>
        <w:spacing w:before="0" w:after="120"/>
      </w:pPr>
      <w:r>
        <w:rPr>
          <w:b/>
        </w:rPr>
        <w:t xml:space="preserve">Source: </w:t>
      </w:r>
      <w:r>
        <w:t>Nature Energy</w:t>
      </w:r>
      <w:r>
        <w:t xml:space="preserve">    </w:t>
      </w:r>
      <w:r>
        <w:rPr>
          <w:b/>
        </w:rPr>
        <w:t xml:space="preserve">Pub date: </w:t>
      </w:r>
      <w:r>
        <w:t>2026-07-27 00:00:00+00:00</w:t>
      </w:r>
      <w:r>
        <w:t xml:space="preserve">    </w:t>
      </w:r>
      <w:r>
        <w:rPr>
          <w:b/>
        </w:rPr>
        <w:t xml:space="preserve">DOI: </w:t>
      </w:r>
      <w:hyperlink r:id="rId392">
        <w:r>
          <w:rPr>
            <w:color w:val="1155CC"/>
            <w:u w:val="single"/>
          </w:rPr>
          <w:t>10.1038/s41560-026-02106-6</w:t>
        </w:r>
      </w:hyperlink>
    </w:p>
    <w:p>
      <w:pPr>
        <w:spacing w:before="0" w:after="120"/>
      </w:pPr>
      <w:r>
        <w:rPr>
          <w:b/>
        </w:rPr>
        <w:t xml:space="preserve">Notes: </w:t>
      </w:r>
      <w:r>
        <w:t>abstract_source=rss_nature</w:t>
      </w:r>
    </w:p>
    <w:p>
      <w:pPr>
        <w:spacing w:before="0" w:after="80" w:lineRule="auto" w:line="276"/>
      </w:pPr>
      <w:r>
        <w:rPr>
          <w:b/>
        </w:rPr>
        <w:t xml:space="preserve">摘要（ZH）: </w:t>
      </w:r>
      <w:r>
        <w:t>将塑料废物转化为喷气燃料可能有助于航空业脱碳，但升级改造路线通常需要高压和较长的反应时间。新的研究表明，基于氧化物载体上原子分散的钌原子的催化剂可以在温和的条件下将废塑料快速转化为喷气燃料成分。</w:t>
      </w:r>
    </w:p>
    <w:p>
      <w:pPr>
        <w:spacing w:before="0" w:after="200" w:lineRule="auto" w:line="276"/>
      </w:pPr>
      <w:r>
        <w:rPr>
          <w:b/>
        </w:rPr>
        <w:t xml:space="preserve">Abstract (EN): </w:t>
      </w:r>
      <w:r>
        <w:t>Converting plastic waste into jet fuel could help decarbonize aviation, but upcycling routes often require high pressures and long reaction times. New research demonstrates that catalysts based on atomically-dispersed Ru atoms on oxide supports can rapidly convert waste plastics into jet fuel components under mild conditions.</w:t>
      </w:r>
    </w:p>
    <w:p>
      <w:pPr>
        <w:spacing w:before="120" w:after="120"/>
      </w:pPr>
      <w:r>
        <w:rPr>
          <w:sz w:val="18"/>
        </w:rPr>
        <w:t>——————————————————————————————————————————————————————————————————————</w:t>
      </w:r>
    </w:p>
    <w:p>
      <w:pPr>
        <w:spacing w:before="160" w:after="40" w:line="240" w:lineRule="auto"/>
      </w:pPr>
      <w:r>
        <w:rPr>
          <w:b/>
        </w:rPr>
        <w:t xml:space="preserve">[5] </w:t>
      </w:r>
      <w:hyperlink r:id="rId448">
        <w:r>
          <w:rPr>
            <w:color w:val="1155CC"/>
            <w:u w:val="single"/>
          </w:rPr>
          <w:t>通过氧中心自由基对商用 PMMA 进行无氯解聚</w:t>
        </w:r>
      </w:hyperlink>
    </w:p>
    <w:p>
      <w:pPr>
        <w:spacing w:before="0" w:after="80"/>
      </w:pPr>
      <w:r>
        <w:rPr>
          <w:i/>
          <w:sz w:val="20"/>
        </w:rPr>
        <w:t>EN: Chlorine‐Free Depolymerization of Commercial PMMA via Oxygen‐Centered Radicals</w:t>
      </w:r>
    </w:p>
    <w:p>
      <w:pPr>
        <w:spacing w:before="0" w:after="120"/>
      </w:pPr>
      <w:r>
        <w:rPr>
          <w:b/>
        </w:rPr>
        <w:t xml:space="preserve">Source: </w:t>
      </w:r>
      <w:r>
        <w:t>Wiley: Angewandte Chemie International Edition: Table of Contents</w:t>
      </w:r>
      <w:r>
        <w:t xml:space="preserve">    </w:t>
      </w:r>
      <w:r>
        <w:rPr>
          <w:b/>
        </w:rPr>
        <w:t xml:space="preserve">Pub date: </w:t>
      </w:r>
      <w:r>
        <w:t>2026-07-27 11:58:10+00:00</w:t>
      </w:r>
      <w:r>
        <w:t xml:space="preserve">    </w:t>
      </w:r>
      <w:r>
        <w:rPr>
          <w:b/>
        </w:rPr>
        <w:t xml:space="preserve">DOI: </w:t>
      </w:r>
      <w:hyperlink r:id="rId449">
        <w:r>
          <w:rPr>
            <w:color w:val="1155CC"/>
            <w:u w:val="single"/>
          </w:rPr>
          <w:t>10.1002/anie.6957018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中链解聚能够在温和条件下将具有碳-碳主链的传统塑料化学回收为高纯度单体，并且没有通常通过受控自由基聚合安装的任何弱键。然而，目前中链解聚的报道要么反应产率低，要么依赖过量的氯化溶剂仅产生一小部分氯化自由基并产生腐蚀性副产物。在此，我们介绍了一种无氯光热中链解聚方法，该方法通过独特的以氧为中心的自由基途径进行。在 ppm 浓度的蒽醌（一种高效光催化剂）存在下，高达 97% 的单体可以成功再生，同时改变催化剂负载量可以根据需要调节解聚速率。值得注意的是，有机玻璃、丙烯酸管和导光板等多种商业材料可以进行有效的解聚，同时也可以通过迭代的“开/关”循环来证明时间控制。</w:t>
      </w:r>
    </w:p>
    <w:p>
      <w:pPr>
        <w:spacing w:before="0" w:after="200" w:lineRule="auto" w:line="276"/>
      </w:pPr>
      <w:r>
        <w:rPr>
          <w:b/>
        </w:rPr>
        <w:t xml:space="preserve">Abstract (EN): </w:t>
      </w:r>
      <w:r>
        <w:t>Mid‐chain depolymerization enables chemical recycling of conventional plastics with carbon–carbon backbones into high‐purity monomers under mild conditions and without any weak bonds typically installed by controlled radical polymerization. However, current reports of mid‐chain depolymerization either suffer from poor reaction yields or rely on an excess of chlorinated solvents to generate only a small fraction of chlorinated radicals with corrosive byproducts. Herein, we introduce a chlorine‐free photothermal mid‐chain depolymerization methodology, which proceeds through a distinct oxygen‐centered radical pathway. In the presence of ppm concentrations of anthraquinone, an efficient photocatalyst, up to 97% monomer can be successfully regenerated, while varying the catalyst loading allows the depolymerization rate to be modulated on demand. Notably, a wide range of commercial materials, such as Plexiglas, acrylic tubes, and light guide plates, can undergo efficient depolymerization, while temporal control could also be demonstrated via iterative “on/off” cycles.</w:t>
      </w:r>
    </w:p>
    <w:p>
      <w:pPr>
        <w:spacing w:before="120" w:after="120"/>
      </w:pPr>
      <w:r>
        <w:rPr>
          <w:sz w:val="18"/>
        </w:rPr>
        <w:t>——————————————————————————————————————————————————————————————————————</w:t>
      </w:r>
    </w:p>
    <w:p>
      <w:pPr>
        <w:spacing w:before="160" w:after="40" w:line="240" w:lineRule="auto"/>
      </w:pPr>
      <w:r>
        <w:rPr>
          <w:b/>
        </w:rPr>
        <w:t xml:space="preserve">[6] </w:t>
      </w:r>
      <w:hyperlink r:id="rId395">
        <w:r>
          <w:rPr>
            <w:color w:val="1155CC"/>
            <w:u w:val="single"/>
          </w:rPr>
          <w:t>它会在你身上生长：活真菌形成可持续时尚</w:t>
        </w:r>
      </w:hyperlink>
    </w:p>
    <w:p>
      <w:pPr>
        <w:spacing w:before="0" w:after="80"/>
      </w:pPr>
      <w:r>
        <w:rPr>
          <w:i/>
          <w:sz w:val="20"/>
        </w:rPr>
        <w:t>EN: It’ll grow on you: live fungi formed into sustainable fashion</w:t>
      </w:r>
    </w:p>
    <w:p>
      <w:pPr>
        <w:spacing w:before="0" w:after="120"/>
      </w:pPr>
      <w:r>
        <w:rPr>
          <w:b/>
        </w:rPr>
        <w:t xml:space="preserve">Source: </w:t>
      </w:r>
      <w:r>
        <w:t>Nature</w:t>
      </w:r>
      <w:r>
        <w:t xml:space="preserve">    </w:t>
      </w:r>
      <w:r>
        <w:rPr>
          <w:b/>
        </w:rPr>
        <w:t xml:space="preserve">Pub date: </w:t>
      </w:r>
      <w:r>
        <w:t>2026-07-28 00:00:00+00:00</w:t>
      </w:r>
      <w:r>
        <w:t xml:space="preserve">    </w:t>
      </w:r>
      <w:r>
        <w:rPr>
          <w:b/>
        </w:rPr>
        <w:t xml:space="preserve">DOI: </w:t>
      </w:r>
      <w:hyperlink r:id="rId396">
        <w:r>
          <w:rPr>
            <w:color w:val="1155CC"/>
            <w:u w:val="single"/>
          </w:rPr>
          <w:t>10.1038/d41586-026-02304-y</w:t>
        </w:r>
      </w:hyperlink>
    </w:p>
    <w:p>
      <w:pPr>
        <w:spacing w:before="0" w:after="120"/>
      </w:pPr>
      <w:r>
        <w:rPr>
          <w:b/>
        </w:rPr>
        <w:t xml:space="preserve">Notes: </w:t>
      </w:r>
      <w:r>
        <w:t>abstract_source=nature_html</w:t>
      </w:r>
    </w:p>
    <w:p>
      <w:pPr>
        <w:spacing w:before="0" w:after="80" w:lineRule="auto" w:line="276"/>
      </w:pPr>
      <w:r>
        <w:rPr>
          <w:b/>
        </w:rPr>
        <w:t xml:space="preserve">摘要（ZH）: </w:t>
      </w:r>
      <w:r>
        <w:t>由真菌丝制成的纺织品可以自我修复并且可生物降解。</w:t>
      </w:r>
    </w:p>
    <w:p>
      <w:pPr>
        <w:spacing w:before="0" w:after="200" w:lineRule="auto" w:line="276"/>
      </w:pPr>
      <w:r>
        <w:rPr>
          <w:b/>
        </w:rPr>
        <w:t xml:space="preserve">Abstract (EN): </w:t>
      </w:r>
      <w:r>
        <w:t>Textile made from fungal filaments can repair itself and is biodegradable.</w:t>
      </w:r>
    </w:p>
    <w:p>
      <w:pPr>
        <w:spacing w:before="120" w:after="120"/>
      </w:pPr>
      <w:r>
        <w:rPr>
          <w:sz w:val="18"/>
        </w:rPr>
        <w:t>——————————————————————————————————————————————————————————————————————</w:t>
      </w:r>
    </w:p>
    <w:p>
      <w:pPr>
        <w:spacing w:before="160" w:after="40" w:line="240" w:lineRule="auto"/>
      </w:pPr>
      <w:r>
        <w:rPr>
          <w:b/>
        </w:rPr>
        <w:t xml:space="preserve">[7] </w:t>
      </w:r>
      <w:hyperlink r:id="rId434">
        <w:r>
          <w:rPr>
            <w:color w:val="1155CC"/>
            <w:u w:val="single"/>
          </w:rPr>
          <w:t>CO2与双环烷烃交替共聚制备环状聚酯</w:t>
        </w:r>
      </w:hyperlink>
    </w:p>
    <w:p>
      <w:pPr>
        <w:spacing w:before="0" w:after="80"/>
      </w:pPr>
      <w:r>
        <w:rPr>
          <w:i/>
          <w:sz w:val="20"/>
        </w:rPr>
        <w:t>EN: Alternating CO2 and bicycloalkane copolymerization to circular polyesters</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435">
        <w:r>
          <w:rPr>
            <w:color w:val="1155CC"/>
            <w:u w:val="single"/>
          </w:rPr>
          <w:t>10.1038/s41586-026-10848-2</w:t>
        </w:r>
      </w:hyperlink>
    </w:p>
    <w:p>
      <w:pPr>
        <w:spacing w:before="0" w:after="120"/>
      </w:pPr>
      <w:r>
        <w:rPr>
          <w:b/>
        </w:rPr>
        <w:t xml:space="preserve">Notes: </w:t>
      </w:r>
      <w:r>
        <w:t>abstract_source=pubmed</w:t>
      </w:r>
    </w:p>
    <w:p>
      <w:pPr>
        <w:spacing w:before="0" w:after="80" w:lineRule="auto" w:line="276"/>
      </w:pPr>
      <w:r>
        <w:rPr>
          <w:b/>
        </w:rPr>
        <w:t xml:space="preserve">摘要（ZH）: </w:t>
      </w:r>
      <w:r>
        <w:t>自 20 世纪 60 年代以来，人们一直在追求将丰富但惰性的 CO2 转化为有用的聚合物（参考文献 1），通常通过在催化剂的辅助下与反应性共聚单体共聚来实现，这可以解决与 CO2 固定和掺入相关的热力学约束和高动力学障碍2-5。然而，制造聚酯仍然是一个挑战，因为二氧化碳与烯烃的交替共聚在热力学上是不可行的6。在这里，我们介绍了一种闭环CO2基聚酯平台，通过CO2与双环烷烃、双环丁烷（BCB）和戊烷（BCP）单体直接交替共聚来生产高性能且可回收的聚酯。这种共聚反应由简单的有机催化剂引发，并以完美交替的方式进行，形成具有最大（50mol％）CO2掺入量和结构明确的主链的高摩尔质量聚酯，其中链内环结构能够实现可调节的热性能和机械性能。这些聚酯表现出所需的正交性能和报废结果。尽管 BCB-CO2 聚酯在整个 pH 范围内表现出优异的热稳定性和水解稳定性，但它们可以在本体和碱催化条件下选择性解聚，以 &gt;90% 的分离产率再生纯 BCB 单体。 BCP-CO2聚酯也可以选择性解聚，但解聚为双环内酯。连续的解聚-再聚合循环为 BCB/BCP-CO2 高性能聚酯建立了循环生命周期。</w:t>
      </w:r>
    </w:p>
    <w:p>
      <w:pPr>
        <w:spacing w:before="0" w:after="200" w:lineRule="auto" w:line="276"/>
      </w:pPr>
      <w:r>
        <w:rPr>
          <w:b/>
        </w:rPr>
        <w:t xml:space="preserve">Abstract (EN): </w:t>
      </w:r>
      <w:r>
        <w:t>Transforming abundant but inert CO2 into useful polymers has been pursued since the 1960s (ref. 1) and has typically been achieved by copolymerization with a reactive comonomer, aided by a catalyst, which can address both thermodynamic constraints and high kinetic barriers associated with CO2 fixation and incorporation2-5. However, making polyesters remains a challenge as alternating copolymerization of CO2 with alkenes is thermodynamically infeasible6. Here we introduce a closed-loop CO2-based polyester platform for producing high-performance yet recyclable polyesters by direct alternating copolymerization of CO2 with bicycloalkanes, bicyclic butane (BCB) and pentane (BCP) monomers. This copolymerization is initiated by a simple organic catalyst and proceeds in a perfectly alternating fashion to high-molar-mass polyesters with maximum (50 mol%) CO2 incorporation and architecturally defined backbones, in which the in-chain ring structure enables tailorable thermal and mechanical properties. These polyesters exhibit desired orthogonal performance and end-of-life outcomes. Although the BCB-CO2 polyesters exhibit exceptional thermal and hydrolytic stability across the full pH range, they can be selectively depolymerized in bulk and base-catalysed conditions to regenerate pure BCB monomers in &gt;90% isolated yield. The BCP-CO2 polyesters can also be selectively depolymerized but to bicyclolactones. Sequential depolymerization-repolymerization cycles establish circular lifecycles for BCB/BCP-CO2 high-performance polyesters.</w:t>
      </w:r>
    </w:p>
    <w:p>
      <w:pPr>
        <w:spacing w:before="120" w:after="120"/>
      </w:pPr>
      <w:r>
        <w:rPr>
          <w:sz w:val="18"/>
        </w:rPr>
        <w:t>——————————————————————————————————————————————————————————————————————</w:t>
      </w:r>
    </w:p>
    <w:p>
      <w:pPr>
        <w:spacing w:before="160" w:after="40" w:line="240" w:lineRule="auto"/>
      </w:pPr>
      <w:r>
        <w:rPr>
          <w:b/>
        </w:rPr>
        <w:t xml:space="preserve">[8] </w:t>
      </w:r>
      <w:hyperlink r:id="rId450">
        <w:r>
          <w:rPr>
            <w:color w:val="1155CC"/>
            <w:u w:val="single"/>
          </w:rPr>
          <w:t>多级纳米多孔合金上的金属氧化物异质结构用于高效乙二醇电氧化以实现可持续的 PET 升级循环</w:t>
        </w:r>
      </w:hyperlink>
    </w:p>
    <w:p>
      <w:pPr>
        <w:spacing w:before="0" w:after="80"/>
      </w:pPr>
      <w:r>
        <w:rPr>
          <w:i/>
          <w:sz w:val="20"/>
        </w:rPr>
        <w:t>EN: Metal‐Oxide Heterostructure on Hierarchical Nanoporous Alloy for Highly Efficient Ethylene Glycol Electrooxidation Toward Sustainable PET Upcycling</w:t>
      </w:r>
    </w:p>
    <w:p>
      <w:pPr>
        <w:spacing w:before="0" w:after="120"/>
      </w:pPr>
      <w:r>
        <w:rPr>
          <w:b/>
        </w:rPr>
        <w:t xml:space="preserve">Source: </w:t>
      </w:r>
      <w:r>
        <w:t>Wiley: Advanced Materials: Table of Contents</w:t>
      </w:r>
      <w:r>
        <w:t xml:space="preserve">    </w:t>
      </w:r>
      <w:r>
        <w:rPr>
          <w:b/>
        </w:rPr>
        <w:t xml:space="preserve">Pub date: </w:t>
      </w:r>
      <w:r>
        <w:t>2026-07-29 06:42:24+00:00</w:t>
      </w:r>
      <w:r>
        <w:t xml:space="preserve">    </w:t>
      </w:r>
      <w:r>
        <w:rPr>
          <w:b/>
        </w:rPr>
        <w:t xml:space="preserve">DOI: </w:t>
      </w:r>
      <w:hyperlink r:id="rId451">
        <w:r>
          <w:rPr>
            <w:color w:val="1155CC"/>
            <w:u w:val="single"/>
          </w:rPr>
          <w:t>10.1002/adma.74377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可再生电力驱动的聚对苯二甲酸乙二醇酯（PET）水解产物电解是一种可持续的塑料升级回收技术，可生产有价值的化学品，但它通常效率和选择性不足，导致产品分离过程变得复杂。在这里我们报告非贵金属钴</w:t>
      </w:r>
      <w:r>
        <w:rPr>
          <w:vertAlign w:val="subscript"/>
        </w:rPr>
        <w:t>3</w:t>
      </w:r>
      <w:r>
        <w:t>氧</w:t>
      </w:r>
      <w:r>
        <w:rPr>
          <w:vertAlign w:val="subscript"/>
        </w:rPr>
        <w:t>4</w:t>
      </w:r>
      <w:r>
        <w:t>‐CuO异质结构原位集成在CuCo合金骨架上，作为一种有效的电催化剂，选择性介导PET水解产物中乙二醇电氧化为甲酸盐和氢气，从而实现简单且经济高效的单体分离。它表现出非凡的活性（∼930 mA cm</w:t>
      </w:r>
      <w:r>
        <w:t xml:space="preserve"> </w:t>
      </w:r>
      <w:r>
        <w:t>−2</w:t>
      </w:r>
      <w:r>
        <w:t xml:space="preserve"> </w:t>
      </w:r>
      <w:r>
        <w:t>由于构建了 Co─O─Cu 连接的 CoOOH─CuO 多个 *OH 和 *OHCH 活性区域，在 1.5 V 与可逆氢电极下）和选择性 (&gt;98 %)</w:t>
      </w:r>
      <w:r>
        <w:rPr>
          <w:vertAlign w:val="subscript"/>
        </w:rPr>
        <w:t>2</w:t>
      </w:r>
      <w:r>
        <w:t>CH</w:t>
      </w:r>
      <w:r>
        <w:rPr>
          <w:vertAlign w:val="subscript"/>
        </w:rPr>
        <w:t>2</w:t>
      </w:r>
      <w:r>
        <w:t>OH共吸附，形成界面氢键配位，加速C─H和C─C键断裂。该电催化剂已成功应用于 PET 水解液电解槽，可在 ∼500 mA cm 下稳定运行</w:t>
      </w:r>
      <w:r>
        <w:t xml:space="preserve"> </w:t>
      </w:r>
      <w:r>
        <w:t>−2</w:t>
      </w:r>
      <w:r>
        <w:t xml:space="preserve"> </w:t>
      </w:r>
      <w:r>
        <w:t>超过1000小时连续生产甲酸盐和绿氢而不降低性能，展现了塑料升级回收的工业前景。</w:t>
      </w:r>
    </w:p>
    <w:p>
      <w:pPr>
        <w:spacing w:before="0" w:after="200" w:lineRule="auto" w:line="276"/>
      </w:pPr>
      <w:r>
        <w:rPr>
          <w:b/>
        </w:rPr>
        <w:t xml:space="preserve">Abstract (EN): </w:t>
      </w:r>
      <w:r>
        <w:t>Renewable electricity‐driven polyethylene terephthalate (PET) hydrolysate electrolysis is a sustainable plastic upcycling technique to produce valuable chemicals, but it usually undergoes insufficient efficiency and selectivity to complicate product separation processes. Here we report nonprecious Co</w:t>
      </w:r>
      <w:r>
        <w:rPr>
          <w:vertAlign w:val="subscript"/>
        </w:rPr>
        <w:t>3</w:t>
      </w:r>
      <w:r>
        <w:t>O</w:t>
      </w:r>
      <w:r>
        <w:rPr>
          <w:vertAlign w:val="subscript"/>
        </w:rPr>
        <w:t>4</w:t>
      </w:r>
      <w:r>
        <w:t>‐CuO heterostructure in‐situ integrated on CuCo alloy skeleton as an efficient electrocatalyst to selectively mediate electrooxidation of ethylene glycol in PET hydrolysate to formate and hydrogen for simple and cost‐effective monomer separation. It exhibits exceptional activity (∼930 mA cm</w:t>
      </w:r>
      <w:r>
        <w:t xml:space="preserve"> </w:t>
      </w:r>
      <w:r>
        <w:t>−2</w:t>
      </w:r>
      <w:r>
        <w:t xml:space="preserve"> </w:t>
      </w:r>
      <w:r>
        <w:t>at 1.5 V vs. reversible hydrogen electrode) and selectivity (&amp;gt;98 %) as a result of the construction of Co─O─Cu linked CoOOH─CuO multiple active regions for *OH and *OHCH</w:t>
      </w:r>
      <w:r>
        <w:rPr>
          <w:vertAlign w:val="subscript"/>
        </w:rPr>
        <w:t>2</w:t>
      </w:r>
      <w:r>
        <w:t>CH</w:t>
      </w:r>
      <w:r>
        <w:rPr>
          <w:vertAlign w:val="subscript"/>
        </w:rPr>
        <w:t>2</w:t>
      </w:r>
      <w:r>
        <w:t>OH co‐adsorption, which enables the formation of interfacial hydrogen‐bond coordination to accelerate C─H and C─C bond cleavage. This electrocatalyst is successfully applied in PET hydrolysate electrolyser for stable operation at ∼500 mA cm</w:t>
      </w:r>
      <w:r>
        <w:t xml:space="preserve"> </w:t>
      </w:r>
      <w:r>
        <w:t>−2</w:t>
      </w:r>
      <w:r>
        <w:t xml:space="preserve"> </w:t>
      </w:r>
      <w:r>
        <w:t>over 1000 h to continuously produce formate and green hydrogen without performance degradation, showing an industrial perspective of plastic upcycling.</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452">
        <w:r>
          <w:rPr>
            <w:color w:val="1155CC"/>
            <w:u w:val="single"/>
          </w:rPr>
          <w:t>不依赖酶活性的 NANS 稳定 LATS2，以促进 HR+/HER2- 乳腺癌的生长和治疗耐药性</w:t>
        </w:r>
      </w:hyperlink>
    </w:p>
    <w:p>
      <w:pPr>
        <w:spacing w:before="0" w:after="80"/>
      </w:pPr>
      <w:r>
        <w:rPr>
          <w:i/>
          <w:sz w:val="20"/>
        </w:rPr>
        <w:t>EN: Enzymatic activity-independent NANS stabilizes LATS2 to drive growth and therapeutic resistance in HR+/HER2- breast cancer</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激素受体阳性、人表皮生长因子受体 2 阴性 (HR+ /HER2-) 乳腺癌是女性中最常见的亚型，经常受到内分泌治疗和 CDK4/6 抑制剂耐药的挑战。在这里，我们发现女性 HR+/HER2- 乳腺癌患者中 N-乙酰神经氨酸合酶 (NANS) 显着上调，与患者预后呈负相关。从功能上讲，NANS 促进肿瘤生长并赋予对他莫昔芬和 CDK4/6 抑制剂的抗性，与其典型的酶活性无关。从机制上讲，NANS 招募泛素特异性蛋白酶 7 (USP7) 去泛素化并稳定大肿瘤抑制激酶 2 (LATS2)，从而导致典型的 Hippo 通路激活以及雌激素受体 α 和 CDK4 的上调。将 LATS2 重新引入 NANS 耗尽的细胞中，可以在体外和体内部分挽救受损的生长促进和耐药表型。此外，NANS-USP7/LATS2 轴的临床相关性在患者来源的女性 HR+/HER2- 乳腺癌样本中得到证实。总之，我们的研究结果揭示了 NANS 在驱动治疗抵抗中的独立于酶活性的作用，将其提名为有前途的治疗靶点。</w:t>
      </w:r>
    </w:p>
    <w:p>
      <w:pPr>
        <w:spacing w:before="0" w:after="200" w:lineRule="auto" w:line="276"/>
      </w:pPr>
      <w:r>
        <w:rPr>
          <w:b/>
        </w:rPr>
        <w:t xml:space="preserve">Abstract (EN): </w:t>
      </w:r>
      <w:r>
        <w:t>Hormone receptor-positive, human epidermal growth factor receptor 2-negative (HR+ /HER2-) breast cancer is the most common subtype in females, frequently challenged by resistance to endocrine therapy and CDK4/6 inhibitors. Here we show that N-acetylneuraminate synthase (NANS) is significantly upregulated in female HR+ /HER2- breast cancer patients, inversely correlating with patient prognosis. Functionally, NANS promotes tumor growth and confers resistance to tamoxifen and CDK4/6 inhibitors independently of its canonical enzymatic activity. Mechanistically, NANS recruits ubiquitin-specific protease 7 (USP7) to deubiquitinate and stabilize large tumor suppressor kinase 2 (LATS2), leading to canonical Hippo pathway activation and upregulation of estrogen receptor α and CDK4. Reintroducing LATS2 into NANS-depleted cells partially rescues the impaired growth-promoting and drug-resistant phenotypes in vitro and in vivo. Furthermore, the clinical relevance of the NANS-USP7/LATS2 axis is confirmed in patient-derived female HR+ /HER2- breast cancer samples. Together, our findings unveil an enzymatic activity-independent role for NANS in driving therapy resistance, nominating it as a promising therapeutic target.</w:t>
      </w:r>
    </w:p>
    <w:p>
      <w:pPr>
        <w:spacing w:before="120" w:after="120"/>
      </w:pPr>
      <w:r>
        <w:rPr>
          <w:sz w:val="18"/>
        </w:rPr>
        <w:t>——————————————————————————————————————————————————————————————————————</w:t>
      </w:r>
    </w:p>
    <w:p>
      <w:pPr>
        <w:spacing w:before="160" w:after="40" w:line="240" w:lineRule="auto"/>
      </w:pPr>
      <w:r>
        <w:rPr>
          <w:b/>
        </w:rPr>
        <w:t xml:space="preserve">[2] </w:t>
      </w:r>
      <w:hyperlink r:id="rId453">
        <w:r>
          <w:rPr>
            <w:color w:val="1155CC"/>
            <w:u w:val="single"/>
          </w:rPr>
          <w:t>Leiomodin2 是肌动蛋白丝尖端的聚合酶</w:t>
        </w:r>
      </w:hyperlink>
    </w:p>
    <w:p>
      <w:pPr>
        <w:spacing w:before="0" w:after="80"/>
      </w:pPr>
      <w:r>
        <w:rPr>
          <w:i/>
          <w:sz w:val="20"/>
        </w:rPr>
        <w:t>EN: Leiomodin2 is a polymerase at the pointed ends of actin filaments</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生物物理学和结构研究发现，leiomodin 2（一种在肌肉细胞中发现的蛋白质）是第一个促进肌动蛋白丝在缓慢生长的“尖端”伸长的分子。这一突破将刺激人们回答有关这一过程机制的许多令人费解的问题。</w:t>
      </w:r>
    </w:p>
    <w:p>
      <w:pPr>
        <w:spacing w:before="0" w:after="200" w:lineRule="auto" w:line="276"/>
      </w:pPr>
      <w:r>
        <w:rPr>
          <w:b/>
        </w:rPr>
        <w:t xml:space="preserve">Abstract (EN): </w:t>
      </w:r>
      <w:r>
        <w:t>Biophysical and structural studies have found that leiomodin 2, a protein discovered in muscle cells, is the first example of a molecule that promotes the elongation of actin filaments at their slowly growing “pointed ends.” This breakthrough will stimulate work to answer many puzzling questions about the mechanism of this process.</w:t>
      </w:r>
    </w:p>
    <w:p>
      <w:pPr>
        <w:spacing w:before="120" w:after="120"/>
      </w:pPr>
      <w:r>
        <w:rPr>
          <w:sz w:val="18"/>
        </w:rPr>
        <w:t>——————————————————————————————————————————————————————————————————————</w:t>
      </w:r>
    </w:p>
    <w:p>
      <w:pPr>
        <w:spacing w:before="160" w:after="40" w:line="240" w:lineRule="auto"/>
      </w:pPr>
      <w:r>
        <w:rPr>
          <w:b/>
        </w:rPr>
        <w:t xml:space="preserve">[3] </w:t>
      </w:r>
      <w:hyperlink r:id="rId454">
        <w:r>
          <w:rPr>
            <w:color w:val="1155CC"/>
            <w:u w:val="single"/>
          </w:rPr>
          <w:t>消费者什么时候会因可变电价而蒙受损失？</w:t>
        </w:r>
      </w:hyperlink>
    </w:p>
    <w:p>
      <w:pPr>
        <w:spacing w:before="0" w:after="80"/>
      </w:pPr>
      <w:r>
        <w:rPr>
          <w:i/>
          <w:sz w:val="20"/>
        </w:rPr>
        <w:t>EN: When do consumers lose from variable electricity pricing?</w:t>
      </w:r>
    </w:p>
    <w:p>
      <w:pPr>
        <w:spacing w:before="0" w:after="120"/>
      </w:pPr>
      <w:r>
        <w:rPr>
          <w:b/>
        </w:rPr>
        <w:t xml:space="preserve">Source: </w:t>
      </w:r>
      <w:r>
        <w:t>ScienceDirect Publication: Energy Policy</w:t>
      </w:r>
      <w:r>
        <w:t xml:space="preserve">    </w:t>
      </w:r>
      <w:r>
        <w:rPr>
          <w:b/>
        </w:rPr>
        <w:t xml:space="preserve">Pub date: </w:t>
      </w:r>
      <w:r>
        <w:t>2026-07-24 00:00:00+00:00</w:t>
      </w:r>
      <w:r>
        <w:t xml:space="preserve">    </w:t>
      </w:r>
      <w:r>
        <w:rPr>
          <w:b/>
        </w:rPr>
        <w:t xml:space="preserve">DOI: </w:t>
      </w:r>
      <w:hyperlink r:id="rId455">
        <w:r>
          <w:rPr>
            <w:color w:val="1155CC"/>
            <w:u w:val="single"/>
          </w:rPr>
          <w:t>10.1016/j.enpol.2026.115474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456">
        <w:r>
          <w:rPr>
            <w:color w:val="1155CC"/>
            <w:u w:val="single"/>
          </w:rPr>
          <w:t>N-杂芳烃氯化物的光氧化还原加氢脱氯过程中的大低场磁增强受笼逃逸不良的限制</w:t>
        </w:r>
      </w:hyperlink>
    </w:p>
    <w:p>
      <w:pPr>
        <w:spacing w:before="0" w:after="80"/>
      </w:pPr>
      <w:r>
        <w:rPr>
          <w:i/>
          <w:sz w:val="20"/>
        </w:rPr>
        <w:t>EN: Large low-field magnetic enhancement in photoredox hydrodechlorination of N-heteroarene chlorides restricted by poor cage escape</w:t>
      </w:r>
    </w:p>
    <w:p>
      <w:pPr>
        <w:spacing w:before="0" w:after="120"/>
      </w:pPr>
      <w:r>
        <w:rPr>
          <w:b/>
        </w:rPr>
        <w:t xml:space="preserve">Source: </w:t>
      </w:r>
      <w:r>
        <w:t>National Science Review Advance Access</w:t>
      </w:r>
      <w:r>
        <w:t xml:space="preserve">    </w:t>
      </w:r>
      <w:r>
        <w:rPr>
          <w:b/>
        </w:rPr>
        <w:t xml:space="preserve">Pub date: </w:t>
      </w:r>
      <w:r>
        <w:t>2026-07-24 00:00:00+00:00</w:t>
      </w:r>
      <w:r>
        <w:t xml:space="preserve">    </w:t>
      </w:r>
      <w:r>
        <w:rPr>
          <w:b/>
        </w:rPr>
        <w:t xml:space="preserve">DOI: </w:t>
      </w:r>
      <w:hyperlink r:id="rId457">
        <w:r>
          <w:rPr>
            <w:color w:val="1155CC"/>
            <w:u w:val="single"/>
          </w:rPr>
          <w:t>10.1093/nsr/nwag450</w:t>
        </w:r>
      </w:hyperlink>
    </w:p>
    <w:p>
      <w:pPr>
        <w:spacing w:before="0" w:after="120"/>
      </w:pPr>
      <w:r>
        <w:rPr>
          <w:b/>
        </w:rPr>
        <w:t xml:space="preserve">Notes: </w:t>
      </w:r>
      <w:r>
        <w:t>abstract_source=rss_oup</w:t>
      </w:r>
    </w:p>
    <w:p>
      <w:pPr>
        <w:spacing w:before="0" w:after="80" w:lineRule="auto" w:line="276"/>
      </w:pPr>
      <w:r>
        <w:rPr>
          <w:b/>
        </w:rPr>
        <w:t xml:space="preserve">摘要（ZH）: </w:t>
      </w:r>
      <w:r>
        <w:t>光氧化还原催化的效率长期以来一直受到自由基离子对（RIP）内快速反向电子转移（BET）的阻碍。虽然外部磁场可以调节 RIP 的自旋动力学来抑制 BET，但在低磁场强度下实现大磁场效应 (MFE) 仍然是一个艰巨的挑战。在此，我们报道了在 N2 的光氧化还原加氢脱氯中，MFE 非常大，量子产率提高超过 130%，产率提高高达 160%。</w:t>
      </w:r>
    </w:p>
    <w:p>
      <w:pPr>
        <w:spacing w:before="0" w:after="200" w:lineRule="auto" w:line="276"/>
      </w:pPr>
      <w:r>
        <w:rPr>
          <w:b/>
        </w:rPr>
        <w:t xml:space="preserve">Abstract (EN): </w:t>
      </w:r>
      <w:r>
        <w:t>The efficiency of photoredox catalysis has long been hampered by rapid back electron transfer (BET) within the radical ion pairs (RIPs). While external magnetic fields can modulate the spin dynamics of RIPs to suppress BET, achieving a large magnetic field effect (MFE) at low-field strengths has remained a formidable challenge. Herein, we report a remarkably large MFE, with a quantum yield enhancement exceeding 130% and a yield enhancement up to 160%, in the photoredox hydrodechlorination of N</w:t>
      </w:r>
    </w:p>
    <w:p>
      <w:pPr>
        <w:spacing w:before="120" w:after="120"/>
      </w:pPr>
      <w:r>
        <w:rPr>
          <w:sz w:val="18"/>
        </w:rPr>
        <w:t>——————————————————————————————————————————————————————————————————————</w:t>
      </w:r>
    </w:p>
    <w:p>
      <w:pPr>
        <w:spacing w:before="160" w:after="40" w:line="240" w:lineRule="auto"/>
      </w:pPr>
      <w:r>
        <w:rPr>
          <w:b/>
        </w:rPr>
        <w:t xml:space="preserve">[5] </w:t>
      </w:r>
      <w:hyperlink r:id="rId458">
        <w:r>
          <w:rPr>
            <w:color w:val="1155CC"/>
            <w:u w:val="single"/>
          </w:rPr>
          <w:t>追踪全球证据的状态</w:t>
        </w:r>
      </w:hyperlink>
    </w:p>
    <w:p>
      <w:pPr>
        <w:spacing w:before="0" w:after="80"/>
      </w:pPr>
      <w:r>
        <w:rPr>
          <w:i/>
          <w:sz w:val="20"/>
        </w:rPr>
        <w:t>EN: Tracking the status of global evidence</w:t>
      </w:r>
    </w:p>
    <w:p>
      <w:pPr>
        <w:spacing w:before="0" w:after="120"/>
      </w:pPr>
      <w:r>
        <w:rPr>
          <w:b/>
        </w:rPr>
        <w:t xml:space="preserve">Source: </w:t>
      </w:r>
      <w:r>
        <w:t>Nature Climate Change</w:t>
      </w:r>
      <w:r>
        <w:t xml:space="preserve">    </w:t>
      </w:r>
      <w:r>
        <w:rPr>
          <w:b/>
        </w:rPr>
        <w:t xml:space="preserve">Pub date: </w:t>
      </w:r>
      <w:r>
        <w:t>2026-07-24 00:00:00+00:00</w:t>
      </w:r>
      <w:r>
        <w:t xml:space="preserve">    </w:t>
      </w:r>
      <w:r>
        <w:rPr>
          <w:b/>
        </w:rPr>
        <w:t xml:space="preserve">DOI: </w:t>
      </w:r>
      <w:hyperlink r:id="rId459">
        <w:r>
          <w:rPr>
            <w:color w:val="1155CC"/>
            <w:u w:val="single"/>
          </w:rPr>
          <w:t>10.1038/s41558-026-02720-y</w:t>
        </w:r>
      </w:hyperlink>
    </w:p>
    <w:p>
      <w:pPr>
        <w:spacing w:before="0" w:after="120"/>
      </w:pPr>
      <w:r>
        <w:rPr>
          <w:b/>
        </w:rPr>
        <w:t xml:space="preserve">Notes: </w:t>
      </w:r>
      <w:r>
        <w:t>abstract_source=rss_nature</w:t>
      </w:r>
    </w:p>
    <w:p>
      <w:pPr>
        <w:spacing w:before="0" w:after="80" w:lineRule="auto" w:line="276"/>
      </w:pPr>
      <w:r>
        <w:rPr>
          <w:b/>
        </w:rPr>
        <w:t xml:space="preserve">摘要（ZH）: </w:t>
      </w:r>
      <w:r>
        <w:t>评估适应状况对于确定支持目标和确定优先差距非常重要。在这里，我回顾了 2021 年一项有影响力的研究，该研究报告了对人类适应措施实施的证据的系统审查，并思考这如何强调了采取更大政策行动的必要性，并催生了如何跟踪适应进展的方法论进步。</w:t>
      </w:r>
    </w:p>
    <w:p>
      <w:pPr>
        <w:spacing w:before="0" w:after="200" w:lineRule="auto" w:line="276"/>
      </w:pPr>
      <w:r>
        <w:rPr>
          <w:b/>
        </w:rPr>
        <w:t xml:space="preserve">Abstract (EN): </w:t>
      </w:r>
      <w:r>
        <w:t>Assessing the status of adaptation is important to target support and determine priority gaps. Here I look back on an influential 2021 study that reported a systematic review of evidence of implemented human adaptation and consider how this underscored the imperative for greater policy action and spawned methodological advancements in how to track adaptation progress.</w:t>
      </w:r>
    </w:p>
    <w:p>
      <w:pPr>
        <w:spacing w:before="120" w:after="120"/>
      </w:pPr>
      <w:r>
        <w:rPr>
          <w:sz w:val="18"/>
        </w:rPr>
        <w:t>——————————————————————————————————————————————————————————————————————</w:t>
      </w:r>
    </w:p>
    <w:p>
      <w:pPr>
        <w:spacing w:before="160" w:after="40" w:line="240" w:lineRule="auto"/>
      </w:pPr>
      <w:r>
        <w:rPr>
          <w:b/>
        </w:rPr>
        <w:t xml:space="preserve">[6] </w:t>
      </w:r>
      <w:hyperlink r:id="rId460">
        <w:r>
          <w:rPr>
            <w:color w:val="1155CC"/>
            <w:u w:val="single"/>
          </w:rPr>
          <w:t>温室气体净零排放后的多个世纪冷却</w:t>
        </w:r>
      </w:hyperlink>
    </w:p>
    <w:p>
      <w:pPr>
        <w:spacing w:before="0" w:after="80"/>
      </w:pPr>
      <w:r>
        <w:rPr>
          <w:i/>
          <w:sz w:val="20"/>
        </w:rPr>
        <w:t>EN: Multi-century cooling after net-zero greenhouse gas emissions</w:t>
      </w:r>
    </w:p>
    <w:p>
      <w:pPr>
        <w:spacing w:before="0" w:after="120"/>
      </w:pPr>
      <w:r>
        <w:rPr>
          <w:b/>
        </w:rPr>
        <w:t xml:space="preserve">Source: </w:t>
      </w:r>
      <w:r>
        <w:t>Nature Climate Change</w:t>
      </w:r>
      <w:r>
        <w:t xml:space="preserve">    </w:t>
      </w:r>
      <w:r>
        <w:rPr>
          <w:b/>
        </w:rPr>
        <w:t xml:space="preserve">Pub date: </w:t>
      </w:r>
      <w:r>
        <w:t>2026-07-24 00:00:00+00:00</w:t>
      </w:r>
      <w:r>
        <w:t xml:space="preserve">    </w:t>
      </w:r>
      <w:r>
        <w:rPr>
          <w:b/>
        </w:rPr>
        <w:t xml:space="preserve">DOI: </w:t>
      </w:r>
      <w:hyperlink r:id="rId461">
        <w:r>
          <w:rPr>
            <w:color w:val="1155CC"/>
            <w:u w:val="single"/>
          </w:rPr>
          <w:t>10.1038/s41558-026-02700-2</w:t>
        </w:r>
      </w:hyperlink>
    </w:p>
    <w:p>
      <w:pPr>
        <w:spacing w:before="0" w:after="120"/>
      </w:pPr>
      <w:r>
        <w:rPr>
          <w:b/>
        </w:rPr>
        <w:t xml:space="preserve">Notes: </w:t>
      </w:r>
      <w:r>
        <w:t>abstract_source=rss_nature</w:t>
      </w:r>
    </w:p>
    <w:p>
      <w:pPr>
        <w:spacing w:before="0" w:after="80" w:lineRule="auto" w:line="276"/>
      </w:pPr>
      <w:r>
        <w:rPr>
          <w:b/>
        </w:rPr>
        <w:t xml:space="preserve">摘要（ZH）: </w:t>
      </w:r>
      <w:r>
        <w:t>实现净零排放后全球气温如何变化是高度不确定的。在这里，作者限制了这种反应，发现温室气体净零排放导致至少 0.6 °C 的多个世纪降温。</w:t>
      </w:r>
    </w:p>
    <w:p>
      <w:pPr>
        <w:spacing w:before="0" w:after="200" w:lineRule="auto" w:line="276"/>
      </w:pPr>
      <w:r>
        <w:rPr>
          <w:b/>
        </w:rPr>
        <w:t xml:space="preserve">Abstract (EN): </w:t>
      </w:r>
      <w:r>
        <w:t>How global temperatures change after net-zero emissions are reached is highly uncertain. Here the authors constrain this response and find that net-zero GHG emissions lead to multi-century cooling of at least 0.6 °C.</w:t>
      </w:r>
    </w:p>
    <w:p>
      <w:pPr>
        <w:spacing w:before="120" w:after="120"/>
      </w:pPr>
      <w:r>
        <w:rPr>
          <w:sz w:val="18"/>
        </w:rPr>
        <w:t>——————————————————————————————————————————————————————————————————————</w:t>
      </w:r>
    </w:p>
    <w:p>
      <w:pPr>
        <w:spacing w:before="160" w:after="40" w:line="240" w:lineRule="auto"/>
      </w:pPr>
      <w:r>
        <w:rPr>
          <w:b/>
        </w:rPr>
        <w:t xml:space="preserve">[7] </w:t>
      </w:r>
      <w:hyperlink r:id="rId462">
        <w:r>
          <w:rPr>
            <w:color w:val="1155CC"/>
            <w:u w:val="single"/>
          </w:rPr>
          <w:t>人工智能问题的人工智能修复？</w:t>
        </w:r>
      </w:hyperlink>
    </w:p>
    <w:p>
      <w:pPr>
        <w:spacing w:before="0" w:after="80"/>
      </w:pPr>
      <w:r>
        <w:rPr>
          <w:i/>
          <w:sz w:val="20"/>
        </w:rPr>
        <w:t>EN: An AI fix for an AI problem?</w:t>
      </w:r>
    </w:p>
    <w:p>
      <w:pPr>
        <w:spacing w:before="0" w:after="120"/>
      </w:pPr>
      <w:r>
        <w:rPr>
          <w:b/>
        </w:rPr>
        <w:t xml:space="preserve">Source: </w:t>
      </w:r>
      <w:r>
        <w:t>Nature Electronics</w:t>
      </w:r>
      <w:r>
        <w:t xml:space="preserve">    </w:t>
      </w:r>
      <w:r>
        <w:rPr>
          <w:b/>
        </w:rPr>
        <w:t xml:space="preserve">Pub date: </w:t>
      </w:r>
      <w:r>
        <w:t>2026-07-24 00:00:00+00:00</w:t>
      </w:r>
      <w:r>
        <w:t xml:space="preserve">    </w:t>
      </w:r>
      <w:r>
        <w:rPr>
          <w:b/>
        </w:rPr>
        <w:t xml:space="preserve">DOI: </w:t>
      </w:r>
      <w:hyperlink r:id="rId463">
        <w:r>
          <w:rPr>
            <w:color w:val="1155CC"/>
            <w:u w:val="single"/>
          </w:rPr>
          <w:t>10.1038/s41928-026-01679-0</w:t>
        </w:r>
      </w:hyperlink>
    </w:p>
    <w:p>
      <w:pPr>
        <w:spacing w:before="0" w:after="120"/>
      </w:pPr>
      <w:r>
        <w:rPr>
          <w:b/>
        </w:rPr>
        <w:t xml:space="preserve">Notes: </w:t>
      </w:r>
      <w:r>
        <w:t>abstract_source=rss_nature</w:t>
      </w:r>
    </w:p>
    <w:p>
      <w:pPr>
        <w:spacing w:before="0" w:after="80" w:lineRule="auto" w:line="276"/>
      </w:pPr>
      <w:r>
        <w:rPr>
          <w:b/>
        </w:rPr>
        <w:t xml:space="preserve">摘要（ZH）: </w:t>
      </w:r>
      <w:r>
        <w:t>人工智能 (AI) 代理可用于计算电子设备的碳足迹，可能有助于解决电子和人工智能日益增加的环境影响。</w:t>
      </w:r>
    </w:p>
    <w:p>
      <w:pPr>
        <w:spacing w:before="0" w:after="200" w:lineRule="auto" w:line="276"/>
      </w:pPr>
      <w:r>
        <w:rPr>
          <w:b/>
        </w:rPr>
        <w:t xml:space="preserve">Abstract (EN): </w:t>
      </w:r>
      <w:r>
        <w:t>Artificial intelligence (AI) agents can be used to calculate the carbon footprint of electronic devices, potentially helping to address the increasing environmental impact of electronics and AI.</w:t>
      </w:r>
    </w:p>
    <w:p>
      <w:pPr>
        <w:spacing w:before="120" w:after="120"/>
      </w:pPr>
      <w:r>
        <w:rPr>
          <w:sz w:val="18"/>
        </w:rPr>
        <w:t>——————————————————————————————————————————————————————————————————————</w:t>
      </w:r>
    </w:p>
    <w:p>
      <w:pPr>
        <w:spacing w:before="160" w:after="40" w:line="240" w:lineRule="auto"/>
      </w:pPr>
      <w:r>
        <w:rPr>
          <w:b/>
        </w:rPr>
        <w:t xml:space="preserve">[8] </w:t>
      </w:r>
      <w:hyperlink r:id="rId464">
        <w:r>
          <w:rPr>
            <w:color w:val="1155CC"/>
            <w:u w:val="single"/>
          </w:rPr>
          <w:t>气候驱动农田氮污染热点向干旱半干旱地区的空间重组</w:t>
        </w:r>
      </w:hyperlink>
    </w:p>
    <w:p>
      <w:pPr>
        <w:spacing w:before="0" w:after="80"/>
      </w:pPr>
      <w:r>
        <w:rPr>
          <w:i/>
          <w:sz w:val="20"/>
        </w:rPr>
        <w:t>EN: Climate-driven spatial reorganization of cropland nitrogen pollution hotspots toward arid and semi-arid regions</w:t>
      </w:r>
    </w:p>
    <w:p>
      <w:pPr>
        <w:spacing w:before="0" w:after="120"/>
      </w:pPr>
      <w:r>
        <w:rPr>
          <w:b/>
        </w:rPr>
        <w:t xml:space="preserve">Source: </w:t>
      </w:r>
      <w:r>
        <w:t>National Science Review Advance Access</w:t>
      </w:r>
      <w:r>
        <w:t xml:space="preserve">    </w:t>
      </w:r>
      <w:r>
        <w:rPr>
          <w:b/>
        </w:rPr>
        <w:t xml:space="preserve">Pub date: </w:t>
      </w:r>
      <w:r>
        <w:t>2026-07-24 00:00:00+00:00</w:t>
      </w:r>
      <w:r>
        <w:t xml:space="preserve">    </w:t>
      </w:r>
      <w:r>
        <w:rPr>
          <w:b/>
        </w:rPr>
        <w:t xml:space="preserve">DOI: </w:t>
      </w:r>
      <w:hyperlink r:id="rId465">
        <w:r>
          <w:rPr>
            <w:color w:val="1155CC"/>
            <w:u w:val="single"/>
          </w:rPr>
          <w:t>10.1093/nsr/nwag455</w:t>
        </w:r>
      </w:hyperlink>
    </w:p>
    <w:p>
      <w:pPr>
        <w:spacing w:before="0" w:after="120"/>
      </w:pPr>
      <w:r>
        <w:rPr>
          <w:b/>
        </w:rPr>
        <w:t xml:space="preserve">Notes: </w:t>
      </w:r>
      <w:r>
        <w:t>abstract_source=rss_oup</w:t>
      </w:r>
    </w:p>
    <w:p>
      <w:pPr>
        <w:spacing w:before="0" w:after="80" w:lineRule="auto" w:line="276"/>
      </w:pPr>
      <w:r>
        <w:rPr>
          <w:b/>
        </w:rPr>
        <w:t xml:space="preserve">摘要（ZH）: </w:t>
      </w:r>
      <w:r>
        <w:t>农田氮 (N) 径流占全球河流氮负荷的 40% 以上，导致广泛的水生富营养化。这种污染的严重程度取决于氮径流和水体滞留之间的平衡，但气候变化将如何在各地区重新分配这种风险仍不清楚。通过将 1485 个实地观测数据整合到中国各地的空间明确模型中，我们发现气候变化正在干旱和半干旱地区创造新的氮污染热点。中国湿润的南方目前主导着河流农田的氮输出（干旱地区为 0.31 Tg，而干旱地区为 0.16 Tg）。然而，在 SSP2-4.5 和 SSP5-8.5 情景下，潮湿地区到 2050 年将表现出水文恢复力，由于变暖增强了水体滞留，出口量下降约 5%。相比之下，在氮径流非线性放大的推动下，以旱地为主的北方农田氮输出激增 18.8-53.2%。这些水文气候变化需要空间适应性策略，优先考虑新兴干旱和半干旱热点地区农田资源的减少。</w:t>
      </w:r>
    </w:p>
    <w:p>
      <w:pPr>
        <w:spacing w:before="0" w:after="200" w:lineRule="auto" w:line="276"/>
      </w:pPr>
      <w:r>
        <w:rPr>
          <w:b/>
        </w:rPr>
        <w:t xml:space="preserve">Abstract (EN): </w:t>
      </w:r>
      <w:r>
        <w:t>Cropland nitrogen (N) runoff contributes over 40% of riverine N loads globally, driving widespread aquatic eutrophication. The severity of this pollution is governed by the balance between N runoff and aquatic retention, yet how climate change will redistribute this risk across regions remains unclear. By integrating 1485 field observations into spatially explicit models across China, we show that climate change is creating new N pollution hotspots in arid and semi-arid regions. China’s humid South currently dominates riverine cropland N export (0.31 vs. 0.16 Tg in arid regions). However, under SSP2-4.5 and SSP5-8.5 scenarios, humid regions demonstrate hydrological resilience by 2050, with exports declining by approximately 5% due to warming-enhanced aquatic retention. In contrast, cropland N export from dryland-dominated North surges by 18.8–53.2%, driven by a nonlinear amplification of N runoff. These hydroclimatic shifts necessitate spatially adaptive strategies that prioritize cropland source reduction in the newly emerging arid and semi-arid hotspots.</w:t>
      </w:r>
    </w:p>
    <w:p>
      <w:pPr>
        <w:spacing w:before="120" w:after="120"/>
      </w:pPr>
      <w:r>
        <w:rPr>
          <w:sz w:val="18"/>
        </w:rPr>
        <w:t>——————————————————————————————————————————————————————————————————————</w:t>
      </w:r>
    </w:p>
    <w:p>
      <w:pPr>
        <w:spacing w:before="160" w:after="40" w:line="240" w:lineRule="auto"/>
      </w:pPr>
      <w:r>
        <w:rPr>
          <w:b/>
        </w:rPr>
        <w:t xml:space="preserve">[9] </w:t>
      </w:r>
      <w:hyperlink r:id="rId466">
        <w:r>
          <w:rPr>
            <w:color w:val="1155CC"/>
            <w:u w:val="single"/>
          </w:rPr>
          <w:t>DS-MS-conformer：基于双流多尺度卷积变压器和分层动态融合的超短期风电功率预测</w:t>
        </w:r>
      </w:hyperlink>
    </w:p>
    <w:p>
      <w:pPr>
        <w:spacing w:before="0" w:after="80"/>
      </w:pPr>
      <w:r>
        <w:rPr>
          <w:i/>
          <w:sz w:val="20"/>
        </w:rPr>
        <w:t>EN: DS-MS-convformer: Ultra-short-term wind power prediction based on dual-stream multi-scale convolutional transformer and hierarchical dynamic fusion</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467">
        <w:r>
          <w:rPr>
            <w:color w:val="1155CC"/>
            <w:u w:val="single"/>
          </w:rPr>
          <w:t>10.1016/j.apenergy.2026.128477</w:t>
        </w:r>
      </w:hyperlink>
    </w:p>
    <w:p>
      <w:pPr>
        <w:spacing w:before="0" w:after="120"/>
      </w:pPr>
      <w:r>
        <w:rPr>
          <w:b/>
        </w:rPr>
        <w:t xml:space="preserve">Notes: </w:t>
      </w:r>
      <w:r>
        <w:t>abstract_source=openalex</w:t>
      </w:r>
    </w:p>
    <w:p>
      <w:pPr>
        <w:spacing w:before="0" w:after="80" w:lineRule="auto" w:line="276"/>
      </w:pPr>
      <w:r>
        <w:rPr>
          <w:b/>
        </w:rPr>
        <w:t xml:space="preserve">摘要（ZH）: </w:t>
      </w:r>
      <w:r>
        <w:t>在全球能源转型和大规模风电并网的背景下，超短期风电预测对于保障电网安全运行和风电场高效调度具有重要意义。然而，风电序列受复杂气象因素和运行工况影响，表现出明显的非平稳性。其波动特性主要表现为时域瞬态扰动与频域周期性变化之间的连续耦合，对多尺度时频结构表示和动态特征融合提出了挑战。现有方法通常难以在保留原始时间演化信息的同时解耦和协作融合时域动态特征和频域周期性结构。针对这一问题，本文提出一种基于双流时频解耦建模、多尺度卷积Transformer和分层动态融合机制的超短期风电功率预测模型，即DS-MS-Convformer。该模型首先使用双流时频解耦框架分别对原始时域动态特征和频域周期性特征进行建模。然后，通过集成不同感受野的卷积核和自注意力机制，构建多尺度卷积增强的 Transformer 编码器，从而共同捕获局部波动特征和长程时间依赖性。最后，</w:t>
      </w:r>
    </w:p>
    <w:p>
      <w:pPr>
        <w:spacing w:before="0" w:after="200" w:lineRule="auto" w:line="276"/>
      </w:pPr>
      <w:r>
        <w:rPr>
          <w:b/>
        </w:rPr>
        <w:t xml:space="preserve">Abstract (EN): </w:t>
      </w:r>
      <w:r>
        <w:t>Against the backdrop of the global energy transition and the integration of large-scale wind power, ultra-short-term wind power forecasting is of great significance for ensuring the secure operation of power grids and the efficient dispatch of wind farms. However, wind power sequences are affected by complex meteorological factors and operating conditions, exhibiting pronounced non-stationarity. Their fluctuation characteristics primarily manifest as a continuous coupling between transient disturbances in the time domain and periodic variations in the frequency domain, posing challenges for multi-scale time-frequency structural representation and dynamic feature fusion. Existing methods often struggle to decouple and collaboratively fuse time-domain dynamic features and frequency-domain periodic structures while preserving the original temporal evolution information. To address this issue, this paper proposes an ultra-short-term wind power forecasting model based on dual-stream time-frequency decoupled modelling, a multi-scale convolutional Transformer, and a hierarchical dynamic fusion mechanism, namely DS-MS-Convformer. The proposed model first models the original time-domain dynamic features and the frequency-domain periodic features separately using a dual-stream time-frequency-decoupled framework. Then, a multi-scale convolution-enhanced Transformer encoder is constructed by integrating convolution kernels with different receptive fields and the self-attention mechanism, thereby jointly capturing local fluctuation features and long-range temporal dependencies. Finally, adaptive fusion of multi-source time-frequency features is achieved through low-, medium-, and high-frequency feature reconstruction, cross-attention interaction, and gated weight allocation. Experimental results on real wind farm datasets show that the proposed method achieves lower forecasting errors across single-step, multi-step, cross-seasonal validation, and generalizability testing. Ablation studies further verify the effectiveness of each key module. The results provide a reference for structured time-frequency modelling of non-stationary wind power sequences.</w:t>
      </w:r>
    </w:p>
    <w:p>
      <w:pPr>
        <w:spacing w:before="120" w:after="120"/>
      </w:pPr>
      <w:r>
        <w:rPr>
          <w:sz w:val="18"/>
        </w:rPr>
        <w:t>——————————————————————————————————————————————————————————————————————</w:t>
      </w:r>
    </w:p>
    <w:p>
      <w:pPr>
        <w:spacing w:before="160" w:after="40" w:line="240" w:lineRule="auto"/>
      </w:pPr>
      <w:r>
        <w:rPr>
          <w:b/>
        </w:rPr>
        <w:t xml:space="preserve">[10] </w:t>
      </w:r>
      <w:hyperlink r:id="rId468">
        <w:r>
          <w:rPr>
            <w:color w:val="1155CC"/>
            <w:u w:val="single"/>
          </w:rPr>
          <w:t>用于自适应逻辑电路的电介质堆叠设计的可扩展可重构晶体管平台</w:t>
        </w:r>
      </w:hyperlink>
    </w:p>
    <w:p>
      <w:pPr>
        <w:spacing w:before="0" w:after="80"/>
      </w:pPr>
      <w:r>
        <w:rPr>
          <w:i/>
          <w:sz w:val="20"/>
        </w:rPr>
        <w:t>EN: Dielectric stacking-engineered scalable reconfigurable transistor platform for adaptive logic circuits</w:t>
      </w:r>
    </w:p>
    <w:p>
      <w:pPr>
        <w:spacing w:before="0" w:after="120"/>
      </w:pPr>
      <w:r>
        <w:rPr>
          <w:b/>
        </w:rPr>
        <w:t xml:space="preserve">Source: </w:t>
      </w:r>
      <w:r>
        <w:t>Physical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尽管具有灵活逻辑转换功能的可重构范德华器件为适应不同计算需求的适应性架构提供了一种有前途的策略，但可靠的极性控制和可扩展集成仍然具有挑战性。在这里，我们展示了一种基于可扩展电介质氧化物范德华准浮栅配置的可重构场效应晶体管，可实现非易失性极性切换和多状态可编程性。原子层 Al2O3/HfO2/Al2O3 电介质堆栈中的电荷捕获工程实现了非易失性电导更新（&gt; 6 位，持续 1000 秒）、强大的耐用性（&gt; 3 × 105 次循环）和平衡良好的电子/空穴传输（电流失配率 ~ 1%）等性能。 TCAD 模拟和表面电势分析揭示了氧空位主导的极性转换动力学。使用硅兼容的顶栅介电工艺和互补设计，多种逻辑门（包括八个布尔运算和无缝与或反转/或与反转转换）被容纳到紧凑的可重配置内存逻辑电路中。这些晶体管还简化了三态内容寻址存储器设计，突显了它们高效内存逻辑计算的潜力。</w:t>
      </w:r>
    </w:p>
    <w:p>
      <w:pPr>
        <w:spacing w:before="0" w:after="200" w:lineRule="auto" w:line="276"/>
      </w:pPr>
      <w:r>
        <w:rPr>
          <w:b/>
        </w:rPr>
        <w:t xml:space="preserve">Abstract (EN): </w:t>
      </w:r>
      <w:r>
        <w:t>Although reconfigurable van der Waals devices featuring flexible logic transformation offer a promising strategy toward adaptable architectures to accommodate diverse computational demands, reliable polarity control and scalable integration remain challenging. Here, we demonstrate a reconfigurable field-effect transistor based on the scalable dielectric oxide-van der Waals quasi-floating-gate configuration, enabling nonvolatile polarity switching and multi-state programmability. Charge trapping engineering in an atomic-layer Al2O3/HfO2/Al2O3 dielectric stack achieves performance with nonvolatile conductance update (&gt;6-bits for 1000 s), robust endurance (&gt;3 × 105 cycles), and well-balanced electron/hole transport (current mismatch ratio ~ 1%). TCAD simulation and surface potential analysis reveal oxygen vacancies-dominated polarity switching dynamics. Using a silicon-compatible top-gate dielectric process and complementary design, diverse logic gates—including eight Boolean operations and seamless AND-OR-Invert/OR-AND-Invert transformations—are accommodated into compact reconfigurable logic-in-memory circuits. These transistors also simplify ternary content-addressable memory design, underscoring their potential for efficient logic-in-memory computing.</w:t>
      </w:r>
    </w:p>
    <w:p>
      <w:pPr>
        <w:spacing w:before="120" w:after="120"/>
      </w:pPr>
      <w:r>
        <w:rPr>
          <w:sz w:val="18"/>
        </w:rPr>
        <w:t>——————————————————————————————————————————————————————————————————————</w:t>
      </w:r>
    </w:p>
    <w:p>
      <w:pPr>
        <w:spacing w:before="160" w:after="40" w:line="240" w:lineRule="auto"/>
      </w:pPr>
      <w:r>
        <w:rPr>
          <w:b/>
        </w:rPr>
        <w:t xml:space="preserve">[11] </w:t>
      </w:r>
      <w:hyperlink r:id="rId469">
        <w:r>
          <w:rPr>
            <w:color w:val="1155CC"/>
            <w:u w:val="single"/>
          </w:rPr>
          <w:t>镍催化使辐射化学具有化学选择性</w:t>
        </w:r>
      </w:hyperlink>
    </w:p>
    <w:p>
      <w:pPr>
        <w:spacing w:before="0" w:after="80"/>
      </w:pPr>
      <w:r>
        <w:rPr>
          <w:i/>
          <w:sz w:val="20"/>
        </w:rPr>
        <w:t>EN: Nickel catalysis enables chemoselectivity in radiation chemistry</w:t>
      </w:r>
    </w:p>
    <w:p>
      <w:pPr>
        <w:spacing w:before="0" w:after="120"/>
      </w:pPr>
      <w:r>
        <w:rPr>
          <w:b/>
        </w:rPr>
        <w:t xml:space="preserve">Source: </w:t>
      </w:r>
      <w:r>
        <w:t>Physical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辐射化学研究电离辐射对物质的化学效应。它在科学、医学和工业领域都有广泛的应用。最近，辐射介导的转化已成为激活惰性分子或实现后期功能化的宝贵工具。然而，这些应用通常受到辐射产生的多种自由基种类所导致的较差的化学选择性的限制。受金属光氧化还原化学中自由基调节进展的启发，我们在此证明镍催化系统可以精确调节这些自由基种类，从而实现辐射化学中的化学选择性。当应用于 C−H 活化和芳基化时，这种方法将所需产物的产率从不到 5% 提高到高达 82%，这表明有可能克服辐射驱动转化中化学选择性差的长期挑战。值得注意的是，该方法无需光敏剂即可实现选择性 C−H 芳基化，并且与光活性底物保持兼容。此外，通过使用手性配体，我们证明了电离辐射下的对映选择性 C(sp3)−H 芳基化，实现了高达 90% 的对映体过量。</w:t>
      </w:r>
    </w:p>
    <w:p>
      <w:pPr>
        <w:spacing w:before="0" w:after="200" w:lineRule="auto" w:line="276"/>
      </w:pPr>
      <w:r>
        <w:rPr>
          <w:b/>
        </w:rPr>
        <w:t xml:space="preserve">Abstract (EN): </w:t>
      </w:r>
      <w:r>
        <w:t>Radiation chemistry studies the chemical effects of ionizing radiation on matter. It has found broad applications across diverse scientific, medical and industrial fields. Recently, radiation-mediated transformations have emerged as valuable tools for activating inert molecules or enabling late-stage functionalization. Nevertheless, these applications are often limited by poor chemoselectivity arising from the diverse radical species generated by radiation. Inspired by advances in radical tuning within metallaphotoredox chemistry, here we show that a nickel catalytic system may precisely regulate these radical species, thereby enabling the chemoselectivity in radiation chemistry. When applied to C−H activation and arylation, this approach improves the yield of the desired product from less than 5% to up to 82%, suggesting the potential to overcome the long-standing challenge of poor chemoselectivity in radiation-driven transformations. Of note, this method enables selective C−H arylation without the need for photosensitizers and remains compatible with photoactive substrates. In addition, with the use of chiral ligands, we demonstrate enantioselective C(sp3)−H arylation under ionizing radiation, achieving enantiomeric excesses of up to 90%.</w:t>
      </w:r>
    </w:p>
    <w:p>
      <w:pPr>
        <w:spacing w:before="120" w:after="120"/>
      </w:pPr>
      <w:r>
        <w:rPr>
          <w:sz w:val="18"/>
        </w:rPr>
        <w:t>——————————————————————————————————————————————————————————————————————</w:t>
      </w:r>
    </w:p>
    <w:p>
      <w:pPr>
        <w:spacing w:before="160" w:after="40" w:line="240" w:lineRule="auto"/>
      </w:pPr>
      <w:r>
        <w:rPr>
          <w:b/>
        </w:rPr>
        <w:t xml:space="preserve">[12] </w:t>
      </w:r>
      <w:hyperlink r:id="rId470">
        <w:r>
          <w:rPr>
            <w:color w:val="1155CC"/>
            <w:u w:val="single"/>
          </w:rPr>
          <w:t>抗衡阴离子介导的动态动力学不对称氟化以进入硫立体中心</w:t>
        </w:r>
      </w:hyperlink>
    </w:p>
    <w:p>
      <w:pPr>
        <w:spacing w:before="0" w:after="80"/>
      </w:pPr>
      <w:r>
        <w:rPr>
          <w:i/>
          <w:sz w:val="20"/>
        </w:rPr>
        <w:t>EN: Counteranion-mediated dynamic kinetic asymmetric fluorination to access sulfur-stereogenic center</w:t>
      </w:r>
    </w:p>
    <w:p>
      <w:pPr>
        <w:spacing w:before="0" w:after="120"/>
      </w:pPr>
      <w:r>
        <w:rPr>
          <w:b/>
        </w:rPr>
        <w:t xml:space="preserve">Source: </w:t>
      </w:r>
      <w:r>
        <w:t>Physical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磺酰亚胺酰氟可作为多功能点击链接剂，并在药物发现和有机合成的 S-立体中心构建中表现出显着的实用性。尽管几种已建立的方法能够立体选择性地获得这些氮杂硫化合物，但在 S(VI)-F 键的形成中实现直接对映控制仍然具有挑战性。在此，我们提出了一种在温和反应条件下通过动态不对称氟化合成磺酰亚胺酰氟的高效策略。这种一锅法工艺包括连续的直接氟化、水解和不对称氟化，可产生多种具有高对映选择性的对映体富集的 S(VI) 化合物。该协议建立了一个理想的平台，用于通过立体特异性转化来简明合成结构多样的 S−手性基序阵列。机理研究表明，底物和磷酸根阴离子之间的空间位阻和氢键是对映体控制的原因。</w:t>
      </w:r>
    </w:p>
    <w:p>
      <w:pPr>
        <w:spacing w:before="0" w:after="200" w:lineRule="auto" w:line="276"/>
      </w:pPr>
      <w:r>
        <w:rPr>
          <w:b/>
        </w:rPr>
        <w:t xml:space="preserve">Abstract (EN): </w:t>
      </w:r>
      <w:r>
        <w:t>Sulfonimidoyl fluorides serve as versatile click linkers and have demonstrated significant utility in the construction of S-stereogenic centers for drug discovery and organic synthesis. Although several established methods enable stereoselective access to these aza−sulfur compounds, achieving direct enantiocontrol in the formation of S(VI)–F bonds remains challenging. Herein, we present a highly efficient strategy to synthesize sulfonimidoyl fluorides through the dynamic kinetic asymmetric fluorination at mild reaction conditions. This one-pot process, involving sequential direct fluorination, hydrolysis and asymmetric fluorination, delivers a wide range of enantioenriched S(VI) compounds with high enantioselectivities. This protocol establishes an ideal platform for concise synthesis of structurally diverse array of S−chirogenic motifs via stereospecific transformations. Mechanistic studies suggest that the steric hindrance and hydrogen-bonding between substrate and phosphate anion are responsible for enantiocontrol.</w:t>
      </w:r>
    </w:p>
    <w:p>
      <w:pPr>
        <w:spacing w:before="120" w:after="120"/>
      </w:pPr>
      <w:r>
        <w:rPr>
          <w:sz w:val="18"/>
        </w:rPr>
        <w:t>——————————————————————————————————————————————————————————————————————</w:t>
      </w:r>
    </w:p>
    <w:p>
      <w:pPr>
        <w:spacing w:before="160" w:after="40" w:line="240" w:lineRule="auto"/>
      </w:pPr>
      <w:r>
        <w:rPr>
          <w:b/>
        </w:rPr>
        <w:t xml:space="preserve">[13] </w:t>
      </w:r>
      <w:hyperlink r:id="rId471">
        <w:r>
          <w:rPr>
            <w:color w:val="1155CC"/>
            <w:u w:val="single"/>
          </w:rPr>
          <w:t>微波场量子计量具有固有的鲁棒性，可抵抗里德伯相互作用带来的检测损失</w:t>
        </w:r>
      </w:hyperlink>
    </w:p>
    <w:p>
      <w:pPr>
        <w:spacing w:before="0" w:after="80"/>
      </w:pPr>
      <w:r>
        <w:rPr>
          <w:i/>
          <w:sz w:val="20"/>
        </w:rPr>
        <w:t>EN: Microwave-field quantum metrology with inherent robustness against detection losses enabled by Rydberg interactions</w:t>
      </w:r>
    </w:p>
    <w:p>
      <w:pPr>
        <w:spacing w:before="0" w:after="120"/>
      </w:pPr>
      <w:r>
        <w:rPr>
          <w:b/>
        </w:rPr>
        <w:t xml:space="preserve">Source: </w:t>
      </w:r>
      <w:r>
        <w:t>Physical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量子传感和计量是量子技术领域最有前途的近期应用之一，量子传感器在电场、磁场或引力场和位移的测量中实现了前所未有的精度。检测阶段的实验损失仍然是在许多实际场景中实现真正量子优势的主要障碍之一。在这里，我们结合了里德伯原子的能力来感知外部场并用于量子信息处理，从而在很大程度上克服了检测损失的问题。在利用系综中里德伯原子的大偶极矩以在 160 ns 长的非常短的微波脉冲中实现 (217 ± 8) μV cm−1 的单次精度的同时，我们利用原子间偶极相互作用来利用防错协议，以保护信息免受检测阶段的传统损失。与直觉相反，该协议的想法是基于引入一个额外的非线性、有损量子通道，从而使费舍尔信息增强三倍。所提出的结果为更广泛地采用量子信息启发的增强功能铺平了道路，这些增强功能是通过传感器系统中存在的固有相互作用实现的，并且更广泛地应用于实际量子计量和通信，而无需通用量子计算机。</w:t>
      </w:r>
    </w:p>
    <w:p>
      <w:pPr>
        <w:spacing w:before="0" w:after="200" w:lineRule="auto" w:line="276"/>
      </w:pPr>
      <w:r>
        <w:rPr>
          <w:b/>
        </w:rPr>
        <w:t xml:space="preserve">Abstract (EN): </w:t>
      </w:r>
      <w:r>
        <w:t>Quantum sensing and metrology present one of the most promising near-term applications in the field of quantum technologies, with quantum sensors enabling unprecedented precision in measurements of electric, magnetic, or gravitational fields and displacements. Experimental loss at the detection stage remains one of the key obstacles to achieving a truly quantum advantage in many practical scenarios. Here, we combine the capabilities of Rydberg atoms to both sense external fields and be used for quantum information processing, thereby largely overcoming the issue of detection losses. While utilising the large dipole moments of Rydberg atoms in an ensemble to achieve single-shot precision of (217 ± 8) μV cm−1 for a very short 160-ns-long microwave pulse, we employ inter-atomic dipolar interactions to take advantage of an error-prevention protocol that protects information against conventional losses at the detection stage. Counterintuitively, the protocol’s idea is based on introducing an additional non-linear, lossy quantum channel, which results in a threefold enhancement of Fisher information. The presented results pave the way for broader adoption of quantum-information-inspired enhancements enabled by intrinsic interactions present in a sensor system, and more broadly in practical quantum metrology and communication, without the need for a general-purpose quantum computer.</w:t>
      </w:r>
    </w:p>
    <w:p>
      <w:pPr>
        <w:spacing w:before="120" w:after="120"/>
      </w:pPr>
      <w:r>
        <w:rPr>
          <w:sz w:val="18"/>
        </w:rPr>
        <w:t>——————————————————————————————————————————————————————————————————————</w:t>
      </w:r>
    </w:p>
    <w:p>
      <w:pPr>
        <w:spacing w:before="160" w:after="40" w:line="240" w:lineRule="auto"/>
      </w:pPr>
      <w:r>
        <w:rPr>
          <w:b/>
        </w:rPr>
        <w:t xml:space="preserve">[14] </w:t>
      </w:r>
      <w:hyperlink r:id="rId472">
        <w:r>
          <w:rPr>
            <w:color w:val="1155CC"/>
            <w:u w:val="single"/>
          </w:rPr>
          <w:t>适合在 Fe10Dy10 分子环中直接观察的有限温度环形矩</w:t>
        </w:r>
      </w:hyperlink>
    </w:p>
    <w:p>
      <w:pPr>
        <w:spacing w:before="0" w:after="80"/>
      </w:pPr>
      <w:r>
        <w:rPr>
          <w:i/>
          <w:sz w:val="20"/>
        </w:rPr>
        <w:t>EN: Finite-temperature toroidal moment amenable to direct observation in an Fe10Dy10 molecular ring</w:t>
      </w:r>
    </w:p>
    <w:p>
      <w:pPr>
        <w:spacing w:before="0" w:after="120"/>
      </w:pPr>
      <w:r>
        <w:rPr>
          <w:b/>
        </w:rPr>
        <w:t xml:space="preserve">Source: </w:t>
      </w:r>
      <w:r>
        <w:t>Physical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单分子环形结构具有携带环形力矩τ的闭合磁涡流，其电偶极子对称性能够实现磁电自旋控制。然而，相反的环形手性在传统磁场中会退化，这使得直接检测 τ 具有挑战性。目前的方法仅通过弱剩磁间接探测环形动力学，而有限温度环形极化和实际的准备/读出条件仍未建立。在这里，我们展示了 Fe10Dy10 分子拥有一个 620 亿维的低能流形，其具有环形特征，通过再现实验数据的从头计算传递矩阵框架使其易于处理。该模型揭示了对热波动具有鲁棒性的大环形响应，通过有限温度环形磁化率 χ 进行量化。然后，我们提出了一种准备和读出协议，其中一系列时间不对称的近红外脉冲积累环形极化，通过磁电响应转换为可测量的电场感应磁信号。这些结果将 Fe10Dy10 确立为一个可以在现实条件下制备、积累和读出 τ 的分子系统。</w:t>
      </w:r>
    </w:p>
    <w:p>
      <w:pPr>
        <w:spacing w:before="0" w:after="200" w:lineRule="auto" w:line="276"/>
      </w:pPr>
      <w:r>
        <w:rPr>
          <w:b/>
        </w:rPr>
        <w:t xml:space="preserve">Abstract (EN): </w:t>
      </w:r>
      <w:r>
        <w:t>Single-molecule toroics host closed magnetic vortices carrying toroidal moments τ, whose electric-dipole symmetry enables magnetoelectric spin control. Yet opposite toroidal chiralities are degenerate in conventional magnetic fields, making direct detection of τ challenging. Current approaches probe toroidal dynamics only indirectly through weak residual magnetism, while finite-temperature toroidal polarisation and realistic preparation/readout conditions remain unestablished. Here we show that the Fe10Dy10 molecule hosts a 62-billion-dimensional low-energy manifold pervaded by toroidal character, rendered tractable by an ab initio-informed transfer-matrix framework that reproduces experimental data. The model reveals a large toroidal response robust to thermal fluctuations, quantified by a finite-temperature toroidal susceptibility ξ. We then propose a preparation-and-readout protocol in which a train of temporally asymmetric near-infrared pulses accumulates toroidal polarisation, converted through magnetoelectric response into a measurable electric-field-induced magnetic signal. These results establish Fe10Dy10 as a molecular system where τ can be prepared, accumulated and read out under realistic conditions.</w:t>
      </w:r>
    </w:p>
    <w:p>
      <w:pPr>
        <w:spacing w:before="120" w:after="120"/>
      </w:pPr>
      <w:r>
        <w:rPr>
          <w:sz w:val="18"/>
        </w:rPr>
        <w:t>——————————————————————————————————————————————————————————————————————</w:t>
      </w:r>
    </w:p>
    <w:p>
      <w:pPr>
        <w:spacing w:before="160" w:after="40" w:line="240" w:lineRule="auto"/>
      </w:pPr>
      <w:r>
        <w:rPr>
          <w:b/>
        </w:rPr>
        <w:t xml:space="preserve">[15] </w:t>
      </w:r>
      <w:hyperlink r:id="rId473">
        <w:r>
          <w:rPr>
            <w:color w:val="1155CC"/>
            <w:u w:val="single"/>
          </w:rPr>
          <w:t>单原子工程钙钛矿可实现接近理论速率的羟基自由基电产生</w:t>
        </w:r>
      </w:hyperlink>
    </w:p>
    <w:p>
      <w:pPr>
        <w:spacing w:before="0" w:after="80"/>
      </w:pPr>
      <w:r>
        <w:rPr>
          <w:i/>
          <w:sz w:val="20"/>
        </w:rPr>
        <w:t>EN: Single-atom-engineered perovskite enables near-theoretical-rate hydroxyl radical electrogeneration</w:t>
      </w:r>
    </w:p>
    <w:p>
      <w:pPr>
        <w:spacing w:before="0" w:after="120"/>
      </w:pPr>
      <w:r>
        <w:rPr>
          <w:b/>
        </w:rPr>
        <w:t xml:space="preserve">Source: </w:t>
      </w:r>
      <w:r>
        <w:t>Physical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电化学高级氧化通过氧还原反应（ORR）直接激活O2产生羟基自由基（·OH），为降解持久性有机污染物提供了一种可持续的策略。然而，主流方法通常依赖于涉及 2e⁻ ORR 产生 H2O2，然后进行 1e⁻ 激活的逐步过程。与中间解吸和位点间转移相关的高势垒因此限制了·OH 产量。在这里，我们在钙钛矿氧化物 Pr1.0Sr1.0Fe0.5Zn0.25Mo0.25O4-δ (PSFZM) 中构建了单活性位点结构，该结构能够实现直接三电子 ORR 途径，从而有效生成·OH。 Znδ⁺单一活性中心通过弱轨道相互作用选择性地稳定*OOH和*H2O2，而相邻的Mo原子使吸附的H2O2的O原子极化，促进活性位点过氧化物键的裂解。该策略避免了中间解吸和迁移，从而实现连续的质子耦合电子转移。该催化剂的·OH 生产率为 821 μmol h⁻1，O2 利用率为 37.7%，这些指标与之前报道的系统具有竞争力。在直接使用气态O2的无膜流通池中，·OH的生成效率达到64.7%。通过将原子级催化剂设计与反应器工程相结合，这项工作建立了一个可扩展的可持续废水处理平台。</w:t>
      </w:r>
    </w:p>
    <w:p>
      <w:pPr>
        <w:spacing w:before="0" w:after="200" w:lineRule="auto" w:line="276"/>
      </w:pPr>
      <w:r>
        <w:rPr>
          <w:b/>
        </w:rPr>
        <w:t xml:space="preserve">Abstract (EN): </w:t>
      </w:r>
      <w:r>
        <w:t>Electrochemical advanced oxidation that directly activates O2 through the oxygen reduction reaction (ORR) to generate hydroxyl radicals (•OH) offers a sustainable strategy for degrading persistent organic pollutants. However, prevailing approaches typically rely on a stepwise process involving the 2e⁻ ORR to produce H2O2 followed by 1e⁻ activation. High barriers associated with intermediate desorption and inter-site transfer consequently limit the •OH yield. Here, we construct a single-active-site architecture in the perovskite oxide Pr1.0Sr1.0Fe0.5Zn0.25Mo0.25O4-δ (PSFZM) that enables a direct three-electron ORR pathway for efficient •OH generation. The Znδ⁺ single active center selectively stabilizes *OOH and *H2O2 through weak orbital interactions, while an adjacent Mo atom polarizes the O atoms of adsorbed H2O2, promoting cleavage of the peroxide bond at the active site. This strategy avoids intermediate desorption and migration, enabling continuous proton-coupled electron transfer. The catalyst achieves a •OH production rate of 821 μmol h⁻1 and an O2 utilization of 37.7%, metrics competitive with previously reported systems. In a membrane-free flow cell that uses gaseous O2 directly, the •OH generation efficiency reaches 64.7%. By combining atomic-level catalyst design with reactor engineering, this work establishes a scalable platform for sustainable wastewater treatment.</w:t>
      </w:r>
    </w:p>
    <w:p>
      <w:pPr>
        <w:spacing w:before="120" w:after="120"/>
      </w:pPr>
      <w:r>
        <w:rPr>
          <w:sz w:val="18"/>
        </w:rPr>
        <w:t>——————————————————————————————————————————————————————————————————————</w:t>
      </w:r>
    </w:p>
    <w:p>
      <w:pPr>
        <w:spacing w:before="160" w:after="40" w:line="240" w:lineRule="auto"/>
      </w:pPr>
      <w:r>
        <w:rPr>
          <w:b/>
        </w:rPr>
        <w:t xml:space="preserve">[16] </w:t>
      </w:r>
      <w:hyperlink r:id="rId474">
        <w:r>
          <w:rPr>
            <w:color w:val="1155CC"/>
            <w:u w:val="single"/>
          </w:rPr>
          <w:t>拓扑和参数信息不完整的水电系统的鲁棒学习电压控制</w:t>
        </w:r>
      </w:hyperlink>
    </w:p>
    <w:p>
      <w:pPr>
        <w:spacing w:before="0" w:after="80"/>
      </w:pPr>
      <w:r>
        <w:rPr>
          <w:i/>
          <w:sz w:val="20"/>
        </w:rPr>
        <w:t>EN: Robust learning-enabled voltage control for water–electricity systems under incomplete topology and parameter information</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475">
        <w:r>
          <w:rPr>
            <w:color w:val="1155CC"/>
            <w:u w:val="single"/>
          </w:rPr>
          <w:t>10.1016/j.apenergy.2026.128483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476">
        <w:r>
          <w:rPr>
            <w:color w:val="1155CC"/>
            <w:u w:val="single"/>
          </w:rPr>
          <w:t>哥斯达黎加从田间到森林的真菌溢出是咖啡的生物边缘效应</w:t>
        </w:r>
      </w:hyperlink>
    </w:p>
    <w:p>
      <w:pPr>
        <w:spacing w:before="0" w:after="80"/>
      </w:pPr>
      <w:r>
        <w:rPr>
          <w:i/>
          <w:sz w:val="20"/>
        </w:rPr>
        <w:t>EN: Field-to-forest fungal spillover is a biotic edge effect of coffee in Costa Rica</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农业扩张创造了马赛克景观，管理土地与自然生态系统接壤，促进生物在栖息地之间的移动。之前已经研究过从自然系统到农作物的生态溢出，但农业增加的人口迁移到邻近森林的程度在很大程度上仍未被探索。我们调查了哥斯达黎加咖啡田是否充当叶面真菌的储存库，由于作物密度高和植物-真菌关联中的系统发育信号，叶面真菌可能特别影响森林林下的咖啡（茜草科）的近亲。实地调查、空气繁殖体采样和沿着咖啡森林边界横断面的元条形码显示，随着进入森林的距离，茜草科寄主的叶斑发生率下降，但非茜草科寄主则不然，同时咖啡叶上的优势真菌目、侧孢菌目和 19 种与咖啡相关的类群也下降。 93 个与咖啡相关的类群，包括许多潜在的植物病原体，在森林茜草科宿主上显示出比森林非茜草科寄主更高的模拟丰度。我们的研究结果表明，作物可以作为真菌在邻近森林植物中定殖的储存库，对与作物关系更密切的宿主产生不成比例的影响。这些植物可能面临更大的疾病压力，导致农作物-森林边界附近的森林林下组成发生变化。系统发育结构的溢出代表了支离破碎的景观中未被充分认识的边缘效应。</w:t>
      </w:r>
    </w:p>
    <w:p>
      <w:pPr>
        <w:spacing w:before="0" w:after="200" w:lineRule="auto" w:line="276"/>
      </w:pPr>
      <w:r>
        <w:rPr>
          <w:b/>
        </w:rPr>
        <w:t xml:space="preserve">Abstract (EN): </w:t>
      </w:r>
      <w:r>
        <w:t>Agricultural expansion creates mosaic landscapes where managed land borders natural ecosystems, facilitating the movement of organisms between habitats. Ecological spillover from natural systems to crops has been previously examined, but the extent to which populations amplified by agriculture move into adjacent forests remains largely unexplored. We investigated whether Costa Rican coffee fields act as reservoirs for foliar fungi that, because of high crop density and phylogenetic signal in plant-fungal associations, may particularly affect close relatives of coffee (Rubiaceae) in the forest understory. Field surveys, airborne propagule sampling, and metabarcoding along transects at the coffee-forest border revealed declining leaf spot incidence with distance into the forest for Rubiaceae but not non-Rubiaceae hosts, in parallel with declines in the dominant fungal order on coffee leaves, Pleosporales, and 19 coffee-associated taxa. Ninety-three coffee-associated taxa, including many potential plant pathogens, showed higher modeled abundance on forest Rubiaceae than forest non-Rubiaceae hosts. Our findings suggest that crops can act as reservoirs for fungi colonizing adjacent forest plants, disproportionately affecting hosts more closely related to the crop. These plants may face increased disease pressure, leading to changes in forest understory composition near the crop-forest border. Phylogenetically structured spillover represents an underappreciated edge effect in fragmented landscapes.</w:t>
      </w:r>
    </w:p>
    <w:p>
      <w:pPr>
        <w:spacing w:before="120" w:after="120"/>
      </w:pPr>
      <w:r>
        <w:rPr>
          <w:sz w:val="18"/>
        </w:rPr>
        <w:t>——————————————————————————————————————————————————————————————————————</w:t>
      </w:r>
    </w:p>
    <w:p>
      <w:pPr>
        <w:spacing w:before="160" w:after="40" w:line="240" w:lineRule="auto"/>
      </w:pPr>
      <w:r>
        <w:rPr>
          <w:b/>
        </w:rPr>
        <w:t xml:space="preserve">[18] </w:t>
      </w:r>
      <w:hyperlink r:id="rId477">
        <w:r>
          <w:rPr>
            <w:color w:val="1155CC"/>
            <w:u w:val="single"/>
          </w:rPr>
          <w:t>基于TCN-transformer-BiLSTM的多类型资源节点频率支持贡献评估方法</w:t>
        </w:r>
      </w:hyperlink>
    </w:p>
    <w:p>
      <w:pPr>
        <w:spacing w:before="0" w:after="80"/>
      </w:pPr>
      <w:r>
        <w:rPr>
          <w:i/>
          <w:sz w:val="20"/>
        </w:rPr>
        <w:t>EN: An evaluation method for the node frequency support contribution of multi-type resources based on TCN-transformer-BiLSTM</w:t>
      </w:r>
    </w:p>
    <w:p>
      <w:pPr>
        <w:spacing w:before="0" w:after="120"/>
      </w:pPr>
      <w:r>
        <w:rPr>
          <w:b/>
        </w:rPr>
        <w:t xml:space="preserve">Source: </w:t>
      </w:r>
      <w:r>
        <w:t>ScienceDirect Publication: Applied Energy</w:t>
      </w:r>
      <w:r>
        <w:t xml:space="preserve">    </w:t>
      </w:r>
      <w:r>
        <w:rPr>
          <w:b/>
        </w:rPr>
        <w:t xml:space="preserve">Pub date: </w:t>
      </w:r>
      <w:r>
        <w:t>2026-07-24 00:00:00+00:00</w:t>
      </w:r>
      <w:r>
        <w:t xml:space="preserve">    </w:t>
      </w:r>
      <w:r>
        <w:rPr>
          <w:b/>
        </w:rPr>
        <w:t xml:space="preserve">DOI: </w:t>
      </w:r>
      <w:hyperlink r:id="rId478">
        <w:r>
          <w:rPr>
            <w:color w:val="1155CC"/>
            <w:u w:val="single"/>
          </w:rPr>
          <w:t>10.1016/j.apenergy.2026.128498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479">
        <w:r>
          <w:rPr>
            <w:color w:val="1155CC"/>
            <w:u w:val="single"/>
          </w:rPr>
          <w:t>不动时海马神经元的位置和行为调节</w:t>
        </w:r>
      </w:hyperlink>
    </w:p>
    <w:p>
      <w:pPr>
        <w:spacing w:before="0" w:after="80"/>
      </w:pPr>
      <w:r>
        <w:rPr>
          <w:i/>
          <w:sz w:val="20"/>
        </w:rPr>
        <w:t>EN: Place and behavioral modulation of hippocampal neurons during immobility</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行为状态波动深刻影响情景记忆处理。为了探索潜在的机制，我们记录了头部固定的雄性小鼠的 CA1 位置细胞，并专注于清醒不动，通过面部运动、瞳孔测量和局部场电位 (LFP) 分析来捕获自发的行为状态波动。我们发现，在清醒不动时，自发的胡须垫运动事件的持续时间与持续的唤醒水平相关，并调节 θ 振荡的频率和功率。 CA1位置细胞在不动期间继续编码位置，空间代码主要由行为调节位置细胞的子集驱动，这些位置细胞在行为状态转换时增加了它们的放电。静止期间的单细胞刺激足以诱导位置场，这表明即使在没有运动的情况下也可以发挥可塑性机制。总而言之，这些数据表明，行为状态波动可能通过离散位置细胞整体的参与来调节 θ 振荡动力学和海马增益，从而有助于情景记忆处理。</w:t>
      </w:r>
    </w:p>
    <w:p>
      <w:pPr>
        <w:spacing w:before="0" w:after="200" w:lineRule="auto" w:line="276"/>
      </w:pPr>
      <w:r>
        <w:rPr>
          <w:b/>
        </w:rPr>
        <w:t xml:space="preserve">Abstract (EN): </w:t>
      </w:r>
      <w:r>
        <w:t>Behavioral state fluctuations profoundly impact episodic memory processing. To explore the underlying mechanisms, we recorded CA1 place cells in head-fixed male mice and focused on awake immobility to capture spontaneous behavioral state fluctuations by facial motion, pupillometry, and local field potential (LFP) analysis. We found that during awake immobility, the duration of spontaneous whisker-pad motion events correlated with ongoing levels of arousal and modulated both the frequency and the power of theta oscillations. CA1 place cells continued to encode location during immobility, with the spatial code being primarily driven by a subset of behaviorally-modulated place cells which increased their firing upon behavioral state transitions. Single-cell stimulation during immobility was sufficient for the induction of place fields, indicating that plasticity mechanisms can be engaged even in the absence of locomotion. Altogether, these data indicate that behavioral state fluctuations might contribute to episodic memory processing by modulating theta oscillatory dynamics and hippocampal gain via the engagement of a discrete place-cell ensemble.</w:t>
      </w:r>
    </w:p>
    <w:p>
      <w:pPr>
        <w:spacing w:before="120" w:after="120"/>
      </w:pPr>
      <w:r>
        <w:rPr>
          <w:sz w:val="18"/>
        </w:rPr>
        <w:t>——————————————————————————————————————————————————————————————————————</w:t>
      </w:r>
    </w:p>
    <w:p>
      <w:pPr>
        <w:spacing w:before="160" w:after="40" w:line="240" w:lineRule="auto"/>
      </w:pPr>
      <w:r>
        <w:rPr>
          <w:b/>
        </w:rPr>
        <w:t xml:space="preserve">[20] </w:t>
      </w:r>
      <w:hyperlink r:id="rId480">
        <w:r>
          <w:rPr>
            <w:color w:val="1155CC"/>
            <w:u w:val="single"/>
          </w:rPr>
          <w:t>DirectContacts2：人类物理蛋白质相互作用的接线图</w:t>
        </w:r>
      </w:hyperlink>
    </w:p>
    <w:p>
      <w:pPr>
        <w:spacing w:before="0" w:after="80"/>
      </w:pPr>
      <w:r>
        <w:rPr>
          <w:i/>
          <w:sz w:val="20"/>
        </w:rPr>
        <w:t>EN: DirectContacts2: a wiring diagram of human physical protein interactions</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细胞功能由稳定复合物中蛋白质的活性驱动。蛋白质复合物的组装取决于组分蛋白质的直接物理结合。使用 AlphaFold 和 RoseTTAFold 等工具进行大分子结构预测的进展极大地提高了我们在计算机中模拟这些相互作用的能力，但对人类蛋白质组的约 2 亿个可能的对进行全面分析在计算上仍然很困难。因此，直接蛋白质相互作用的全面细胞图谱将成为指导筛选工作的宝贵资源。在这里，我们提出了 DirectContacts2，这是一种机器学习模型，它使用源自 25,000 多个质谱实验的特征来区分直接和间接的蛋白质相互作用。我们的模型应用于约 2500 万人类蛋白质对，在识别直接物理相互作用方面优于以前的资源，并丰富了精确的结构模型，包括约 2500 个 AlphaFold3 模型。我们的框架能够对疾病相关复合体（例如口面数字综合症（OFDS）复合体）进行结构建模，提供对致病突变（OFD1）的分子后果的见解，并广泛地建立细胞的高度准确的蛋白质接线图。</w:t>
      </w:r>
    </w:p>
    <w:p>
      <w:pPr>
        <w:spacing w:before="0" w:after="200" w:lineRule="auto" w:line="276"/>
      </w:pPr>
      <w:r>
        <w:rPr>
          <w:b/>
        </w:rPr>
        <w:t xml:space="preserve">Abstract (EN): </w:t>
      </w:r>
      <w:r>
        <w:t>Cellular function is driven by the activity of proteins in stable complexes. Protein complex assembly depends on the direct physical association of component proteins. Advances in macromolecular structure prediction with tools like AlphaFold and RoseTTAFold have greatly improved our ability to model these interactions in silico, but an all-by-all analysis of the human proteome’s ~200 M possible pairs remains computationally intractable. A comprehensive cellular map of direct protein interactions will therefore be an invaluable resource to direct screening efforts. Here, we present DirectContacts2, a machine learning model that distinguishes direct from indirect protein interactions using features derived from over 25,000 mass spectrometry experiments. Applied to ~25 million human protein pairs, our model outperforms previous resources in identifying direct physical interactions and enriches for accurate structural models including ~2500 AlphaFold3 models. Our framework enables structural modeling of disease-relevant complexes (e.g. orofacial digital syndrome (OFDS) complex) offering insights into the molecular consequences of pathogenic mutations (OFD1) and broadly, establishes a highly accurate protein wiring diagram of the cell.</w:t>
      </w:r>
    </w:p>
    <w:p>
      <w:pPr>
        <w:spacing w:before="120" w:after="120"/>
      </w:pPr>
      <w:r>
        <w:rPr>
          <w:sz w:val="18"/>
        </w:rPr>
        <w:t>——————————————————————————————————————————————————————————————————————</w:t>
      </w:r>
    </w:p>
    <w:p>
      <w:pPr>
        <w:spacing w:before="160" w:after="40" w:line="240" w:lineRule="auto"/>
      </w:pPr>
      <w:r>
        <w:rPr>
          <w:b/>
        </w:rPr>
        <w:t xml:space="preserve">[21] </w:t>
      </w:r>
      <w:hyperlink r:id="rId481">
        <w:r>
          <w:rPr>
            <w:color w:val="1155CC"/>
            <w:u w:val="single"/>
          </w:rPr>
          <w:t>两个端粒到端粒荷花基因组组装揭示了驯化历史并赋能精准育种</w:t>
        </w:r>
      </w:hyperlink>
    </w:p>
    <w:p>
      <w:pPr>
        <w:spacing w:before="0" w:after="80"/>
      </w:pPr>
      <w:r>
        <w:rPr>
          <w:i/>
          <w:sz w:val="20"/>
        </w:rPr>
        <w:t>EN: Two telomere-to-telomere Nelumbo genome assemblies reveal domestication history and empower precision breeding</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莲花（Nelumbo）是一种古老的水生植物，具有重要的生态、经济和文化重要性，但其基因组结构和驯化历史仍未完全解决。在这里，我们为亚洲莲花（N. nucifera）和美洲莲花（N. utea）这两个现存物种生成端粒到端粒参考基因组。比较基因组学分析揭示了两个物种之间着丝粒区域和染色体结构变异的差异。对 832 个全球分布的莲花品种的种群分析支持热带亚洲是亚洲莲花的主要传播摇篮。我们检测对现代栽培基因库有贡献的历史基因渗入事件，并确定调节花颜色变化和根茎增大的关键位点。为了支持研究和育种，我们开发了 Nelumbo 多组学基因组平台（NMGP；http://182.92.235.125:18888/lotus/home/），将多组学数据与 Pearson 相关加权基因组预测机器学习模型融合 (PFMGP) 框架集成。这些资源为研究莲花进化和基因组育种提供了基础。</w:t>
      </w:r>
    </w:p>
    <w:p>
      <w:pPr>
        <w:spacing w:before="0" w:after="200" w:lineRule="auto" w:line="276"/>
      </w:pPr>
      <w:r>
        <w:rPr>
          <w:b/>
        </w:rPr>
        <w:t xml:space="preserve">Abstract (EN): </w:t>
      </w:r>
      <w:r>
        <w:t>Lotus (Nelumbo) is an ancient aquatic plant of major ecological, economic, and cultural importance, yet its genomic architecture and domestication history remain incompletely resolved. Here, we generate telomere-to-telomere reference genomes for the two extant species, Asian lotus (N. nucifera) and American lotus (N. lutea). Comparative genomics analysis reveals divergence in centromeric regions and chromosomal structural variation between the two species. Population analysis of 832 globally distributed lotus accessions supports tropical Asia as the primary dispersal cradle of Asian lotus. We detect historical introgression events contributing to modern cultivated gene pools, and identify key loci regulating flower color variation and rhizome enlargement. To support research and breeding, we develop the Nelumbo Multi-omics Genome Platform (NMGP; http://182.92.235.125:18888/lotus/home/), integrating multi-omics data with a Pearson correlation-weighted Fusion of machine learning Models for Genomic Prediction (PFMGP) framework. These resources provide foundation for studying lotus evolution and genome-informed breeding.</w:t>
      </w:r>
    </w:p>
    <w:p>
      <w:pPr>
        <w:spacing w:before="120" w:after="120"/>
      </w:pPr>
      <w:r>
        <w:rPr>
          <w:sz w:val="18"/>
        </w:rPr>
        <w:t>——————————————————————————————————————————————————————————————————————</w:t>
      </w:r>
    </w:p>
    <w:p>
      <w:pPr>
        <w:spacing w:before="160" w:after="40" w:line="240" w:lineRule="auto"/>
      </w:pPr>
      <w:r>
        <w:rPr>
          <w:b/>
        </w:rPr>
        <w:t xml:space="preserve">[22] </w:t>
      </w:r>
      <w:hyperlink r:id="rId482">
        <w:r>
          <w:rPr>
            <w:color w:val="1155CC"/>
            <w:u w:val="single"/>
          </w:rPr>
          <w:t>白宫推出人工智能资助——标志着美国科学的新时代</w:t>
        </w:r>
      </w:hyperlink>
    </w:p>
    <w:p>
      <w:pPr>
        <w:spacing w:before="0" w:after="80"/>
      </w:pPr>
      <w:r>
        <w:rPr>
          <w:i/>
          <w:sz w:val="20"/>
        </w:rPr>
        <w:t>EN: White House rolls out AI funding — and signals a new era for US science</w:t>
      </w:r>
    </w:p>
    <w:p>
      <w:pPr>
        <w:spacing w:before="0" w:after="120"/>
      </w:pPr>
      <w:r>
        <w:rPr>
          <w:b/>
        </w:rPr>
        <w:t xml:space="preserve">Source: </w:t>
      </w:r>
      <w:r>
        <w:t>Nature</w:t>
      </w:r>
      <w:r>
        <w:t xml:space="preserve">    </w:t>
      </w:r>
      <w:r>
        <w:rPr>
          <w:b/>
        </w:rPr>
        <w:t xml:space="preserve">Pub date: </w:t>
      </w:r>
      <w:r>
        <w:t>2026-07-24 00:00:00+00:00</w:t>
      </w:r>
      <w:r>
        <w:t xml:space="preserve">    </w:t>
      </w:r>
      <w:r>
        <w:rPr>
          <w:b/>
        </w:rPr>
        <w:t xml:space="preserve">DOI: </w:t>
      </w:r>
      <w:hyperlink r:id="rId483">
        <w:r>
          <w:rPr>
            <w:color w:val="1155CC"/>
            <w:u w:val="single"/>
          </w:rPr>
          <w:t>10.1038/d41586-026-02332-8</w:t>
        </w:r>
      </w:hyperlink>
    </w:p>
    <w:p>
      <w:pPr>
        <w:spacing w:before="0" w:after="120"/>
      </w:pPr>
      <w:r>
        <w:rPr>
          <w:b/>
        </w:rPr>
        <w:t xml:space="preserve">Notes: </w:t>
      </w:r>
      <w:r>
        <w:t>abstract_source=rss_nature</w:t>
      </w:r>
    </w:p>
    <w:p>
      <w:pPr>
        <w:spacing w:before="0" w:after="80" w:lineRule="auto" w:line="276"/>
      </w:pPr>
      <w:r>
        <w:rPr>
          <w:b/>
        </w:rPr>
        <w:t xml:space="preserve">摘要（ZH）: </w:t>
      </w:r>
      <w:r>
        <w:t>美国首席科学顾问呼吁对资金进行重组，同时发放赠款以加速人工智能研究。</w:t>
      </w:r>
    </w:p>
    <w:p>
      <w:pPr>
        <w:spacing w:before="0" w:after="200" w:lineRule="auto" w:line="276"/>
      </w:pPr>
      <w:r>
        <w:rPr>
          <w:b/>
        </w:rPr>
        <w:t xml:space="preserve">Abstract (EN): </w:t>
      </w:r>
      <w:r>
        <w:t>Chief US science adviser calls for a shakeup in funding while handing out grants to accelerate research with AI.</w:t>
      </w:r>
    </w:p>
    <w:p>
      <w:pPr>
        <w:spacing w:before="120" w:after="120"/>
      </w:pPr>
      <w:r>
        <w:rPr>
          <w:sz w:val="18"/>
        </w:rPr>
        <w:t>——————————————————————————————————————————————————————————————————————</w:t>
      </w:r>
    </w:p>
    <w:p>
      <w:pPr>
        <w:spacing w:before="160" w:after="40" w:line="240" w:lineRule="auto"/>
      </w:pPr>
      <w:r>
        <w:rPr>
          <w:b/>
        </w:rPr>
        <w:t xml:space="preserve">[23] </w:t>
      </w:r>
      <w:hyperlink r:id="rId484">
        <w:r>
          <w:rPr>
            <w:color w:val="1155CC"/>
            <w:u w:val="single"/>
          </w:rPr>
          <w:t>遗传性运甲状腺素蛋白淀粉样变性中活检来源的 TTR 原纤维的冷冻电镜结构</w:t>
        </w:r>
      </w:hyperlink>
    </w:p>
    <w:p>
      <w:pPr>
        <w:spacing w:before="0" w:after="80"/>
      </w:pPr>
      <w:r>
        <w:rPr>
          <w:i/>
          <w:sz w:val="20"/>
        </w:rPr>
        <w:t>EN: Cryo-EM structures of biopsy-derived TTR fibrils in hereditary transthyretin amyloidosis</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遗传性转甲状腺素蛋白淀粉样变性（ATTRv）是一种致命的常染色体显性遗传疾病，其特征是转甲状腺素蛋白（TTR）淀粉样原纤维的全身沉积，导致进行性神经病和心肌病。已鉴定出 130 多种 TTR 基因致病突变，但它们在 TTR 原纤维形成和疾病发病机制中的作用仍不清楚。在这里，我们使用冷冻电子显微镜 (cryo-EM)，展示了来自 10 名携带 9 种不同杂合突变的活着的 ATTRv 患者的腓肠肌活检和玻璃体液的 19 种高分辨率 TTR 原纤维结构 (1.9-3.4 Å)。基于深度学习的冷冻电镜密度分析能够对原纤维内的突变型或野生型优势进行半定量评估。这些成分特征及其结构表明，疾病发作与主要引发淀粉样蛋白形成的 TTR 物种（野生型或突变型）之间存在关联。这种基于活检的工作流程拓宽了患者组织用于淀粉样蛋白结构研究的途径，从而能够系统地研究异质性遗传性淀粉样变性以及突变在淀粉样蛋白形成中的作用。</w:t>
      </w:r>
    </w:p>
    <w:p>
      <w:pPr>
        <w:spacing w:before="0" w:after="200" w:lineRule="auto" w:line="276"/>
      </w:pPr>
      <w:r>
        <w:rPr>
          <w:b/>
        </w:rPr>
        <w:t xml:space="preserve">Abstract (EN): </w:t>
      </w:r>
      <w:r>
        <w:t>Hereditary transthyretin amyloidosis (ATTRv) is a fatal autosomal dominant disease characterized by systemic deposition of transthyretin (TTR) amyloid fibrils, leading to progressive neuropathy and cardiomyopathy. More than 130 pathogenic mutations in the TTR gene have been identified, but their roles in TTR fibril formation and disease pathogenesis remain unclear. Here, using cryo-electron microscopy (cryo-EM), we present nineteen high-resolution TTR fibril structures (1.9-3.4 Å) from gastrocnemius muscle biopsies and vitreous humor of ten living ATTRv patients carrying nine distinct heterozygous mutations. Deep-learning-based analysis of cryo-EM densities enables semi-quantitative assessment of mutant or wild-type dominance within fibrils. These compositional profiles, combined with their structures, suggest an association between disease onset and the TTR species (wild-type or mutant) that primarily initiates amyloid formation. This biopsy-based workflow broadens access to patient tissue for amyloid structural studies, enabling systematic investigation of heterogeneous hereditary amyloidoses and the role of mutations in amyloid formation.</w:t>
      </w:r>
    </w:p>
    <w:p>
      <w:pPr>
        <w:spacing w:before="120" w:after="120"/>
      </w:pPr>
      <w:r>
        <w:rPr>
          <w:sz w:val="18"/>
        </w:rPr>
        <w:t>——————————————————————————————————————————————————————————————————————</w:t>
      </w:r>
    </w:p>
    <w:p>
      <w:pPr>
        <w:spacing w:before="160" w:after="40" w:line="240" w:lineRule="auto"/>
      </w:pPr>
      <w:r>
        <w:rPr>
          <w:b/>
        </w:rPr>
        <w:t xml:space="preserve">[24] </w:t>
      </w:r>
      <w:hyperlink r:id="rId485">
        <w:r>
          <w:rPr>
            <w:color w:val="1155CC"/>
            <w:u w:val="single"/>
          </w:rPr>
          <w:t>长期野生鸟类监测揭示中国H5Nx禽流感的演变动态</w:t>
        </w:r>
      </w:hyperlink>
    </w:p>
    <w:p>
      <w:pPr>
        <w:spacing w:before="0" w:after="80"/>
      </w:pPr>
      <w:r>
        <w:rPr>
          <w:i/>
          <w:sz w:val="20"/>
        </w:rPr>
        <w:t>EN: Evolving dynamics of H5Nx avian influenza in China revealed by long-term wild bird surveillance</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H5Nx 高致病性禽流感病毒对家禽、野生动物和公众健康构成持续威胁。在过去的二十年中，它们的地理和宿主范围已经扩展到整个迁徙网络，通过最近的监测和基因组分析，其流行病学连通性变得越来越明显。为了阐明这些动态，我们在中国进行了长期的全国范围内的野生鸟类监测，结合了主动监测和被动监测。我们的分析揭示了 H5Nx 病毒在野生鸟类中的维持、重排和传播，凸显了持续监测在捕获病毒进化方面的价值。我们确定了主要分支之间不同的生态模式，其中 2.3.4.4b 显示了最广泛的分布，并且是介导洲际传播的主要谱系。自2020年以来，在中国野生鸟类中检测到的大多数2.3.4.4b病毒都与源自中国境外的谱系聚集，这与反复重新引入而不是持续的本地传播相一致。这一转变凸显了迁徙连通性在塑造全球病毒交换方面日益重要的作用，以及协调国际主动监测的必要性。</w:t>
      </w:r>
    </w:p>
    <w:p>
      <w:pPr>
        <w:spacing w:before="0" w:after="200" w:lineRule="auto" w:line="276"/>
      </w:pPr>
      <w:r>
        <w:rPr>
          <w:b/>
        </w:rPr>
        <w:t xml:space="preserve">Abstract (EN): </w:t>
      </w:r>
      <w:r>
        <w:t>H5Nx highly pathogenic avian influenza viruses pose persistent threats to poultry, wildlife, and public health. Over the past two decades, their geographic and host ranges have expanded across migratory networks whose epidemiological connectivity has become increasingly apparent through recent surveillance and genomic analyses. To elucidate these dynamics, we conduct long-term nationwide wild-bird surveillance in China, integrating active and passive monitoring. Our analyses reveal the maintenance, reassortment, and transmission of H5Nx viruses in wild birds, highlighting the value of sustained surveillance in capturing viral evolution. We identify distinct ecological patterns among major clades, with 2.3.4.4b showing the widest distribution and acting as the main lineage mediating intercontinental spread. Since 2020, most 2.3.4.4b viruses detected in wild birds in China have clustered with lineages originating outside China, consistent with repeated reintroduction rather than sustained local circulation. This shift underscores the growing role of migratory connectivity in shaping global viral exchange and the need for coordinated international active surveillance.</w:t>
      </w:r>
    </w:p>
    <w:p>
      <w:pPr>
        <w:spacing w:before="120" w:after="120"/>
      </w:pPr>
      <w:r>
        <w:rPr>
          <w:sz w:val="18"/>
        </w:rPr>
        <w:t>——————————————————————————————————————————————————————————————————————</w:t>
      </w:r>
    </w:p>
    <w:p>
      <w:pPr>
        <w:spacing w:before="160" w:after="40" w:line="240" w:lineRule="auto"/>
      </w:pPr>
      <w:r>
        <w:rPr>
          <w:b/>
        </w:rPr>
        <w:t xml:space="preserve">[25] </w:t>
      </w:r>
      <w:hyperlink r:id="rId486">
        <w:r>
          <w:rPr>
            <w:color w:val="1155CC"/>
            <w:u w:val="single"/>
          </w:rPr>
          <w:t>对“我们所有人研究计划”参与者的心肺特征进行转录感知的罕见遗传变异关联分析</w:t>
        </w:r>
      </w:hyperlink>
    </w:p>
    <w:p>
      <w:pPr>
        <w:spacing w:before="0" w:after="80"/>
      </w:pPr>
      <w:r>
        <w:rPr>
          <w:i/>
          <w:sz w:val="20"/>
        </w:rPr>
        <w:t>EN: Transcript-aware rare genetic variant association analyses of cardiopulmonary traits in participants from the All of Us Research Program</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基于基因的罕见变异分析通常缺乏统计能力，并且可能忽略转录本特异性效应。在这里，我们提出了一个转录感知聚合框架。在模拟研究中，该框架保持适当的假阳性率，并显示出相对于标准单转录本分析的竞争力，接近提前了解信息最丰富的转录本的理想情况的性能。然后，我们将该方法应用于超过 240,000 名经过全基因组测序的 All of Us 参与者的 129 项心肺特征。通过利用转录特异性注释，我们识别了 11 个新的关联并恢复了 47 个已报告的关联，包括与血浆脂质特征 (PPARG) 和身体习性 (TCF12) 相关的潜在多效性基因。值得注意的是，对于 TTN（一种因在心肌病中具有转录特异性作用而闻名的基因），我们的框架增强了关联信号并精确定位了 N2B 亚型，该亚型与其他转录本相比显示出与心肌病更强的关联。这些发现凸显了转录感知框架对于改进罕见变异关联研究的价值。</w:t>
      </w:r>
    </w:p>
    <w:p>
      <w:pPr>
        <w:spacing w:before="0" w:after="200" w:lineRule="auto" w:line="276"/>
      </w:pPr>
      <w:r>
        <w:rPr>
          <w:b/>
        </w:rPr>
        <w:t xml:space="preserve">Abstract (EN): </w:t>
      </w:r>
      <w:r>
        <w:t>Gene-based rare variant analyses often lack statistical power and may overlook transcript-specific effects. Here, we present a transcript-aware aggregation framework. In simulation studies, the framework maintains appropriate false-positive rates and shows competitive power relative to standard single-transcript analyses, approaching the performance of the ideal case of knowing the most informative transcript in advance. We then apply the approach to 129 cardiopulmonary traits in over 240,000 whole-genome-sequenced All of Us participants. By leveraging transcript-specific annotations, we identify 11 novel associations and recover 47 reported associations, including potentially pleiotropic genes linked to plasma lipid traits (PPARG) and body habitus (TCF12). Notably, for TTN, a gene known for its transcript-specific effects in cardiomyopathy, our framework strengthens the association signal and pinpoints the N2B isoform, which shows a stronger association with cardiomyopathy than other transcripts. These findings highlight the value of a transcript-aware framework for improving rare variant association studies.</w:t>
      </w:r>
    </w:p>
    <w:p>
      <w:pPr>
        <w:spacing w:before="120" w:after="120"/>
      </w:pPr>
      <w:r>
        <w:rPr>
          <w:sz w:val="18"/>
        </w:rPr>
        <w:t>——————————————————————————————————————————————————————————————————————</w:t>
      </w:r>
    </w:p>
    <w:p>
      <w:pPr>
        <w:spacing w:before="160" w:after="40" w:line="240" w:lineRule="auto"/>
      </w:pPr>
      <w:r>
        <w:rPr>
          <w:b/>
        </w:rPr>
        <w:t xml:space="preserve">[26] </w:t>
      </w:r>
      <w:hyperlink r:id="rId487">
        <w:r>
          <w:rPr>
            <w:color w:val="1155CC"/>
            <w:u w:val="single"/>
          </w:rPr>
          <w:t>同位素和地质证据揭示了北格陵兰冰盖下方的热成因甲烷</w:t>
        </w:r>
      </w:hyperlink>
    </w:p>
    <w:p>
      <w:pPr>
        <w:spacing w:before="0" w:after="80"/>
      </w:pPr>
      <w:r>
        <w:rPr>
          <w:i/>
          <w:sz w:val="20"/>
        </w:rPr>
        <w:t>EN: Thermogenic methane beneath the North Greenland Ice Sheet revealed by isotopic and geological evidence</w:t>
      </w:r>
    </w:p>
    <w:p>
      <w:pPr>
        <w:spacing w:before="0" w:after="120"/>
      </w:pPr>
      <w:r>
        <w:rPr>
          <w:b/>
        </w:rPr>
        <w:t xml:space="preserve">Source: </w:t>
      </w:r>
      <w:r>
        <w:t>Earth and environmental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人们越来越多地认识到冰川融水是大气甲烷的潜在来源，但其在高北极地区的起源和变化仍然很少受到限制。在这项研究中，我们测量了格陵兰冰盖北部排出的融水中的甲烷浓度和碳同位素组成。在这里，我们表明，尽管有明显的冰下输入证据，但甲烷浓度（12-20 nM）明显低于格陵兰岛其他流域报告的浓度。同位素特征和区域地质背景表明，这种甲烷主要是热成因的，反映了很大程度上独立于冰下微生物活动的地质来源。这些发现推进了目前对格陵兰冰盖下方甲烷来源的了解，揭示了北极甲烷循环中微生物甲烷的产热贡献。在这项工作中，我们强调在评估当前和未来的冰冻圈碳反馈时需要考虑地质甲烷库。</w:t>
      </w:r>
    </w:p>
    <w:p>
      <w:pPr>
        <w:spacing w:before="0" w:after="200" w:lineRule="auto" w:line="276"/>
      </w:pPr>
      <w:r>
        <w:rPr>
          <w:b/>
        </w:rPr>
        <w:t xml:space="preserve">Abstract (EN): </w:t>
      </w:r>
      <w:r>
        <w:t>Glacial meltwater has been increasingly recognised as a potential source of atmospheric methane, yet its origin and variability in the High Arctic remain poorly constrained. In this study, we present measurements of methane concentration and carbon‑isotope composition in meltwater draining the northern Greenland Ice Sheet. Here we show that methane concentrations (12-20 nM) are significantly lower than those reported from other Greenland catchments, despite clear evidence of subglacial input. Isotopic signatures and regional geological context indicate that this methane is predominantly thermogenic, reflecting a geological source that is largely independent of subglacial microbial activity. These findings advance current understanding of methane sources beneath the Greenland Ice Sheet, revealing a thermogenic contribution alongside microbial methane in Arctic methane cycling. In this work we highlight the need to account for geological methane reservoirs when assessing present and future cryosphere–carbon feedbacks.</w:t>
      </w:r>
    </w:p>
    <w:p>
      <w:pPr>
        <w:spacing w:before="120" w:after="120"/>
      </w:pPr>
      <w:r>
        <w:rPr>
          <w:sz w:val="18"/>
        </w:rPr>
        <w:t>——————————————————————————————————————————————————————————————————————</w:t>
      </w:r>
    </w:p>
    <w:p>
      <w:pPr>
        <w:spacing w:before="160" w:after="40" w:line="240" w:lineRule="auto"/>
      </w:pPr>
      <w:r>
        <w:rPr>
          <w:b/>
        </w:rPr>
        <w:t xml:space="preserve">[27] </w:t>
      </w:r>
      <w:hyperlink r:id="rId488">
        <w:r>
          <w:rPr>
            <w:color w:val="1155CC"/>
            <w:u w:val="single"/>
          </w:rPr>
          <w:t>CDC7 和 APC/CCdh1 控制启动 DNA 复制的不同途径</w:t>
        </w:r>
      </w:hyperlink>
    </w:p>
    <w:p>
      <w:pPr>
        <w:spacing w:before="0" w:after="80"/>
      </w:pPr>
      <w:r>
        <w:rPr>
          <w:i/>
          <w:sz w:val="20"/>
        </w:rPr>
        <w:t>EN: CDC7 and APC/CCdh1 gate distinct routes to initiate DNA replication</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DNA 复制起始的精确时间控制对于忠实的细胞分裂至关重要，但对于细胞如何触发起源激发，存在相互矛盾的流行模型。在这里，我们证明人类起源并不是在细胞周期调节因子 E2F、APC/CCdh1、CDK2/1 和 CDC7 的固定阈值下被激发。相反，起源激发是在可调节的 CDK2/1 阈值处触发的，该阈值由 CDC7 或 APC/CCdh1 活动进行门控。 CDC7 磷酸化 MCM 解旋酶，使 Cyclin E-CDK2 能够在低 CDK2/1 活性下触发起始放电，而与 APC/CCdh1 失活无关。相比之下，APC/CCdh1 失活使 Cyclin A-CDK1 能够在不同的 CDK2/1 特异性位点磷酸化 MCM 并触发起源放电，而与 CDC7 活性无关。引人注目的是，这需要更高的 CDK2/1 活性，而 CDK2 通常无法单独达到这一活性。因此，拥有两条不同的途径需要阻断两条途径以阻止 S 期：通过抑制 CDC7 或 CDK2，同时防止 APC/CCdh1 失活或抑制 CDK1。</w:t>
      </w:r>
    </w:p>
    <w:p>
      <w:pPr>
        <w:spacing w:before="0" w:after="200" w:lineRule="auto" w:line="276"/>
      </w:pPr>
      <w:r>
        <w:rPr>
          <w:b/>
        </w:rPr>
        <w:t xml:space="preserve">Abstract (EN): </w:t>
      </w:r>
      <w:r>
        <w:t>Precise temporal control of DNA replication initiation is essential for faithful cell division, yet there are conflicting prevailing models for how cells trigger origin firing. Here, we demonstrate that human origins are not fired at fixed thresholds of cell cycle regulators E2F, APC/CCdh1, CDK2/1, and CDC7. Instead, origin firing is triggered at a tunable CDK2/1 threshold that is gated by either CDC7 or APC/CCdh1 activity. CDC7 phosphorylates MCM helicase, enabling Cyclin E-CDK2 to trigger origin firing at low CDK2/1 activity, independent of APC/CCdh1 inactivation. In contrast, APC/CCdh1 inactivation enables Cyclin A-CDK1 to phosphorylate MCM at distinct CDK2/1-specific sites and trigger origin firing, independent of CDC7 activity. Strikingly, this requires much higher CDK2/1 activity, which CDK2 cannot normally reach alone. Thus, having two distinct routes necessitates blocking both routes to prevent S phase: either by inhibiting CDC7 or CDK2 while also preventing APC/CCdh1 inactivation or inhibiting CDK1.</w:t>
      </w:r>
    </w:p>
    <w:p>
      <w:pPr>
        <w:spacing w:before="120" w:after="120"/>
      </w:pPr>
      <w:r>
        <w:rPr>
          <w:sz w:val="18"/>
        </w:rPr>
        <w:t>——————————————————————————————————————————————————————————————————————</w:t>
      </w:r>
    </w:p>
    <w:p>
      <w:pPr>
        <w:spacing w:before="160" w:after="40" w:line="240" w:lineRule="auto"/>
      </w:pPr>
      <w:r>
        <w:rPr>
          <w:b/>
        </w:rPr>
        <w:t xml:space="preserve">[28] </w:t>
      </w:r>
      <w:hyperlink r:id="rId489">
        <w:r>
          <w:rPr>
            <w:color w:val="1155CC"/>
            <w:u w:val="single"/>
          </w:rPr>
          <w:t>毛毛虫角质层的天然解决方案，用于柔性耐冲击材料</w:t>
        </w:r>
      </w:hyperlink>
    </w:p>
    <w:p>
      <w:pPr>
        <w:spacing w:before="0" w:after="80"/>
      </w:pPr>
      <w:r>
        <w:rPr>
          <w:i/>
          <w:sz w:val="20"/>
        </w:rPr>
        <w:t>EN: A natural solution from caterpillar cuticles for flexible impact-resistant materials</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柔性耐冲击材料由于能够兼具强度、能量耗散和合规性，因此对于国防、运输和生物医学工程至关重要。虽然大自然提供了甲虫鞘翅或螳螂虾锤等强大的解决方案，但设计同时实现这些特性的材料仍然是一项重大挑战。在这里，我们将亚洲玉米螟（Ostriniafurnacalis）的角质层作为自然模型进行探索。我们鉴定了两种关键结构蛋白 FCSP-1 和 FCSP-2，它们通过液-液相分离形成富含 β-折叠的基质，粘附到几丁质支架上。该基质促进层状结构，通过氢键破坏和应力下二级结构转变来增强能量耗散。核磁共振和分子动力学模拟进一步证实基质形成依赖于微调的氢键、静电相互作用和π-π/阳离子-π相互作用。受这一机制的启发，我们开发了一种能量耗散能力为8 MJ/m3的甲壳素-蛋白质复合水凝胶，其机械性能可以通过体外磷酸化精确调节。这种水凝胶在保护易碎物体方面表现出非凡的潜力。</w:t>
      </w:r>
    </w:p>
    <w:p>
      <w:pPr>
        <w:spacing w:before="0" w:after="200" w:lineRule="auto" w:line="276"/>
      </w:pPr>
      <w:r>
        <w:rPr>
          <w:b/>
        </w:rPr>
        <w:t xml:space="preserve">Abstract (EN): </w:t>
      </w:r>
      <w:r>
        <w:t>Flexible impact-resistant materials are essential for defense, transportation, and biomedical engineering due to their ability to combine strength, energy dissipation, and compliance. While nature offers robust solutions like beetle elytra or mantis shrimp hammers, designing materials that achieve these properties simultaneously remains a significant challenge. Here, we explore the cuticle of Ostrinia furnacalis (Asian corn borer) as a natural model. We identify two key structural proteins, FCSP-1 and FCSP-2, that form a β-sheet-rich matrix via liquid-liquid phase separation, adhering to chitin scaffolds. This matrix promotes lamellar structures that enhance energy dissipation through hydrogen bond disruption and secondary structure transformation under stress. NMR and molecular dynamics simulations further confirm that matrix formation relies on fine-tuned hydrogen bonding, electrostatic interactions, and π-π/cation-π interactions. Inspired by this mechanism, we developed a chitin-protein composite hydrogel with an energy dissipation capability of 8 MJ/m3, and its mechanical properties can be precisely tuned via in-vitro phosphorylation. This hydrogel demonstrates exceptional potential for protecting fragile objects.</w:t>
      </w:r>
    </w:p>
    <w:p>
      <w:pPr>
        <w:spacing w:before="120" w:after="120"/>
      </w:pPr>
      <w:r>
        <w:rPr>
          <w:sz w:val="18"/>
        </w:rPr>
        <w:t>——————————————————————————————————————————————————————————————————————</w:t>
      </w:r>
    </w:p>
    <w:p>
      <w:pPr>
        <w:spacing w:before="160" w:after="40" w:line="240" w:lineRule="auto"/>
      </w:pPr>
      <w:r>
        <w:rPr>
          <w:b/>
        </w:rPr>
        <w:t xml:space="preserve">[29] </w:t>
      </w:r>
      <w:hyperlink r:id="rId490">
        <w:r>
          <w:rPr>
            <w:color w:val="1155CC"/>
            <w:u w:val="single"/>
          </w:rPr>
          <w:t>受体变构促进胚胎发育过程中特定环境的 Sonic Hedgehog 信号传导</w:t>
        </w:r>
      </w:hyperlink>
    </w:p>
    <w:p>
      <w:pPr>
        <w:spacing w:before="0" w:after="80"/>
      </w:pPr>
      <w:r>
        <w:rPr>
          <w:i/>
          <w:sz w:val="20"/>
        </w:rPr>
        <w:t>EN: Receptor allostery promotes context-specific Sonic Hedgehog signaling during embryonic development</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Sonic Hedgehog (SHH) 信号以时间和上下文相关的方式发挥作用，在胚胎发生过程中模拟不同的组织。信号转导器 Smoothened (SMO) 由甾醇、氧甾醇和花生四烯酸 (AA) 通过其胞外富含半胱氨酸结构域 (CRD) 和 7 次跨膜 (7TM) 束中的结合袋诱导。体外分析表明，SMO 信号传导通过与这些口袋结合的组合配体而变构增强，但缺乏 SMO 变构的体内证据。在此，我们在 7TM 束顶部绘制了 AA 结合口袋，并表明其破坏会减弱 SHH 和甾醇刺激的 SMO 诱导。 AA 结合受损的敲入小鼠模型表明，纯合突变小鼠出现紫绀、表现出围产期致死性，并表现出先天性心脏病。幸存的突变体表现出肺部发育不良并且无法生长。这些小鼠的神经发育没有改变，这表明 SMO 信号的上下文特异性变构调节可以在心肺发育过程中精确调节通路活性。</w:t>
      </w:r>
    </w:p>
    <w:p>
      <w:pPr>
        <w:spacing w:before="0" w:after="200" w:lineRule="auto" w:line="276"/>
      </w:pPr>
      <w:r>
        <w:rPr>
          <w:b/>
        </w:rPr>
        <w:t xml:space="preserve">Abstract (EN): </w:t>
      </w:r>
      <w:r>
        <w:t>Sonic Hedgehog (SHH) signaling functions in temporal- and context-dependent manners to pattern diverse tissues during embryogenesis. The signal transducer Smoothened (SMO) is induced by sterols, oxysterols, and arachidonic acid (AA) through binding pockets in its extracellular cysteine-rich domain (CRD) and 7-transmembrane (7TM) bundle. In vitro analyses suggest SMO signaling is allosterically enhanced by combinatorial ligand binding to these pockets, but in vivo evidence of SMO allostery is lacking. Herein, we map an AA binding pocket at the top of the 7TM bundle and show that its disruption attenuates SHH- and sterol-stimulated SMO induction. A knock-in mouse model of compromised AA binding reveals that homozygous mutant mice are cyanotic, exhibit perinatal lethality, and display congenital heart disease. Surviving mutants demonstrate pulmonary maldevelopment and fail to thrive. Neurodevelopment is unaltered in these mice, suggesting that context-specific allosteric regulation of SMO signaling allows for precise tuning of pathway activity during cardiopulmonary development.</w:t>
      </w:r>
    </w:p>
    <w:p>
      <w:pPr>
        <w:spacing w:before="120" w:after="120"/>
      </w:pPr>
      <w:r>
        <w:rPr>
          <w:sz w:val="18"/>
        </w:rPr>
        <w:t>——————————————————————————————————————————————————————————————————————</w:t>
      </w:r>
    </w:p>
    <w:p>
      <w:pPr>
        <w:spacing w:before="160" w:after="40" w:line="240" w:lineRule="auto"/>
      </w:pPr>
      <w:r>
        <w:rPr>
          <w:b/>
        </w:rPr>
        <w:t xml:space="preserve">[30] </w:t>
      </w:r>
      <w:hyperlink r:id="rId491">
        <w:r>
          <w:rPr>
            <w:color w:val="1155CC"/>
            <w:u w:val="single"/>
          </w:rPr>
          <w:t>患者合作的多组学揭示了血管肉瘤的分子结构</w:t>
        </w:r>
      </w:hyperlink>
    </w:p>
    <w:p>
      <w:pPr>
        <w:spacing w:before="0" w:after="80"/>
      </w:pPr>
      <w:r>
        <w:rPr>
          <w:i/>
          <w:sz w:val="20"/>
        </w:rPr>
        <w:t>EN: Patient-partnered multiomics reveals the molecular architecture of angiosarcoma</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由于其高度异质性和罕见性，血管肉瘤是一种人们知之甚少的肉瘤。在这里，我们展示了通过患者合作的血管肉瘤项目对 254 名血管肉瘤患者进行的大型队列的全面临床和分子分析。通过整合转录组、体细胞和种系变异数据，我们发现皮下血管肉瘤经常表现出 TGF-β 和受体酪氨酸激酶信号传导上调，并伴有 KDR、PLCG1 和 POT1 的驱动突变。与此同时，皮肤血管肉瘤富含 MYC 驱动程序、UV 突变特征、免疫检查点基因表达以及 TP53、FLT4 和 BRAF 突变。种系 POT1 致病性变异携带者患血管肉瘤的风险高出 92.7 倍，“双重打击”种系和体细胞变异携带者患血管肉瘤的风险要早几十年。此外，POT1 突变的肿瘤 TERT 表达不足，CHAMP1 表达过度。总而言之，这些发现阐明了血管肉瘤的分子框架，指定了治疗靶点，并强调了患者直接参与治疗罕见癌症的力量。</w:t>
      </w:r>
    </w:p>
    <w:p>
      <w:pPr>
        <w:spacing w:before="0" w:after="200" w:lineRule="auto" w:line="276"/>
      </w:pPr>
      <w:r>
        <w:rPr>
          <w:b/>
        </w:rPr>
        <w:t xml:space="preserve">Abstract (EN): </w:t>
      </w:r>
      <w:r>
        <w:t>Angiosarcoma is a poorly understood sarcoma due to its high heterogeneity and rarity. Here we show a comprehensive clinical and molecular analysis of a large cohort of 254 angiosarcoma patients through the patient-partnered Angiosarcoma Project. By integrating transcriptomic, somatic, and germline variant data, we find that subcutaneous angiosarcomas frequently exhibit TGF-β and receptor tyrosine kinase signaling upregulation, with driver mutations in KDR, PLCG1, and POT1. Meanwhile, cutaneous angiosarcomas are enriched for MYC-driven programs, UV mutational signatures, immune checkpoint gene expression, and TP53, FLT4, and BRAF mutations. Germline POT1 pathogenic variant carriers have a 92.7-fold higher risk of developing angiosarcoma, with ‘double-hit’ germline and somatic variant carriers developing disease decades earlier. Additionally, POT1-mutated tumors underexpress TERT and overexpress CHAMP1. Altogether, these findings elucidate the molecular framework of angiosarcoma, nominate therapeutic targets, and highlight the power of direct patient engagement in rare cancers.</w:t>
      </w:r>
    </w:p>
    <w:p>
      <w:pPr>
        <w:spacing w:before="120" w:after="120"/>
      </w:pPr>
      <w:r>
        <w:rPr>
          <w:sz w:val="18"/>
        </w:rPr>
        <w:t>——————————————————————————————————————————————————————————————————————</w:t>
      </w:r>
    </w:p>
    <w:p>
      <w:pPr>
        <w:spacing w:before="160" w:after="40" w:line="240" w:lineRule="auto"/>
      </w:pPr>
      <w:r>
        <w:rPr>
          <w:b/>
        </w:rPr>
        <w:t xml:space="preserve">[31] </w:t>
      </w:r>
      <w:hyperlink r:id="rId492">
        <w:r>
          <w:rPr>
            <w:color w:val="1155CC"/>
            <w:u w:val="single"/>
          </w:rPr>
          <w:t>奇怪的 CRISPR 酶通过粉碎癌细胞的 DNA 来杀死癌细胞</w:t>
        </w:r>
      </w:hyperlink>
    </w:p>
    <w:p>
      <w:pPr>
        <w:spacing w:before="0" w:after="80"/>
      </w:pPr>
      <w:r>
        <w:rPr>
          <w:i/>
          <w:sz w:val="20"/>
        </w:rPr>
        <w:t>EN: Bizarre CRISPR enzyme kills cancer cells by shredding their DNA</w:t>
      </w:r>
    </w:p>
    <w:p>
      <w:pPr>
        <w:spacing w:before="0" w:after="120"/>
      </w:pPr>
      <w:r>
        <w:rPr>
          <w:b/>
        </w:rPr>
        <w:t xml:space="preserve">Source: </w:t>
      </w:r>
      <w:r>
        <w:t>Nature</w:t>
      </w:r>
      <w:r>
        <w:t xml:space="preserve">    </w:t>
      </w:r>
      <w:r>
        <w:rPr>
          <w:b/>
        </w:rPr>
        <w:t xml:space="preserve">Pub date: </w:t>
      </w:r>
      <w:r>
        <w:t>2026-07-24 00:00:00+00:00</w:t>
      </w:r>
      <w:r>
        <w:t xml:space="preserve">    </w:t>
      </w:r>
      <w:r>
        <w:rPr>
          <w:b/>
        </w:rPr>
        <w:t xml:space="preserve">DOI: </w:t>
      </w:r>
      <w:hyperlink r:id="rId493">
        <w:r>
          <w:rPr>
            <w:color w:val="1155CC"/>
            <w:u w:val="single"/>
          </w:rPr>
          <w:t>10.1038/d41586-026-02268-z</w:t>
        </w:r>
      </w:hyperlink>
    </w:p>
    <w:p>
      <w:pPr>
        <w:spacing w:before="0" w:after="120"/>
      </w:pPr>
      <w:r>
        <w:rPr>
          <w:b/>
        </w:rPr>
        <w:t xml:space="preserve">Notes: </w:t>
      </w:r>
      <w:r>
        <w:t>abstract_source=rss_nature</w:t>
      </w:r>
    </w:p>
    <w:p>
      <w:pPr>
        <w:spacing w:before="0" w:after="80" w:lineRule="auto" w:line="276"/>
      </w:pPr>
      <w:r>
        <w:rPr>
          <w:b/>
        </w:rPr>
        <w:t xml:space="preserve">摘要（ZH）: </w:t>
      </w:r>
      <w:r>
        <w:t>早期测试表明该蛋白质可以针对具有致癌突变的靶标。</w:t>
      </w:r>
    </w:p>
    <w:p>
      <w:pPr>
        <w:spacing w:before="0" w:after="200" w:lineRule="auto" w:line="276"/>
      </w:pPr>
      <w:r>
        <w:rPr>
          <w:b/>
        </w:rPr>
        <w:t xml:space="preserve">Abstract (EN): </w:t>
      </w:r>
      <w:r>
        <w:t>Early tests suggest the protein can be aimed at targets with tumour-causing mutations.</w:t>
      </w:r>
    </w:p>
    <w:p>
      <w:pPr>
        <w:spacing w:before="120" w:after="120"/>
      </w:pPr>
      <w:r>
        <w:rPr>
          <w:sz w:val="18"/>
        </w:rPr>
        <w:t>——————————————————————————————————————————————————————————————————————</w:t>
      </w:r>
    </w:p>
    <w:p>
      <w:pPr>
        <w:spacing w:before="160" w:after="40" w:line="240" w:lineRule="auto"/>
      </w:pPr>
      <w:r>
        <w:rPr>
          <w:b/>
        </w:rPr>
        <w:t xml:space="preserve">[32] </w:t>
      </w:r>
      <w:hyperlink r:id="rId494">
        <w:r>
          <w:rPr>
            <w:color w:val="1155CC"/>
            <w:u w:val="single"/>
          </w:rPr>
          <w:t>简报：新化石表明，霸王龙宝宝从出生起就是杀手</w:t>
        </w:r>
      </w:hyperlink>
    </w:p>
    <w:p>
      <w:pPr>
        <w:spacing w:before="0" w:after="80"/>
      </w:pPr>
      <w:r>
        <w:rPr>
          <w:i/>
          <w:sz w:val="20"/>
        </w:rPr>
        <w:t>EN: Briefing Chat: Baby T. rex were killers from birth, suggest new fossils</w:t>
      </w:r>
    </w:p>
    <w:p>
      <w:pPr>
        <w:spacing w:before="0" w:after="120"/>
      </w:pPr>
      <w:r>
        <w:rPr>
          <w:b/>
        </w:rPr>
        <w:t xml:space="preserve">Source: </w:t>
      </w:r>
      <w:r>
        <w:t>Nature</w:t>
      </w:r>
      <w:r>
        <w:t xml:space="preserve">    </w:t>
      </w:r>
      <w:r>
        <w:rPr>
          <w:b/>
        </w:rPr>
        <w:t xml:space="preserve">Pub date: </w:t>
      </w:r>
      <w:r>
        <w:t>2026-07-24 00:00:00+00:00</w:t>
      </w:r>
      <w:r>
        <w:t xml:space="preserve">    </w:t>
      </w:r>
      <w:r>
        <w:rPr>
          <w:b/>
        </w:rPr>
        <w:t xml:space="preserve">DOI: </w:t>
      </w:r>
      <w:hyperlink r:id="rId495">
        <w:r>
          <w:rPr>
            <w:color w:val="1155CC"/>
            <w:u w:val="single"/>
          </w:rPr>
          <w:t>10.1038/d41586-026-02338-2</w:t>
        </w:r>
      </w:hyperlink>
    </w:p>
    <w:p>
      <w:pPr>
        <w:spacing w:before="0" w:after="120"/>
      </w:pPr>
      <w:r>
        <w:rPr>
          <w:b/>
        </w:rPr>
        <w:t xml:space="preserve">Notes: </w:t>
      </w:r>
      <w:r>
        <w:t>abstract_source=rss_nature</w:t>
      </w:r>
    </w:p>
    <w:p>
      <w:pPr>
        <w:spacing w:before="0" w:after="80" w:lineRule="auto" w:line="276"/>
      </w:pPr>
      <w:r>
        <w:rPr>
          <w:b/>
        </w:rPr>
        <w:t xml:space="preserve">摘要（ZH）: </w:t>
      </w:r>
      <w:r>
        <w:t>《自然》工作人员讨论了年轻但致命的恐龙王、古埃及公主的英勇，以及伦敦如何成为世界人工智能安全之都。</w:t>
      </w:r>
    </w:p>
    <w:p>
      <w:pPr>
        <w:spacing w:before="0" w:after="200" w:lineRule="auto" w:line="276"/>
      </w:pPr>
      <w:r>
        <w:rPr>
          <w:b/>
        </w:rPr>
        <w:t xml:space="preserve">Abstract (EN): </w:t>
      </w:r>
      <w:r>
        <w:t>Nature staff discuss the young but deadly dinosaur kings, the prowess of ancient Egyptian princesses, and how London is becoming the world’s AI safety capital.</w:t>
      </w:r>
    </w:p>
    <w:p>
      <w:pPr>
        <w:spacing w:before="120" w:after="120"/>
      </w:pPr>
      <w:r>
        <w:rPr>
          <w:sz w:val="18"/>
        </w:rPr>
        <w:t>——————————————————————————————————————————————————————————————————————</w:t>
      </w:r>
    </w:p>
    <w:p>
      <w:pPr>
        <w:spacing w:before="160" w:after="40" w:line="240" w:lineRule="auto"/>
      </w:pPr>
      <w:r>
        <w:rPr>
          <w:b/>
        </w:rPr>
        <w:t xml:space="preserve">[33] </w:t>
      </w:r>
      <w:hyperlink r:id="rId496">
        <w:r>
          <w:rPr>
            <w:color w:val="1155CC"/>
            <w:u w:val="single"/>
          </w:rPr>
          <w:t>个性化基因疗法缓解了两名男孩的严重癫痫症</w:t>
        </w:r>
      </w:hyperlink>
    </w:p>
    <w:p>
      <w:pPr>
        <w:spacing w:before="0" w:after="80"/>
      </w:pPr>
      <w:r>
        <w:rPr>
          <w:i/>
          <w:sz w:val="20"/>
        </w:rPr>
        <w:t>EN: Personalized gene therapy relieves severe epilepsy in two boys</w:t>
      </w:r>
    </w:p>
    <w:p>
      <w:pPr>
        <w:spacing w:before="0" w:after="120"/>
      </w:pPr>
      <w:r>
        <w:rPr>
          <w:b/>
        </w:rPr>
        <w:t xml:space="preserve">Source: </w:t>
      </w:r>
      <w:r>
        <w:t>Nature</w:t>
      </w:r>
      <w:r>
        <w:t xml:space="preserve">    </w:t>
      </w:r>
      <w:r>
        <w:rPr>
          <w:b/>
        </w:rPr>
        <w:t xml:space="preserve">Pub date: </w:t>
      </w:r>
      <w:r>
        <w:t>2026-07-24 00:00:00+00:00</w:t>
      </w:r>
      <w:r>
        <w:t xml:space="preserve">    </w:t>
      </w:r>
      <w:r>
        <w:rPr>
          <w:b/>
        </w:rPr>
        <w:t xml:space="preserve">DOI: </w:t>
      </w:r>
      <w:hyperlink r:id="rId497">
        <w:r>
          <w:rPr>
            <w:color w:val="1155CC"/>
            <w:u w:val="single"/>
          </w:rPr>
          <w:t>10.1038/d41586-026-02267-0</w:t>
        </w:r>
      </w:hyperlink>
    </w:p>
    <w:p>
      <w:pPr>
        <w:spacing w:before="0" w:after="120"/>
      </w:pPr>
      <w:r>
        <w:rPr>
          <w:b/>
        </w:rPr>
        <w:t xml:space="preserve">Notes: </w:t>
      </w:r>
      <w:r>
        <w:t>abstract_source=rss_nature</w:t>
      </w:r>
    </w:p>
    <w:p>
      <w:pPr>
        <w:spacing w:before="0" w:after="80" w:lineRule="auto" w:line="276"/>
      </w:pPr>
      <w:r>
        <w:rPr>
          <w:b/>
        </w:rPr>
        <w:t xml:space="preserve">摘要（ZH）: </w:t>
      </w:r>
      <w:r>
        <w:t>关闭一个基因拷贝也使其中一个孩子第一次能够独立行走。</w:t>
      </w:r>
    </w:p>
    <w:p>
      <w:pPr>
        <w:spacing w:before="0" w:after="200" w:lineRule="auto" w:line="276"/>
      </w:pPr>
      <w:r>
        <w:rPr>
          <w:b/>
        </w:rPr>
        <w:t xml:space="preserve">Abstract (EN): </w:t>
      </w:r>
      <w:r>
        <w:t>Switching off one copy of a gene also enabled one of the children to walk independently for the first time.</w:t>
      </w:r>
    </w:p>
    <w:p>
      <w:pPr>
        <w:spacing w:before="120" w:after="120"/>
      </w:pPr>
      <w:r>
        <w:rPr>
          <w:sz w:val="18"/>
        </w:rPr>
        <w:t>——————————————————————————————————————————————————————————————————————</w:t>
      </w:r>
    </w:p>
    <w:p>
      <w:pPr>
        <w:spacing w:before="160" w:after="40" w:line="240" w:lineRule="auto"/>
      </w:pPr>
      <w:r>
        <w:rPr>
          <w:b/>
        </w:rPr>
        <w:t xml:space="preserve">[34] </w:t>
      </w:r>
      <w:hyperlink r:id="rId498">
        <w:r>
          <w:rPr>
            <w:color w:val="1155CC"/>
            <w:u w:val="single"/>
          </w:rPr>
          <w:t>作者更正：侧隔膜中特定特征的威胁编码指导防御行动</w:t>
        </w:r>
      </w:hyperlink>
    </w:p>
    <w:p>
      <w:pPr>
        <w:spacing w:before="0" w:after="80"/>
      </w:pPr>
      <w:r>
        <w:rPr>
          <w:i/>
          <w:sz w:val="20"/>
        </w:rPr>
        <w:t>EN: Author Correction: Feature-specific threat coding in lateral septum guides defensive action</w:t>
      </w:r>
    </w:p>
    <w:p>
      <w:pPr>
        <w:spacing w:before="0" w:after="120"/>
      </w:pPr>
      <w:r>
        <w:rPr>
          <w:b/>
        </w:rPr>
        <w:t xml:space="preserve">Source: </w:t>
      </w:r>
      <w:r>
        <w:t>Nature</w:t>
      </w:r>
      <w:r>
        <w:t xml:space="preserve">    </w:t>
      </w:r>
      <w:r>
        <w:rPr>
          <w:b/>
        </w:rPr>
        <w:t xml:space="preserve">Pub date: </w:t>
      </w:r>
      <w:r>
        <w:t>2026-07-24 00:00:00+00:00</w:t>
      </w:r>
      <w:r>
        <w:t xml:space="preserve">    </w:t>
      </w:r>
      <w:r>
        <w:rPr>
          <w:b/>
        </w:rPr>
        <w:t xml:space="preserve">DOI: </w:t>
      </w:r>
      <w:hyperlink r:id="rId499">
        <w:r>
          <w:rPr>
            <w:color w:val="1155CC"/>
            <w:u w:val="single"/>
          </w:rPr>
          <w:t>10.1038/s41586-026-10911-y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 </w:t>
      </w:r>
      <w:hyperlink r:id="rId500">
        <w:r>
          <w:rPr>
            <w:color w:val="1155CC"/>
            <w:u w:val="single"/>
          </w:rPr>
          <w:t>逆风陆地对南美洲土壤湿度变化的影响</w:t>
        </w:r>
      </w:hyperlink>
    </w:p>
    <w:p>
      <w:pPr>
        <w:spacing w:before="0" w:after="80"/>
      </w:pPr>
      <w:r>
        <w:rPr>
          <w:i/>
          <w:sz w:val="20"/>
        </w:rPr>
        <w:t>EN: Upwind terrestrial influences on soil moisture variability across South America</w:t>
      </w:r>
    </w:p>
    <w:p>
      <w:pPr>
        <w:spacing w:before="0" w:after="120"/>
      </w:pPr>
      <w:r>
        <w:rPr>
          <w:b/>
        </w:rPr>
        <w:t xml:space="preserve">Source: </w:t>
      </w:r>
      <w:r>
        <w:t>Earth and environmental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南美洲的土壤湿度表现出由逆风陆地条件塑造的连贯空间模式，但其顺风传播仍然很难量化。我们开发了一个观测驱动的框架，将大气传输轨迹与深度学习相结合，以估计植被对顺风土壤湿度的贡献。交通信息模型的表现优于仅本地基线，逆风信息贡献了 67% 的预测能力，其中植被解释了 15%。这种植被介导的影响在农业区得到增强，形成与土地覆盖变化和干旱暴露相关的热点。跨区域影响沿着主要交通走廊组织，并随气候呈非线性变化。在潮湿的森林中，顺风向的水分供应对植被变化高度敏感，冠层退化与土壤水分减少有关；在半干旱地区，最初的绿化与增加有关，但进一步的绿化会削弱或逆转这种影响。这些结果量化了植被-土壤湿度遥相关，对地球系统模型中的陆地-大气耦合以及土地利用和气候变化的水文后果具有影响。</w:t>
      </w:r>
    </w:p>
    <w:p>
      <w:pPr>
        <w:spacing w:before="0" w:after="200" w:lineRule="auto" w:line="276"/>
      </w:pPr>
      <w:r>
        <w:rPr>
          <w:b/>
        </w:rPr>
        <w:t xml:space="preserve">Abstract (EN): </w:t>
      </w:r>
      <w:r>
        <w:t>Soil moisture across South America exhibits coherent spatial patterns shaped by upwind terrestrial conditions, yet their downwind propagation remains poorly quantified. We develop an observation-driven framework integrating atmospheric transport trajectories with deep learning to estimate vegetation’s contribution to downwind soil moisture. The transport-informed model outperforms a local-only baseline, with upwind information contributing 67% of predictive power, of which vegetation explains 15%. This vegetation-mediated influence is enhanced over agricultural zones, forming hotspots aligned with land-cover change and drought exposure. The cross-regional influence is organized along major transport corridors and varies non-linearly with climate. In humid forests, downwind moisture supply is highly sensitive to vegetation change, with canopy degradation associated with reduced soil moisture; in semi-arid regions, initial greening is associated with increases, but further greening weakens or reverses the effect. These results quantify vegetation–soil moisture teleconnections, with implications for land–atmosphere coupling in Earth system models and hydrological consequences of land-use and climate change.</w:t>
      </w:r>
    </w:p>
    <w:p>
      <w:pPr>
        <w:spacing w:before="120" w:after="120"/>
      </w:pPr>
      <w:r>
        <w:rPr>
          <w:sz w:val="18"/>
        </w:rPr>
        <w:t>——————————————————————————————————————————————————————————————————————</w:t>
      </w:r>
    </w:p>
    <w:p>
      <w:pPr>
        <w:spacing w:before="160" w:after="40" w:line="240" w:lineRule="auto"/>
      </w:pPr>
      <w:r>
        <w:rPr>
          <w:b/>
        </w:rPr>
        <w:t xml:space="preserve">[36] </w:t>
      </w:r>
      <w:hyperlink r:id="rId501">
        <w:r>
          <w:rPr>
            <w:color w:val="1155CC"/>
            <w:u w:val="single"/>
          </w:rPr>
          <w:t>线粒体自噬减轻自身免疫性甲状腺炎中线粒体 DNA 诱导的 cGAS-STING 激活</w:t>
        </w:r>
      </w:hyperlink>
    </w:p>
    <w:p>
      <w:pPr>
        <w:spacing w:before="0" w:after="80"/>
      </w:pPr>
      <w:r>
        <w:rPr>
          <w:i/>
          <w:sz w:val="20"/>
        </w:rPr>
        <w:t>EN: Mitophagy mitigates mitochondrial DNA-induced activation of cGAS-STING in autoimmune thyroiditis</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自身免疫性甲状腺炎是由甲状腺滤泡上皮细胞的稳态破坏和微环境内协调的免疫细胞激活引起的。然而，其发病机制尚不完全清楚。在这里，我们确定线粒体 (mt) DNA-cGAS-STING 炎症轴是小鼠自身免疫性甲状腺炎的驱动因素。相比之下，PINK1 和 Parkin 介导的泛素依赖性线粒体自噬可以保护小鼠免受疾病侵害。从机制上讲，线粒体功能障碍会提高线粒体活性氧水平，激活 ATM-CHK2 DNA 损伤反应途径，进而磷酸化自噬接头 TAX1BP1 Ser722。这种修饰促进线粒体向自噬体的募集，从而促进线粒体自噬。损害 ATM-CHK2-TAX1BP1 线粒体自噬途径会导致 mtDNA 渗漏到细胞质中，并引发 cGAS-STING 依赖性炎症。值得注意的是，C176 对 STING 的药理抑制可有效减缓自身免疫性甲状腺炎的进展。总之，这些发现定义了自身免疫性甲状腺炎中 mtDNA 驱动的致病机制，并将 STING 确定为潜在的治疗靶点。</w:t>
      </w:r>
    </w:p>
    <w:p>
      <w:pPr>
        <w:spacing w:before="0" w:after="200" w:lineRule="auto" w:line="276"/>
      </w:pPr>
      <w:r>
        <w:rPr>
          <w:b/>
        </w:rPr>
        <w:t xml:space="preserve">Abstract (EN): </w:t>
      </w:r>
      <w:r>
        <w:t>Autoimmune thyroiditis arises from disrupted homeostasis of thyroid follicular epithelial cells and coordinated immune cell activation within the microenvironment. However, its pathogenesis is not fully understood. Here, we identify a mitochondrial (mt) DNA-cGAS-STING inflammatory axis as a driver of autoimmune thyroiditis in mice. By contrast, ubiquitin-dependent mitophagy mediated by PINK1 and Parkin was found to protect mice from disease. Mechanistically, mitochondrial dysfunction elevates mitochondrial reactive oxygen species levels, activating the ATM-CHK2 DNA damage response pathway, which in turn phosphorylates the autophagy adapter TAX1BP1 at Ser722. This modification promotes the recruitment of mitochondria to autophagosomes, thereby facilitating mitophagy. Impairing the ATM-CHK2-TAX1BP1 mitophagy pathway causes mtDNA leakage into the cytosol and triggers cGAS-STING-dependent inflammation. Notably, pharmacological inhibition of STING with C176 effectively slows autoimmune thyroiditis progression. Together, these findings define an mtDNA-driven pathogenic mechanism in autoimmune thyroiditis and identify STING as a potential therapeutic target.</w:t>
      </w:r>
    </w:p>
    <w:p>
      <w:pPr>
        <w:spacing w:before="120" w:after="120"/>
      </w:pPr>
      <w:r>
        <w:rPr>
          <w:sz w:val="18"/>
        </w:rPr>
        <w:t>——————————————————————————————————————————————————————————————————————</w:t>
      </w:r>
    </w:p>
    <w:p>
      <w:pPr>
        <w:spacing w:before="160" w:after="40" w:line="240" w:lineRule="auto"/>
      </w:pPr>
      <w:r>
        <w:rPr>
          <w:b/>
        </w:rPr>
        <w:t xml:space="preserve">[37] </w:t>
      </w:r>
      <w:hyperlink r:id="rId502">
        <w:r>
          <w:rPr>
            <w:color w:val="1155CC"/>
            <w:u w:val="single"/>
          </w:rPr>
          <w:t>土壤原噬菌体的碳水化合物活性酶增强全球碳循环潜力</w:t>
        </w:r>
      </w:hyperlink>
    </w:p>
    <w:p>
      <w:pPr>
        <w:spacing w:before="0" w:after="80"/>
      </w:pPr>
      <w:r>
        <w:rPr>
          <w:i/>
          <w:sz w:val="20"/>
        </w:rPr>
        <w:t>EN: Carbohydrate-active enzymes of soil prophages enhance global carbon cycling potential</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最近的研究表明，土传病毒在控制碳 (C) 循环和库存方面发挥着重要作用。然而，单个原噬菌体（即溶原循环期间存在于细菌宿主内的温带噬菌体）对 C 降解的贡献在全球范围内基本上没有记录。在这里，我们生成了原噬菌体编码的碳水化合物活性酶 (pCAZymes) 的全球基因目录，包括源自现有数据库的 20,131 个土壤细菌基因组、3548 个宏基因组和 951 个宏转录组。该目录包括 4708 个与木质纤维素、木质素和果胶降解相关的 pCAZymes，以及在噬菌体中新鉴定的 21 个裂解多糖单加氧酶基因。我们的研究结果表明，原噬菌体有可能通过编码与其细菌宿主合作的 pCAZymes 来加速不稳定土壤碳的降解。使用机器学习模型，我们预测到 2100 年，在高排放情景下 (SSP585)，土壤原噬菌体驱动的碳代谢潜力将增加 13 ± 0.7%。体外实验表明pCAZyme基因的转录活性受环境温度调节。土壤微观世界实验进一步证实，pCAZymes 可以通过增加降解酶活性来增强宿主介导的有机碳矿化。这项研究揭示了先前被忽视的前噬菌体在全球土壤碳转化中的生态功能，对全球气候和碳循环具有重要意义。</w:t>
      </w:r>
    </w:p>
    <w:p>
      <w:pPr>
        <w:spacing w:before="0" w:after="200" w:lineRule="auto" w:line="276"/>
      </w:pPr>
      <w:r>
        <w:rPr>
          <w:b/>
        </w:rPr>
        <w:t xml:space="preserve">Abstract (EN): </w:t>
      </w:r>
      <w:r>
        <w:t>Recent work suggests that soil-borne viruses play an important role in controlling carbon (C) cycling and stocks. However, the contribution of individual prophage (i.e., temperate phages residing within bacterial hosts during lysogenic cycle) to C degradation remains largely undocumented at global scale. Here, we generated a global gene catalog of prophage-encoded carbohydrate-active enzyme (pCAZymes), including 20,131 soil bacterial genomes, 3548 metagenomes, and 951 metatranscriptomes derived from pre-existing databases. The catalog includes 4708 pCAZymes associated with the degradation of lignocellulose, lignin, and pectin, with 21 lytic polysaccharide monooxygenase genes newly identified in phages. Our findings reveal that prophages have potential to accelerate labile soil C degradation by encoding pCAZymes that cooperate with their bacterial hosts. Using machine learning models, we predict a 13 ± 0.7% increase in the C metabolic potential driven by soil prophages by 2100 under a high-emission scenario (SSP585). In vitro experiments demonstrated that the transcriptional activity of pCAZyme genes is regulated by environmental temperature. Soil microcosm experiments further confirmed that pCAZymes can enhance host-mediated organic C mineralization by increasing degradative enzyme activity. This study reveals previously overlooked ecological functions of prophages in global soil C transformation, with important implications for the global climate and C cycling.</w:t>
      </w:r>
    </w:p>
    <w:p>
      <w:pPr>
        <w:spacing w:before="120" w:after="120"/>
      </w:pPr>
      <w:r>
        <w:rPr>
          <w:sz w:val="18"/>
        </w:rPr>
        <w:t>——————————————————————————————————————————————————————————————————————</w:t>
      </w:r>
    </w:p>
    <w:p>
      <w:pPr>
        <w:spacing w:before="160" w:after="40" w:line="240" w:lineRule="auto"/>
      </w:pPr>
      <w:r>
        <w:rPr>
          <w:b/>
        </w:rPr>
        <w:t xml:space="preserve">[38] </w:t>
      </w:r>
      <w:hyperlink r:id="rId503">
        <w:r>
          <w:rPr>
            <w:color w:val="1155CC"/>
            <w:u w:val="single"/>
          </w:rPr>
          <w:t>全球燃煤电厂汞排放缓解途径的单位级评估</w:t>
        </w:r>
      </w:hyperlink>
    </w:p>
    <w:p>
      <w:pPr>
        <w:spacing w:before="0" w:after="80"/>
      </w:pPr>
      <w:r>
        <w:rPr>
          <w:i/>
          <w:sz w:val="20"/>
        </w:rPr>
        <w:t>EN: Unit-level assessment of mitigation pathways for mercury emissions from the global coal power fleet</w:t>
      </w:r>
    </w:p>
    <w:p>
      <w:pPr>
        <w:spacing w:before="0" w:after="120"/>
      </w:pPr>
      <w:r>
        <w:rPr>
          <w:b/>
        </w:rPr>
        <w:t xml:space="preserve">Source: </w:t>
      </w:r>
      <w:r>
        <w:t>Earth and environmental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2013 年通过的《汞问题水俣公约》承认，大气汞污染仍然对人类健康和生态系统构成严重威胁。燃煤发电机组是全球各种环境污染物（包括汞）的主要排放者。在这里，我们展示了空气污染控制措施和煤电退役的历史协同效益，确定了汞排放量过高的燃煤发电机组（我们将其定义为超级排放者），并提出了针对具体国家的缓解策略。我们发现，到 2020 年，超级排放国主要集中在新兴国家。我们的单位层面分析强调，通过优先淘汰超级排放国和升级污染控制设备，可以在短期内实现大幅、具有成本效益的减排，特别是在拥有大型燃煤船队的国家。从长远来看，需要针对汞的控制技术来进一步减少汞。我们的研究结果为逐步减少燃煤发电机组汞排放的主要来源的定制和分阶段缓解策略提供了见解。</w:t>
      </w:r>
    </w:p>
    <w:p>
      <w:pPr>
        <w:spacing w:before="0" w:after="200" w:lineRule="auto" w:line="276"/>
      </w:pPr>
      <w:r>
        <w:rPr>
          <w:b/>
        </w:rPr>
        <w:t xml:space="preserve">Abstract (EN): </w:t>
      </w:r>
      <w:r>
        <w:t>Atmospheric mercury pollution remains a serious threat for human health and ecosystems, as recognized by the Minamata Convention on Mercury adopted in 2013. Coal-fired power units are major emitters of various environmental pollutants globally, including mercury. Here, we show the historical co-benefits of air pollution control measures and coal power retirement, identify coal-fired power units with disproportionately high mercury emissions, which we define as super emitters, and propose country-specific mitigation strategies. We find that super emitters were primarily concentrated in emerging countries by 2020. Our unit-level analysis highlights that substantial, near-term and cost-effective reductions can be achieved by prioritizing the retirement of super emitters and upgrading pollution control equipment, especially in countries with large coal fleets. In the long term, mercury-specific control technologies will be needed for deeper reductions. Our findings provide insights into customized and stage-based mitigation strategies for phasing down key sources of mercury emissions from coal-fired power units.</w:t>
      </w:r>
    </w:p>
    <w:p>
      <w:pPr>
        <w:spacing w:before="120" w:after="120"/>
      </w:pPr>
      <w:r>
        <w:rPr>
          <w:sz w:val="18"/>
        </w:rPr>
        <w:t>——————————————————————————————————————————————————————————————————————</w:t>
      </w:r>
    </w:p>
    <w:p>
      <w:pPr>
        <w:spacing w:before="160" w:after="40" w:line="240" w:lineRule="auto"/>
      </w:pPr>
      <w:r>
        <w:rPr>
          <w:b/>
        </w:rPr>
        <w:t xml:space="preserve">[39] </w:t>
      </w:r>
      <w:hyperlink r:id="rId504">
        <w:r>
          <w:rPr>
            <w:color w:val="1155CC"/>
            <w:u w:val="single"/>
          </w:rPr>
          <w:t>JN.1 适应疫苗接种与祖先记忆 B 细胞在 JN.1 抗原空间内的中和作用的重新调整有关</w:t>
        </w:r>
      </w:hyperlink>
    </w:p>
    <w:p>
      <w:pPr>
        <w:spacing w:before="0" w:after="80"/>
      </w:pPr>
      <w:r>
        <w:rPr>
          <w:i/>
          <w:sz w:val="20"/>
        </w:rPr>
        <w:t>EN: JN.1-adapted vaccination is associated with readjustment of ancestral memory B cells toward neutralization within the JN.1 antigenic space</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SARS-CoV-2 向 JN.1 谱系的抗原漂移促进了针对变体的 COVID-19 加强疫苗的开发。然而，这些增强剂被认为主要是召回预先存在的记忆 B 细胞 (MBC)，这引发了人们对其在高度预先暴露人群中重新调整免疫反应的能力的担忧。在这里，我们分析了预先暴露的个体（n = 42；中位数为 4.5 次之前接种过 COVID-19 疫苗；90% 的人之前至少感染过一次 SARS-CoV-2）在接种 JN.1 适应的 mRNA 疫苗后的抗体和 B 细胞反应。疫苗接种与 IgG 结合增加以及 JN.1 和相关后代变体的中和作用增强有关。抗原特异性 MBC 的纵向分析显示，仅 Wu01 和 Wu01/JN.1 交叉反应细胞仍占主导地位，而仅 JN.1 细胞在第 21 天时略有增加。对代表性亚组 (n = 7) 中抗原特异性 MBC 的单细胞 RNA 测序，结合功能性单克隆抗体分析，表明体细胞超突变 (SHM) 驱动克隆型内专业化，从而改善JN.1 结合和中和。这些发现表明先前存在的、类别转换的 MBC 已成熟，而不是大量从头招募初始 B 细胞。总之，适应 JN.1 的加强疫苗接种与针对 JN.1 抗原空间的预先存在的 MBC 库的完善以及对当代和抗原邻近变体的增强中和有关。</w:t>
      </w:r>
    </w:p>
    <w:p>
      <w:pPr>
        <w:spacing w:before="0" w:after="200" w:lineRule="auto" w:line="276"/>
      </w:pPr>
      <w:r>
        <w:rPr>
          <w:b/>
        </w:rPr>
        <w:t xml:space="preserve">Abstract (EN): </w:t>
      </w:r>
      <w:r>
        <w:t>The antigenic drift of SARS-CoV-2 toward the JN.1 lineage has prompted the development of variant-adapted COVID-19 booster vaccines. However, these boosters are thought to primarily recall pre-existing memory B cells (MBC), raising concerns about their ability to realign the immune response in highly pre-exposed populations. Here we analyze antibody and B cell responses in pre-exposed individuals (n = 42; median 4.5 prior COVID-19 vaccinations; 90% with at least one prior SARS-CoV-2 infection) following vaccination with a JN.1-adapted mRNA vaccine. Vaccination is associated with increased IgG binding and enhanced neutralization of JN.1 and related descendant variants. Longitudinal profiling of antigen-specific MBC shows that Wu01-only and Wu01/JN.1 cross-reactive cells remain dominant, while JN.1-only cells modestly increase by day 21. Single-cell RNA-sequencing of antigen-specific MBC in a representative sub-cohort (n = 7), combined with functional monoclonal antibody analyses, demonstrates that somatic hypermutation (SHM) drives intra-clonotype specialization toward improved JN.1 binding and neutralization. These findings indicate maturation of pre-existing, class-switched MBC rather than substantial de novo recruitment of naïve B cells. In conclusion, JN.1-adapted booster vaccination is associated with refinement of pre-existing MBC repertoires toward the JN.1 antigenic space and with enhanced neutralization of contemporary and antigenically proximate variants.</w:t>
      </w:r>
    </w:p>
    <w:p>
      <w:pPr>
        <w:spacing w:before="120" w:after="120"/>
      </w:pPr>
      <w:r>
        <w:rPr>
          <w:sz w:val="18"/>
        </w:rPr>
        <w:t>——————————————————————————————————————————————————————————————————————</w:t>
      </w:r>
    </w:p>
    <w:p>
      <w:pPr>
        <w:spacing w:before="160" w:after="40" w:line="240" w:lineRule="auto"/>
      </w:pPr>
      <w:r>
        <w:rPr>
          <w:b/>
        </w:rPr>
        <w:t xml:space="preserve">[40] </w:t>
      </w:r>
      <w:hyperlink r:id="rId505">
        <w:r>
          <w:rPr>
            <w:color w:val="1155CC"/>
            <w:u w:val="single"/>
          </w:rPr>
          <w:t>地面雷达揭示了地球电离层中的自然电子伯恩斯坦波</w:t>
        </w:r>
      </w:hyperlink>
    </w:p>
    <w:p>
      <w:pPr>
        <w:spacing w:before="0" w:after="80"/>
      </w:pPr>
      <w:r>
        <w:rPr>
          <w:i/>
          <w:sz w:val="20"/>
        </w:rPr>
        <w:t>EN: Ground-based radar unveils natural electron Bernstein waves in the ionosphere of Earth</w:t>
      </w:r>
    </w:p>
    <w:p>
      <w:pPr>
        <w:spacing w:before="0" w:after="120"/>
      </w:pPr>
      <w:r>
        <w:rPr>
          <w:b/>
        </w:rPr>
        <w:t xml:space="preserve">Source: </w:t>
      </w:r>
      <w:r>
        <w:t>Earth and environmental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电子伯恩斯坦波 (EBW) 是在磁化等离子体中垂直于磁场传播的静电模式，可作为了解等离子体特性和驱动能量传输的高能粒子的诊断工具。然而，由于它们的微弱信号以及几乎垂直于地磁场的观测几何形状的要求，它们自然产生的谐波结构长期以来一直无法被地面雷达探测到。在这里，我们报告了使用三亚非相干散射雷达对地球电离层中自然激发的电子束的高分辨率宽带光谱观测。我们的测量揭示了一系列离散的、明确的谱线，对应于前七个电子陀螺谐波，这一结果与理论预测一致。我们的分析表明，这些由超热光电子增强的 EBW 模式在近垂直的几何形状下变得可观察到，其中朗道阻尼减小。这些谐波的频率结构充当精确的诊断标尺，能够检索电子密度和垂直电子温度，这些参数在这种几何约束下很难用离子线技术检索。这项工作提供了对自然激发电子束的地面雷达观测，并展示了它们在诊断磁化等离子体中的等离子体参数中的用途。</w:t>
      </w:r>
    </w:p>
    <w:p>
      <w:pPr>
        <w:spacing w:before="0" w:after="200" w:lineRule="auto" w:line="276"/>
      </w:pPr>
      <w:r>
        <w:rPr>
          <w:b/>
        </w:rPr>
        <w:t xml:space="preserve">Abstract (EN): </w:t>
      </w:r>
      <w:r>
        <w:t>Electron Bernstein waves (EBWs) are electrostatic modes that propagate perpendicular to the magnetic field in magnetized plasmas, serving as a diagnostic tool for understanding plasma properties and the energetic particles that drive energy transport. However, their naturally occurring harmonic structures have long eluded ground-based radar detection due to their faint signals and the requirement for an observational geometry nearly perpendicular to the geomagnetic field. Here, we report high-resolution broadband spectral observations of naturally excited EBWs in Earth’s ionosphere using the Sanya Incoherent Scatter Radar. Our measurements reveal a series of discrete, well-defined spectral lines corresponding to the first seven electron gyroharmonics, a result consistent with theoretical predictions. Our analysis suggests that these EBW modes, enhanced by suprathermal photoelectrons, become observable under near-perpendicular geometry, where Landau damping is reduced. The frequency structure of these harmonics acts as a precise diagnostic ruler that enables the retrieval of electron density and perpendicular electron temperature, parameters that are difficult to retrieve with ion line techniques under such geometric constraints. This work provides ground-based radar observations of naturally excited EBWs and shows their use for diagnosing plasma parameters in magnetized plasmas.</w:t>
      </w:r>
    </w:p>
    <w:p>
      <w:pPr>
        <w:spacing w:before="120" w:after="120"/>
      </w:pPr>
      <w:r>
        <w:rPr>
          <w:sz w:val="18"/>
        </w:rPr>
        <w:t>——————————————————————————————————————————————————————————————————————</w:t>
      </w:r>
    </w:p>
    <w:p>
      <w:pPr>
        <w:spacing w:before="160" w:after="40" w:line="240" w:lineRule="auto"/>
      </w:pPr>
      <w:r>
        <w:rPr>
          <w:b/>
        </w:rPr>
        <w:t xml:space="preserve">[41] </w:t>
      </w:r>
      <w:hyperlink r:id="rId506">
        <w:r>
          <w:rPr>
            <w:color w:val="1155CC"/>
            <w:u w:val="single"/>
          </w:rPr>
          <w:t>BRCT 结构域增强真菌 PARP 的 DNA 结合和催化效率</w:t>
        </w:r>
      </w:hyperlink>
    </w:p>
    <w:p>
      <w:pPr>
        <w:spacing w:before="0" w:after="80"/>
      </w:pPr>
      <w:r>
        <w:rPr>
          <w:i/>
          <w:sz w:val="20"/>
        </w:rPr>
        <w:t>EN: The BRCT domain enhances DNA binding and catalytic efficiency of fungal PARPs</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烟曲霉感染是一个主要但经常被忽视的全球健康挑战，由于高危人群不断增长、治疗选择有限以及耐药菌株的出现，这一挑战进一步加剧。 ADP-核糖基化信号传导对 DNA 损伤反应 (DDR) 的调节最近已成为真菌发病机制的一个重要特征，但其基本机制仍然难以捉摸。在这里，我们提出了 Af-PARP1（烟曲霉 PARP 同源物）的全面系统发育和功能表征。我们的数据表明，Af-PARP1 是一种 DNA 依赖性聚（ADP-核糖基）转移酶，具有独特的结构域结构、DNA 损伤选择性和与其哺乳动物和植物同源物不同的激活动力学。我们发现真菌特异性 BRCT 结构域在损伤识别和 ADP-核糖基化信号建立中起着至关重要的作用。总的来说，我们的研究结果揭示了真菌特有的 DDR 相关 ADP 核糖基化的差异，突出了该信号通路作为抗真菌治疗靶点的潜力。</w:t>
      </w:r>
    </w:p>
    <w:p>
      <w:pPr>
        <w:spacing w:before="0" w:after="200" w:lineRule="auto" w:line="276"/>
      </w:pPr>
      <w:r>
        <w:rPr>
          <w:b/>
        </w:rPr>
        <w:t xml:space="preserve">Abstract (EN): </w:t>
      </w:r>
      <w:r>
        <w:t>Aspergillus fumigatus infections are a major yet often neglected global health challenge magnified by a growing at-risk population, limited treatment options, and the emergence of drug-resistant strains. Regulation of the DNA damage response (DDR) by ADP-ribosylation signalling has recently emerged as an important feature of fungal pathogenesis, but the underlying mechanisms remain largely elusive. Here we present a comprehensive phylogenetic and functional characterisation of Af-PARP1, the A. fumigatus PARP homologue. Our data reveal Af-PARP1 as a DNA-dependent poly(ADP-ribosyl)transferase with unique domain architecture, DNA damage selectivity, and activation dynamics distinct from its mammalian and plant homologues. We show that the fungal specific BRCT domain plays a crucial role in both damage recognition and ADP-ribosylation signal establishment. Collectively, our findings reveal a divergence in DDR-associated ADP-ribosylation specific to fungi, highlighting the potential of this signalling pathway as target for antifungal therapy.</w:t>
      </w:r>
    </w:p>
    <w:p>
      <w:pPr>
        <w:spacing w:before="120" w:after="120"/>
      </w:pPr>
      <w:r>
        <w:rPr>
          <w:sz w:val="18"/>
        </w:rPr>
        <w:t>——————————————————————————————————————————————————————————————————————</w:t>
      </w:r>
    </w:p>
    <w:p>
      <w:pPr>
        <w:spacing w:before="160" w:after="40" w:line="240" w:lineRule="auto"/>
      </w:pPr>
      <w:r>
        <w:rPr>
          <w:b/>
        </w:rPr>
        <w:t xml:space="preserve">[42] </w:t>
      </w:r>
      <w:hyperlink r:id="rId507">
        <w:r>
          <w:rPr>
            <w:color w:val="1155CC"/>
            <w:u w:val="single"/>
          </w:rPr>
          <w:t>计算病理学视觉和病理学基础模型的基准研究</w:t>
        </w:r>
      </w:hyperlink>
    </w:p>
    <w:p>
      <w:pPr>
        <w:spacing w:before="0" w:after="80"/>
      </w:pPr>
      <w:r>
        <w:rPr>
          <w:i/>
          <w:sz w:val="20"/>
        </w:rPr>
        <w:t>EN: A benchmark study of vision and pathology foundation models for computational pathology</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为了推进病理学领域的精准医学，人工智能 (AI) 驱动的基础模型必须在不同的数据集、组织和临床任务中进行推广。然而，它们在计算病理学中的比较性能和普遍性仍未完全表征。在这里，我们使用来自癌症基因组图谱 (TCGA)、临床蛋白质组肿瘤分析联盟 (CPTAC)、外部基准测试数据集和域外数据集的幻灯片和补丁级任务，对四个类别的 32 个 AI 基础模型进行了基准测试，包括通用视觉模型 (VM)、通用视觉语言模型 (VLM)、病理特定视觉模型 (Path-VM) 和病理特定视觉语言模型 (Path-VLM)。在 TCGA 任务中，Path-VM 始终位居表现最强者之列。对 CPTAC 和域外数据集的评估揭示了更细微的泛化行为，模型排名显示数据集和任务类别之间适度但一致的变化。成对统计比较表明，表现最好的模型之间的差异通常很小并且依赖于任务。 Path-VM 的性能优于 Path-VLM，并与 VM 保持竞争力。模型大小和预训练数据集规模并不能一致地预测下游性能。最后，后期决策级集成提高了外部数据集和组织类型的总体性能，突出了基础模型之间的互补优势。 PathBench：https://pathbench.stanford.edu/</w:t>
      </w:r>
    </w:p>
    <w:p>
      <w:pPr>
        <w:spacing w:before="0" w:after="200" w:lineRule="auto" w:line="276"/>
      </w:pPr>
      <w:r>
        <w:rPr>
          <w:b/>
        </w:rPr>
        <w:t xml:space="preserve">Abstract (EN): </w:t>
      </w:r>
      <w:r>
        <w:t>To advance precision medicine in pathology, artificial intelligence (AI)-driven foundation models must generalize across diverse datasets, tissues, and clinical tasks. However, their comparative performance and generalizability in computational pathology remain incompletely characterized. Here, we benchmark 32 AI foundation models across four categories, including general vision models (VM), general vision-language models (VLM), pathology-specific vision models (Path-VM), and pathology-specific vision-language models (Path-VLM), using slide- and patch-level tasks from The Cancer Genome Atlas (TCGA), Clinical Proteomic Tumor Analysis Consortium (CPTAC), external benchmarking datasets, and out-of-domain datasets. Across TCGA tasks, Path-VMs consistently rank among the strongest performers. Evaluation across CPTAC and out-of-domain datasets reveals more nuanced generalization behavior, with model rankings showing modest but consistent shifts across datasets and task categories. Pairwise statistical comparisons indicate that differences among top-performing models are often small and task dependent. Path-VMs outperform Path-VLMs and remain competitive with VMs. Model size and pretraining dataset scale do not consistently predict downstream performance. Finally, late decision-level ensembling improves aggregate performance across external datasets and tissue types, highlighting complementary strengths across foundation models. PathBench: https://pathbench.stanford.edu/</w:t>
      </w:r>
    </w:p>
    <w:p>
      <w:pPr>
        <w:spacing w:before="120" w:after="120"/>
      </w:pPr>
      <w:r>
        <w:rPr>
          <w:sz w:val="18"/>
        </w:rPr>
        <w:t>——————————————————————————————————————————————————————————————————————</w:t>
      </w:r>
    </w:p>
    <w:p>
      <w:pPr>
        <w:spacing w:before="160" w:after="40" w:line="240" w:lineRule="auto"/>
      </w:pPr>
      <w:r>
        <w:rPr>
          <w:b/>
        </w:rPr>
        <w:t xml:space="preserve">[43] </w:t>
      </w:r>
      <w:hyperlink r:id="rId508">
        <w:r>
          <w:rPr>
            <w:color w:val="1155CC"/>
            <w:u w:val="single"/>
          </w:rPr>
          <w:t>能源转型、碳政策和贸易冲突的动态和协同效应：混合频率方法</w:t>
        </w:r>
      </w:hyperlink>
    </w:p>
    <w:p>
      <w:pPr>
        <w:spacing w:before="0" w:after="80"/>
      </w:pPr>
      <w:r>
        <w:rPr>
          <w:i/>
          <w:sz w:val="20"/>
        </w:rPr>
        <w:t>EN: Dynamic and synergic effects of energy transition, carbon policy and trade conflicts: A mixed-frequency approach</w:t>
      </w:r>
    </w:p>
    <w:p>
      <w:pPr>
        <w:spacing w:before="0" w:after="120"/>
      </w:pPr>
      <w:r>
        <w:rPr>
          <w:b/>
        </w:rPr>
        <w:t xml:space="preserve">Source: </w:t>
      </w:r>
      <w:r>
        <w:t>ScienceDirect Publication: Energy Policy</w:t>
      </w:r>
      <w:r>
        <w:t xml:space="preserve">    </w:t>
      </w:r>
      <w:r>
        <w:rPr>
          <w:b/>
        </w:rPr>
        <w:t xml:space="preserve">Pub date: </w:t>
      </w:r>
      <w:r>
        <w:t>2026-07-24 00:00:00+00:00</w:t>
      </w:r>
      <w:r>
        <w:t xml:space="preserve">    </w:t>
      </w:r>
      <w:r>
        <w:rPr>
          <w:b/>
        </w:rPr>
        <w:t xml:space="preserve">DOI: </w:t>
      </w:r>
      <w:hyperlink r:id="rId509">
        <w:r>
          <w:rPr>
            <w:color w:val="1155CC"/>
            <w:u w:val="single"/>
          </w:rPr>
          <w:t>10.1016/j.enpol.2026.115488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 </w:t>
      </w:r>
      <w:hyperlink r:id="rId510">
        <w:r>
          <w:rPr>
            <w:color w:val="1155CC"/>
            <w:u w:val="single"/>
          </w:rPr>
          <w:t>Nemp1 缺失会扰乱雌性减数分裂并激活保守的 ATM-CHK2 检查点</w:t>
        </w:r>
      </w:hyperlink>
    </w:p>
    <w:p>
      <w:pPr>
        <w:spacing w:before="0" w:after="80"/>
      </w:pPr>
      <w:r>
        <w:rPr>
          <w:i/>
          <w:sz w:val="20"/>
        </w:rPr>
        <w:t>EN: Loss of Nemp1 disrupts female meiosis and activates a conserved ATM-CHK2 checkpoint</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雌性生殖细胞必须保持其基因组的完整性，并通过减数分裂重组产生遗传多样性。这个具有挑战性的过程很容易出错。高度保守的检查点通路可检测重组错误和 DNA 损伤，从而诱导有缺陷的卵母细胞死亡。核膜膜蛋白 (NEMP) 同源物是高度保守的蛋白质，对于果蝇、蠕虫、鱼和小鼠的生育能力至关重要。它们定位于内核包膜，在那里提供机械支持。然而，为什么 NEMP 同系物对于生育能力是特别需要的仍然不清楚。使用果蝇和小鼠模型，我们确定 NEMP 同源物的丢失会导致 ATM 和 CHK2 激酶的激活，而 CHK2 或 ATM 的抑制可挽救卵母细胞的丢失。在缺乏 Nemp1 的情况下，减数分裂进程会延迟，并且在接合期和粗线期 DNA 损伤会增加。 Nemp1 的缺失还会导致染色体突触缺陷在粗线期持续存在。我们的结论是，NEMP1 是保护基因组完整性所必需的，并且对于准确的染色体配对和突触、支持卵母细胞的发育能力和存活至关重要。</w:t>
      </w:r>
    </w:p>
    <w:p>
      <w:pPr>
        <w:spacing w:before="0" w:after="200" w:lineRule="auto" w:line="276"/>
      </w:pPr>
      <w:r>
        <w:rPr>
          <w:b/>
        </w:rPr>
        <w:t xml:space="preserve">Abstract (EN): </w:t>
      </w:r>
      <w:r>
        <w:t>Female germ cells must preserve the integrity of their genome and generate genetic diversity via meiotic recombination. This challenging process is error prone. Highly conserved checkpoint pathways detect errors in recombination and DNA damage, inducing the death of defective oocytes. Nuclear Envelope Membrane Protein (NEMP) homologs are highly conserved proteins critical for fertility in flies, worms, fish and mice. They localize to the inner nuclear envelope where they provide mechanical support. However, why NEMP homologs are specifically required for fertility is still unclear. Using both Drosophila and mouse models, we establish that loss of NEMP homologs leads to activation of ATM and CHK2 kinases and inhibition of CHK2 or ATM rescues oocyte loss. In the absence of Nemp1, meiotic progression is delayed and DNA damage is increased at zygonema and pachynema stages. Loss of Nemp1 also leads to defects in chromosome synapsis persisting through pachynema. We conclude that NEMP1 is needed to protect genome integrity and is crucial for accurate chromosome pairing and synapsis, supporting oocyte developmental competence and survival.</w:t>
      </w:r>
    </w:p>
    <w:p>
      <w:pPr>
        <w:spacing w:before="120" w:after="120"/>
      </w:pPr>
      <w:r>
        <w:rPr>
          <w:sz w:val="18"/>
        </w:rPr>
        <w:t>——————————————————————————————————————————————————————————————————————</w:t>
      </w:r>
    </w:p>
    <w:p>
      <w:pPr>
        <w:spacing w:before="160" w:after="40" w:line="240" w:lineRule="auto"/>
      </w:pPr>
      <w:r>
        <w:rPr>
          <w:b/>
        </w:rPr>
        <w:t xml:space="preserve">[45] </w:t>
      </w:r>
      <w:hyperlink r:id="rId511">
        <w:r>
          <w:rPr>
            <w:color w:val="1155CC"/>
            <w:u w:val="single"/>
          </w:rPr>
          <w:t>史前东亚鼠疫耶尔森氏菌基因组和~5.3ka鼠疫跨欧亚扩张</w:t>
        </w:r>
      </w:hyperlink>
    </w:p>
    <w:p>
      <w:pPr>
        <w:spacing w:before="0" w:after="80"/>
      </w:pPr>
      <w:r>
        <w:rPr>
          <w:i/>
          <w:sz w:val="20"/>
        </w:rPr>
        <w:t>EN: A prehistoric East-Asian Yersinia pestis genome and a ~5.3 ka trans-Eurasian expansion of plague</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由鼠疫耶尔森氏菌引起的鼠疫已经影响人类社会数千年，但其最早传播的时间、规模和生物变化仍不清楚。在这里，我们筛选了来自欧亚大陆东部（8,000-400 cal. BP）的 1,400 具古代人类遗骸，并恢复了三个史前鼠疫耶尔森氏菌基因组，其中一个来自东亚。将这些数据与 136 个已发表的古代和现代鼠疫耶尔森氏菌基因组相结合，我们解决了一个可追溯到约 5.3 ka BP 的跨欧亚多基因组，该多基因组连接了斯堪的纳维亚半岛、中欧和中国北部。低 SNP 距离和尖端测年表明在超过 7,500 公里的世纪尺度间隔内出现分裂（中位下限扩散率为 32.9 公里/年），与快速长距离扩散一致。将变异映射到深层系统发育表明，LNBA⁺谱系的基础茎是所检查的七个深层阶段中唯一一个，相对于突变类别的全基因组背景分布，显示出破坏性基因组重塑的显着富集，包括 ymt 基因的获得和多个基因破坏性插入缺失和基因丢失。这种系统发育浓度与后来跳蚤适应谱系相关的早期适应过程一致。我们的研究结果将史前鼠疫记录扩展到东亚，并完善了鼠疫最早跨欧亚扩张的时间和规模。</w:t>
      </w:r>
    </w:p>
    <w:p>
      <w:pPr>
        <w:spacing w:before="0" w:after="200" w:lineRule="auto" w:line="276"/>
      </w:pPr>
      <w:r>
        <w:rPr>
          <w:b/>
        </w:rPr>
        <w:t xml:space="preserve">Abstract (EN): </w:t>
      </w:r>
      <w:r>
        <w:t>Plague, caused by Yersinia pestis, has affected human societies for millennia, yet the timing, scale and biological shifts underlying its earliest spread remain unclear. Here, we screened 1,400 ancient human remains from eastern Eurasia (8,000-400 cal. BP) and recovered three prehistoric Y. pestis genomes, including one from East Asia. Integrating these data with 136 published ancient and modern Y. pestis genomes, we resolved a trans‑Eurasian polytomy dated to ~5.3 ka BP that links Scandinavia, Central Europe, and northern China. Low SNP distances and tip-dating indicate splits over century‑scale intervals across &gt; 7,500 km (median lower-bound dispersal rate of 32.9 km yr⁻¹), consistent with rapid long-distance dispersal. Mapping variation onto the deep phylogeny showed that the basal stem of the LNBA⁺ lineage is the only one of the seven deep phases examined to show significant enrichment of disruptive genomic remodeling relative to the genome-wide background distribution of mutation categories, including acquisition of the ymt gene and multiple gene‑disrupting indels and gene losses. This phylogenetic concentration is consistent with an early episode of adaptation associated with later flea-adapted lineages. Our results extend the prehistoric record of plague into East Asia and refine the timing and scale of its earliest trans-Eurasian expansion.</w:t>
      </w:r>
    </w:p>
    <w:p>
      <w:pPr>
        <w:spacing w:before="120" w:after="120"/>
      </w:pPr>
      <w:r>
        <w:rPr>
          <w:sz w:val="18"/>
        </w:rPr>
        <w:t>——————————————————————————————————————————————————————————————————————</w:t>
      </w:r>
    </w:p>
    <w:p>
      <w:pPr>
        <w:spacing w:before="160" w:after="40" w:line="240" w:lineRule="auto"/>
      </w:pPr>
      <w:r>
        <w:rPr>
          <w:b/>
        </w:rPr>
        <w:t xml:space="preserve">[46] </w:t>
      </w:r>
      <w:hyperlink r:id="rId512">
        <w:r>
          <w:rPr>
            <w:color w:val="1155CC"/>
            <w:u w:val="single"/>
          </w:rPr>
          <w:t>改造：空间转录组学中细胞类型混合物的无参考反卷积</w:t>
        </w:r>
      </w:hyperlink>
    </w:p>
    <w:p>
      <w:pPr>
        <w:spacing w:before="0" w:after="80"/>
      </w:pPr>
      <w:r>
        <w:rPr>
          <w:i/>
          <w:sz w:val="20"/>
        </w:rPr>
        <w:t>EN: RETROFIT: Reference-free deconvolution of cell-type mixtures in spatial transcriptomics</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空间转录组学能够对完整组织中的基因表达进行全基因组测量，但通常会捕获每个空间位置的多种细胞类型的混合物。解卷积这些混合物对于解决细胞类型特异性的空间组织和转录程序至关重要。现有的方法通常依赖于匹配的单细胞参考或策划的标记基因，这些基因可能不可用、不完整或难以跨平台集成。我们提出了 RETROFIT，这是一种用于空间转录组数据的无参考反卷积的贝叶斯框架，它直接对测序测量进行操作，并且仅在事后注释阶段（如果可用）合并外部信息。通过广泛的模拟和多个真实数据集，RETROFIT 展示了强大的性能，优于现有的无参考方法，并且在参考不完善时匹配或超过基于参考的方法。值得注意的是，正如 Visium HD 数据所证明的那样，RETROFIT 在接近单细胞的分辨率下仍然有效，无需单细胞参考或标记基因即可恢复细粒度的空间模式。这些结果使 RETROFIT 成为一种广泛适用的跨平台和分辨率的无参考空间转录组学分析方法。 RETROFIT 可在 https://bioconductor.org/packages/retrofit/ 获取。</w:t>
      </w:r>
    </w:p>
    <w:p>
      <w:pPr>
        <w:spacing w:before="0" w:after="200" w:lineRule="auto" w:line="276"/>
      </w:pPr>
      <w:r>
        <w:rPr>
          <w:b/>
        </w:rPr>
        <w:t xml:space="preserve">Abstract (EN): </w:t>
      </w:r>
      <w:r>
        <w:t>Spatial transcriptomics enables genome-wide measurement of gene expression in intact tissues, but typically captures mixtures of multiple cell types at each spatial location. Deconvolving these mixtures is essential for resolving cell-type-specific spatial organization and transcriptional programs. Existing approaches often rely on matched single-cell references or curated marker genes, which may be unavailable, incomplete, or difficult to integrate across platforms. We present RETROFIT, a Bayesian framework for reference-free deconvolution of spatial transcriptomics data that operates directly on sequencing measurements and incorporates external information only at a post hoc annotation stage when available. Across extensive simulations and multiple real datasets, RETROFIT demonstrates robust performance, outperforming existing reference-free methods and matching or exceeding reference-based approaches when references are imperfect. Notably, RETROFIT remains effective at near-single-cell resolution, as demonstrated on Visium HD data, recovering fine-grained spatial patterns without requiring single-cell references or marker genes. These results establish RETROFIT as a broadly applicable approach for reference-free spatial transcriptomics analysis across platforms and resolutions. RETROFIT is available at https://bioconductor.org/packages/retrofit/.</w:t>
      </w:r>
    </w:p>
    <w:p>
      <w:pPr>
        <w:spacing w:before="120" w:after="120"/>
      </w:pPr>
      <w:r>
        <w:rPr>
          <w:sz w:val="18"/>
        </w:rPr>
        <w:t>——————————————————————————————————————————————————————————————————————</w:t>
      </w:r>
    </w:p>
    <w:p>
      <w:pPr>
        <w:spacing w:before="160" w:after="40" w:line="240" w:lineRule="auto"/>
      </w:pPr>
      <w:r>
        <w:rPr>
          <w:b/>
        </w:rPr>
        <w:t xml:space="preserve">[47] </w:t>
      </w:r>
      <w:hyperlink r:id="rId513">
        <w:r>
          <w:rPr>
            <w:color w:val="1155CC"/>
            <w:u w:val="single"/>
          </w:rPr>
          <w:t>IFI208 是一种干扰素刺激基因，通过 MDA5 的液-液相分离促进宿主抗病毒反应</w:t>
        </w:r>
      </w:hyperlink>
    </w:p>
    <w:p>
      <w:pPr>
        <w:spacing w:before="0" w:after="80"/>
      </w:pPr>
      <w:r>
        <w:rPr>
          <w:i/>
          <w:sz w:val="20"/>
        </w:rPr>
        <w:t>EN: IFI208, an interferon-stimulated gene, promotes host antiviral responses through liquid-liquid phase separation of MDA5</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PYHIN (IFI200/HIN-200) 家族成员通过 HIN 结构域检测病毒核酸，参与宿主抗病毒免疫反应。在这个家族中，缺乏 HIN 结构域的 IFI208 的功能仍然很大程度上未知。在这项研究中，我们将 PYHIN 家族的成员 IFI208 鉴定为干扰素刺激基因 (ISG)。接触病毒 DNA 和 RNA 后，IFI208 通过增加 I 型干扰素 (IFN) 的产生来抑制病毒复制。从机制上讲，感染后，IFI208通过染色体区域维护1（XPO1）转运蛋白转运至细胞质，并与黑色素瘤分化相关基因5（MDA5）相互作用，增强该蛋白识别双链RNA（dsRNA）的能力并促进其寡聚化。综上所述，我们将 IFI208 确定为干扰素刺激基因 (ISG)，可诱导 MDA5 的 dsRNA 依赖性液-液相分离。我们的结果表明 XPO1-IFI208-MDA5 轴在对病毒的先天反应中具有重要功能。</w:t>
      </w:r>
    </w:p>
    <w:p>
      <w:pPr>
        <w:spacing w:before="0" w:after="200" w:lineRule="auto" w:line="276"/>
      </w:pPr>
      <w:r>
        <w:rPr>
          <w:b/>
        </w:rPr>
        <w:t xml:space="preserve">Abstract (EN): </w:t>
      </w:r>
      <w:r>
        <w:t>PYHIN (IFI200/HIN-200) family members are involved in host antiviral immune responses by detecting viral nucleic acids through HIN domains. Within this family, the function of IFI208, which lacks a HIN domain, remains largely unknown. In this study, we identify IFI208, a member of the PYHIN family, as an interferon stimulated gene (ISG). Upon exposure to viral DNA and RNA, IFI208 inhibits viral replication by increasing type I interferon (IFN) production. Mechanistically, upon infection, IFI208 is translocated to the cytoplasm through the chromosome region maintenance 1 (XPO1) transporter protein, and interacts with melanoma differentiation associated gene 5 (MDA5) to enhance the ability of this protein to recognize double stranded RNA (dsRNA) and promote its oligomerization. Taken together, we identify IFI208 as an interferon-stimulated gene (ISG) that induces dsRNA dependent liquid-liquid phase separation of MDA5. Our results indicate that the XPO1-IFI208-MDA5 axis has an important function in the innate responses to viruses.</w:t>
      </w:r>
    </w:p>
    <w:p>
      <w:pPr>
        <w:spacing w:before="120" w:after="120"/>
      </w:pPr>
      <w:r>
        <w:rPr>
          <w:sz w:val="18"/>
        </w:rPr>
        <w:t>——————————————————————————————————————————————————————————————————————</w:t>
      </w:r>
    </w:p>
    <w:p>
      <w:pPr>
        <w:spacing w:before="160" w:after="40" w:line="240" w:lineRule="auto"/>
      </w:pPr>
      <w:r>
        <w:rPr>
          <w:b/>
        </w:rPr>
        <w:t xml:space="preserve">[48] </w:t>
      </w:r>
      <w:hyperlink r:id="rId514">
        <w:r>
          <w:rPr>
            <w:color w:val="1155CC"/>
            <w:u w:val="single"/>
          </w:rPr>
          <w:t>人氧化戊二酸受体 OXGR1 配体识别和激活的结构见解</w:t>
        </w:r>
      </w:hyperlink>
    </w:p>
    <w:p>
      <w:pPr>
        <w:spacing w:before="0" w:after="80"/>
      </w:pPr>
      <w:r>
        <w:rPr>
          <w:i/>
          <w:sz w:val="20"/>
        </w:rPr>
        <w:t>EN: Structural insights into ligand recognition and activation of the human oxoglutarate receptor OXGR1</w:t>
      </w:r>
    </w:p>
    <w:p>
      <w:pPr>
        <w:spacing w:before="0" w:after="120"/>
      </w:pPr>
      <w:r>
        <w:rPr>
          <w:b/>
        </w:rPr>
        <w:t xml:space="preserve">Source: </w:t>
      </w:r>
      <w:r>
        <w:t>Biological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人氧化戊二酸受体 1 (OXGR1/GPR99) 是一种在肾脏中表达的 G 蛋白偶联受体 (GPCR)，可感知代谢信号。此外，OXGR1还对气道上皮中的免疫代谢物做出反应，并有助于先天性气道防御。尽管鉴定了内源性配体α-酮戊二酸（α-KG）和衣康酸（ITN），但这些代谢物识别和激活的分子基础仍然知之甚少。在这里，我们展示了人 OXGR1 与与 α-KG 和 ITN 结合的 Gq 蛋白复合物的冷冻电子显微镜结构，有助于揭示与受体激活相关的关键结合相互作用和构象变化。使用不同二羧酸盐的结构-活性关系分析阐明了配体特异性的决定因素，包括碳链长度、官能团和空间构型。此外，我们展示了 pH 依赖性调节机制，在生理 pH 7.4 时 OXGR1 活性最大，表明其在肾脏环境中的调节。总之，这些发现阐明了 OXGR1 代谢物传感的结构基础，并为针对 OXGR1 相关疾病的合理药物发现提供了框架。</w:t>
      </w:r>
    </w:p>
    <w:p>
      <w:pPr>
        <w:spacing w:before="0" w:after="200" w:lineRule="auto" w:line="276"/>
      </w:pPr>
      <w:r>
        <w:rPr>
          <w:b/>
        </w:rPr>
        <w:t xml:space="preserve">Abstract (EN): </w:t>
      </w:r>
      <w:r>
        <w:t>The human oxoglutarate receptor 1 (OXGR1/GPR99) is a G protein–coupled receptor (GPCR) expressed in the kidney that senses metabolic signals. In addition, OXGR1 also responds to immunometabolites in the airway epithelium and contributes to innate airway defense. Despite the identification of endogenous ligands α-ketoglutarate (α-KG) and itaconate (ITN), the molecular basis of these metabolite recognition and activation remains poorly understood. Here, we present cryo-electron microscopy structures of human OXGR1 in complex with Gq protein bound to α-KG and ITN, helping to reveal key binding interactions and conformational changes associated with receptor activation. Structure-activity relationship analyses using diverse dicarboxylates elucidate the determinants of ligand specificity, including carbon chain length, functional groups, and spatial configuration. Furthermore, we show a pH-dependent regulatory mechanism, with maximal OXGR1 activity at physiological pH 7.4, indicating its regulation in the renal environment. Together, these findings elucidate the structural basis of metabolite sensing by OXGR1 and provide a framework for rational drug discovery targeting OXGR1-associated disorders.</w:t>
      </w:r>
    </w:p>
    <w:p>
      <w:pPr>
        <w:spacing w:before="120" w:after="120"/>
      </w:pPr>
      <w:r>
        <w:rPr>
          <w:sz w:val="18"/>
        </w:rPr>
        <w:t>——————————————————————————————————————————————————————————————————————</w:t>
      </w:r>
    </w:p>
    <w:p>
      <w:pPr>
        <w:spacing w:before="160" w:after="40" w:line="240" w:lineRule="auto"/>
      </w:pPr>
      <w:r>
        <w:rPr>
          <w:b/>
        </w:rPr>
        <w:t xml:space="preserve">[49] </w:t>
      </w:r>
      <w:hyperlink r:id="rId515">
        <w:r>
          <w:rPr>
            <w:color w:val="1155CC"/>
            <w:u w:val="single"/>
          </w:rPr>
          <w:t>蛇纹石的湿分解路径和冷俯冲带中增强的水通量</w:t>
        </w:r>
      </w:hyperlink>
    </w:p>
    <w:p>
      <w:pPr>
        <w:spacing w:before="0" w:after="80"/>
      </w:pPr>
      <w:r>
        <w:rPr>
          <w:i/>
          <w:sz w:val="20"/>
        </w:rPr>
        <w:t>EN: Serpentine’s wet breakdown path and enhanced water flux in cold subduction zones</w:t>
      </w:r>
    </w:p>
    <w:p>
      <w:pPr>
        <w:spacing w:before="0" w:after="120"/>
      </w:pPr>
      <w:r>
        <w:rPr>
          <w:b/>
        </w:rPr>
        <w:t xml:space="preserve">Source: </w:t>
      </w:r>
      <w:r>
        <w:t>Earth and environmental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蛇纹石的稳定性决定了俯冲带的深水循环。我们使用原位同步加速器 X 射线衍射和超声波速度测量，在两个冷板 P-T 路径下研究了纯蛇纹岩（约 13 wt.% H2O），不同的过量水（0.9–31.5 wt.%）。在这里，我们报告说，在超过 6.9 wt.% 过量水的冷核心（或超冷莫霍面）地温下，蛇纹石经历深度水合作用，在 9.3 GPa 和 420 °C（约 280 km 深度）以上形成 3.65-Å 相和 E 相，使总水含量增加至约 19.3 wt.%。和</w:t>
      </w:r>
    </w:p>
    <w:p>
      <w:pPr>
        <w:spacing w:before="0" w:after="200" w:lineRule="auto" w:line="276"/>
      </w:pPr>
      <w:r>
        <w:rPr>
          <w:b/>
        </w:rPr>
        <w:t xml:space="preserve">Abstract (EN): </w:t>
      </w:r>
      <w:r>
        <w:t>Serpentine stability dictates deep water cycling in subduction zones. We investigated pure serpentinites (≈ 13 wt.% H2O) using in-situ synchrotron X-ray diffraction and ultrasonic velocity measurements under two cold-slab P–T paths, varying excess water (0.9–31.5 wt.%). Here we report that under a cold core (or ultracold Moho) geotherm with &gt;6.9 wt.% excess water, serpentinites undergo deep hydration to form the 3.65-Å phase and phase E above 9.3 GPa and 420 °C (ca. 280 km depth), increasing total water to ≈ 19.3 wt.%. With</w:t>
      </w:r>
    </w:p>
    <w:p>
      <w:pPr>
        <w:spacing w:before="120" w:after="120"/>
      </w:pPr>
      <w:r>
        <w:rPr>
          <w:sz w:val="18"/>
        </w:rPr>
        <w:t>——————————————————————————————————————————————————————————————————————</w:t>
      </w:r>
    </w:p>
    <w:p>
      <w:pPr>
        <w:spacing w:before="160" w:after="40" w:line="240" w:lineRule="auto"/>
      </w:pPr>
      <w:r>
        <w:rPr>
          <w:b/>
        </w:rPr>
        <w:t xml:space="preserve">[50] </w:t>
      </w:r>
      <w:hyperlink r:id="rId516">
        <w:r>
          <w:rPr>
            <w:color w:val="1155CC"/>
            <w:u w:val="single"/>
          </w:rPr>
          <w:t>在气候变化下实现太阳能与风能的最佳权衡</w:t>
        </w:r>
      </w:hyperlink>
    </w:p>
    <w:p>
      <w:pPr>
        <w:spacing w:before="0" w:after="80"/>
      </w:pPr>
      <w:r>
        <w:rPr>
          <w:i/>
          <w:sz w:val="20"/>
        </w:rPr>
        <w:t>EN: Navigating optimal solar-wind trade-offs under climate change</w:t>
      </w:r>
    </w:p>
    <w:p>
      <w:pPr>
        <w:spacing w:before="0" w:after="120"/>
      </w:pPr>
      <w:r>
        <w:rPr>
          <w:b/>
        </w:rPr>
        <w:t xml:space="preserve">Source: </w:t>
      </w:r>
      <w:r>
        <w:t>Earth and environmental sciences : Nature Communications subject feeds</w:t>
      </w:r>
      <w:r>
        <w:t xml:space="preserve">    </w:t>
      </w:r>
      <w:r>
        <w:rPr>
          <w:b/>
        </w:rPr>
        <w:t xml:space="preserve">Pub date: </w:t>
      </w:r>
      <w:r>
        <w:t>2026-07-24 00:00:00+00:00</w:t>
      </w:r>
    </w:p>
    <w:p>
      <w:pPr>
        <w:spacing w:before="0" w:after="120"/>
      </w:pPr>
      <w:r>
        <w:rPr>
          <w:b/>
        </w:rPr>
        <w:t xml:space="preserve">Notes: </w:t>
      </w:r>
      <w:r>
        <w:t>abstract_source=nature_html</w:t>
      </w:r>
    </w:p>
    <w:p>
      <w:pPr>
        <w:spacing w:before="0" w:after="80" w:lineRule="auto" w:line="276"/>
      </w:pPr>
      <w:r>
        <w:rPr>
          <w:b/>
        </w:rPr>
        <w:t xml:space="preserve">摘要（ZH）: </w:t>
      </w:r>
      <w:r>
        <w:t>最佳太阳能-风能比（SWR）在影响可再生电力系统的成本和可靠性方面发挥着关键作用，但其在气候变化下的适应性仍然知之甚少。在这里，我们开发了一个气候驱动的 SWR 优化框架，将多模型气候预测与综合投资和调度模型结合起来，以量化未来气候变化如何重塑成本最优的太阳风配置。我们发现最佳驻波比表现出明显的纬度差异，并且在气候变化下表现出适度的变化。从历史偏好场景继承的部署路径可能与最佳 SWR 不同，导致系统成本和容量要求增加。在许多地区，这些驻波比不匹配放大的电力供应成本远远超过气候引起的可再生资源变化带来的成本影响。成本上升主要是由驻波比不匹配驱动的，而不仅仅是气候引起的资源变化。这些发现强调了气候响应型和特定区域 SWR 优化作为弹性和经济高效电力系统规划的关键要素的重要性。</w:t>
      </w:r>
    </w:p>
    <w:p>
      <w:pPr>
        <w:spacing w:before="0" w:after="200" w:lineRule="auto" w:line="276"/>
      </w:pPr>
      <w:r>
        <w:rPr>
          <w:b/>
        </w:rPr>
        <w:t xml:space="preserve">Abstract (EN): </w:t>
      </w:r>
      <w:r>
        <w:t>The optimal solar-wind ratio (SWR) plays a critical role in shaping the cost and reliability of renewable electricity systems, yet its adaptability under climate change remains poorly understood. Here, we develop a climate-driven SWR optimization framework that couples multi-model climate projections with an integrated investment and dispatch model to quantify how future climate variability reshapes cost-optimal solar-wind configurations. We find that optimal SWRs exhibit pronounced latitudinal differences and show modest changes under climate change. Deployment pathways inherited from the historical preference scenario may diverge from optimal SWRs, leading to increases in system costs and capacity requirements. In many regions, these SWR mismatches amplify electricity supply costs far more than the cost impacts associated with climate-induced changes in renewable resources alone. Cost escalation is driven mainly by SWR mismatch rather than solely by climate-induced resource changes. These findings highlight the importance of climate-responsive and region-specific SWR optimization as a key element of resilient and economically efficient power system planning.</w:t>
      </w:r>
    </w:p>
    <w:p>
      <w:pPr>
        <w:spacing w:before="120" w:after="120"/>
      </w:pPr>
      <w:r>
        <w:rPr>
          <w:sz w:val="18"/>
        </w:rPr>
        <w:t>——————————————————————————————————————————————————————————————————————</w:t>
      </w:r>
    </w:p>
    <w:p>
      <w:pPr>
        <w:spacing w:before="160" w:after="40" w:line="240" w:lineRule="auto"/>
      </w:pPr>
      <w:r>
        <w:rPr>
          <w:b/>
        </w:rPr>
        <w:t xml:space="preserve">[51] </w:t>
      </w:r>
      <w:hyperlink r:id="rId517">
        <w:r>
          <w:rPr>
            <w:color w:val="1155CC"/>
            <w:u w:val="single"/>
          </w:rPr>
          <w:t>基于掺有镧系元素纳米粒子的配位聚合物玻璃的多波长上转换激光器</w:t>
        </w:r>
      </w:hyperlink>
    </w:p>
    <w:p>
      <w:pPr>
        <w:spacing w:before="0" w:after="80"/>
      </w:pPr>
      <w:r>
        <w:rPr>
          <w:i/>
          <w:sz w:val="20"/>
        </w:rPr>
        <w:t>EN: Multi‐Wavelength Upconversion Lasers Based on Coordination Polymer Glass Incorporating Lanthanide‐Doped Nanoparticles</w:t>
      </w:r>
    </w:p>
    <w:p>
      <w:pPr>
        <w:spacing w:before="0" w:after="120"/>
      </w:pPr>
      <w:r>
        <w:rPr>
          <w:b/>
        </w:rPr>
        <w:t xml:space="preserve">Source: </w:t>
      </w:r>
      <w:r>
        <w:t>Wiley: Advanced Materials: Table of Contents</w:t>
      </w:r>
      <w:r>
        <w:t xml:space="preserve">    </w:t>
      </w:r>
      <w:r>
        <w:rPr>
          <w:b/>
        </w:rPr>
        <w:t xml:space="preserve">Pub date: </w:t>
      </w:r>
      <w:r>
        <w:t>2026-07-24 06:44:58+00:00</w:t>
      </w:r>
      <w:r>
        <w:t xml:space="preserve">    </w:t>
      </w:r>
      <w:r>
        <w:rPr>
          <w:b/>
        </w:rPr>
        <w:t xml:space="preserve">DOI: </w:t>
      </w:r>
      <w:hyperlink r:id="rId518">
        <w:r>
          <w:rPr>
            <w:color w:val="1155CC"/>
            <w:u w:val="single"/>
          </w:rPr>
          <w:t>10.1002/adma.74263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上转换微型激光器为下一代光子器件带来了巨大的希望。目前大多数设计依赖于将镧系元素掺杂纳米粒子涂覆或掺入电介质微腔中，通常基于聚合物或氧化物玻璃平台。然而，聚合物通常表现出有限的热稳定性，氧化物玻璃需要相对较高的加工温度，并且涂层结构通常会引入界面散射损失，降低激光效率和稳定性。在这里，我们报道了一种配位聚合物（CP）ZnCl</w:t>
      </w:r>
      <w:r>
        <w:rPr>
          <w:vertAlign w:val="subscript"/>
        </w:rPr>
        <w:t>2</w:t>
      </w:r>
      <w:r>
        <w:t>(bIm)</w:t>
      </w:r>
      <w:r>
        <w:rPr>
          <w:vertAlign w:val="subscript"/>
        </w:rPr>
        <w:t>2</w:t>
      </w:r>
      <w:r>
        <w:t>(bIm = C</w:t>
      </w:r>
      <w:r>
        <w:rPr>
          <w:vertAlign w:val="subscript"/>
        </w:rPr>
        <w:t>7</w:t>
      </w:r>
      <w:r>
        <w:t>H</w:t>
      </w:r>
      <w:r>
        <w:rPr>
          <w:vertAlign w:val="subscript"/>
        </w:rPr>
        <w:t>6</w:t>
      </w:r>
      <w:r>
        <w:t>氮</w:t>
      </w:r>
      <w:r>
        <w:rPr>
          <w:vertAlign w:val="subscript"/>
        </w:rPr>
        <w:t>2</w:t>
      </w:r>
      <w:r>
        <w:t>）玻璃作为可低温加工的主体，能够通过强界面润湿性均匀、无损地掺入上转换纳米晶体，形成能量势垒（2.52×10</w:t>
      </w:r>
      <w:r>
        <w:rPr>
          <w:vertAlign w:val="subscript"/>
        </w:rPr>
        <w:t>3</w:t>
      </w:r>
      <w:r>
        <w:t>zJ），保持有效的发光，保持高</w:t>
      </w:r>
      <w:r>
        <w:t xml:space="preserve"> </w:t>
      </w:r>
      <w:r>
        <w:t>问</w:t>
      </w:r>
      <w:r>
        <w:t xml:space="preserve"> </w:t>
      </w:r>
      <w:r>
        <w:t>特性，并支持超光滑微腔制造。据我们所知，这项工作凸显了透明 ZnCl 中多波长上转换激光的可行性</w:t>
      </w:r>
      <w:r>
        <w:rPr>
          <w:vertAlign w:val="subscript"/>
        </w:rPr>
        <w:t>2</w:t>
      </w:r>
      <w:r>
        <w:t>(bIm)</w:t>
      </w:r>
      <w:r>
        <w:rPr>
          <w:vertAlign w:val="subscript"/>
        </w:rPr>
        <w:t>2</w:t>
      </w:r>
      <w:r>
        <w:t>嵌入NaYF的复合玻璃微瓶</w:t>
      </w:r>
      <w:r>
        <w:rPr>
          <w:vertAlign w:val="subscript"/>
        </w:rPr>
        <w:t>4</w:t>
      </w:r>
      <w:r>
        <w:t>@NaYbF</w:t>
      </w:r>
      <w:r>
        <w:rPr>
          <w:vertAlign w:val="subscript"/>
        </w:rPr>
        <w:t>4</w:t>
      </w:r>
      <w:r>
        <w:t>：1%Tm</w:t>
      </w:r>
      <w:r>
        <w:rPr>
          <w:vertAlign w:val="subscript"/>
        </w:rPr>
        <w:t>3</w:t>
      </w:r>
    </w:p>
    <w:p>
      <w:pPr>
        <w:spacing w:before="0" w:after="200" w:lineRule="auto" w:line="276"/>
      </w:pPr>
      <w:r>
        <w:rPr>
          <w:b/>
        </w:rPr>
        <w:t xml:space="preserve">Abstract (EN): </w:t>
      </w:r>
      <w:r>
        <w:t>Upconversion microlasers hold great promise for next‐generation photonic devices. Most current designs rely on coating or incorporating lanthanide‐doped nanoparticles into dielectric microcavities, typically based on polymers or oxide glass platforms. However, polymers generally exhibit limited thermal stability, oxide glasses require relatively high processing temperatures, and coated structures often introduce interfacial scattering losses, degrading lasing efficiency and stability. Here, we report a coordination polymer (CP) ZnCl</w:t>
      </w:r>
      <w:r>
        <w:rPr>
          <w:vertAlign w:val="subscript"/>
        </w:rPr>
        <w:t>2</w:t>
      </w:r>
      <w:r>
        <w:t>(bIm)</w:t>
      </w:r>
      <w:r>
        <w:rPr>
          <w:vertAlign w:val="subscript"/>
        </w:rPr>
        <w:t>2</w:t>
      </w:r>
      <w:r>
        <w:t>(bIm = C</w:t>
      </w:r>
      <w:r>
        <w:rPr>
          <w:vertAlign w:val="subscript"/>
        </w:rPr>
        <w:t>7</w:t>
      </w:r>
      <w:r>
        <w:t>H</w:t>
      </w:r>
      <w:r>
        <w:rPr>
          <w:vertAlign w:val="subscript"/>
        </w:rPr>
        <w:t>6</w:t>
      </w:r>
      <w:r>
        <w:t>N</w:t>
      </w:r>
      <w:r>
        <w:rPr>
          <w:vertAlign w:val="subscript"/>
        </w:rPr>
        <w:t>2</w:t>
      </w:r>
      <w:r>
        <w:t>) glass as a low‐temperature‐processable host that enables uniform and nondestructive incorporation of upconversion nanocrystals via strong interfacial wettability, forming an energy barrier (2.52 × 10</w:t>
      </w:r>
      <w:r>
        <w:rPr>
          <w:vertAlign w:val="subscript"/>
        </w:rPr>
        <w:t>3</w:t>
      </w:r>
      <w:r>
        <w:t>zJ) that preserves efficient luminescence, maintains high‐</w:t>
      </w:r>
      <w:r>
        <w:t xml:space="preserve"> </w:t>
      </w:r>
      <w:r>
        <w:t>Q</w:t>
      </w:r>
      <w:r>
        <w:t xml:space="preserve"> </w:t>
      </w:r>
      <w:r>
        <w:t>characteristics, and supports ultrasmooth microcavity fabrication. To our knowledge, this work highlights the feasibility of multiwavelength upconversion lasing in transparent ZnCl</w:t>
      </w:r>
      <w:r>
        <w:rPr>
          <w:vertAlign w:val="subscript"/>
        </w:rPr>
        <w:t>2</w:t>
      </w:r>
      <w:r>
        <w:t>(bIm)</w:t>
      </w:r>
      <w:r>
        <w:rPr>
          <w:vertAlign w:val="subscript"/>
        </w:rPr>
        <w:t>2</w:t>
      </w:r>
      <w:r>
        <w:t>composite glass micro‐bottles embedded with NaYF</w:t>
      </w:r>
      <w:r>
        <w:rPr>
          <w:vertAlign w:val="subscript"/>
        </w:rPr>
        <w:t>4</w:t>
      </w:r>
      <w:r>
        <w:t>@NaYbF</w:t>
      </w:r>
      <w:r>
        <w:rPr>
          <w:vertAlign w:val="subscript"/>
        </w:rPr>
        <w:t>4</w:t>
      </w:r>
      <w:r>
        <w:t>: 1%Tm</w:t>
      </w:r>
      <w:r>
        <w:t xml:space="preserve"> </w:t>
      </w:r>
      <w:r>
        <w:t>3+</w:t>
      </w:r>
      <w:r>
        <w:t xml:space="preserve"> </w:t>
      </w:r>
      <w:r>
        <w:t>@NaYF</w:t>
      </w:r>
      <w:r>
        <w:rPr>
          <w:vertAlign w:val="subscript"/>
        </w:rPr>
        <w:t>4</w:t>
      </w:r>
      <w:r>
        <w:t>nanoparticles. Under continuous‐wave 980 nm pumping, efficient lasing from the visible‐to‐near‐infrared (NIR) region is achieved, featuring an ultra‐low threshold of 140 nW for the Tm</w:t>
      </w:r>
      <w:r>
        <w:t xml:space="preserve"> </w:t>
      </w:r>
      <w:r>
        <w:t>3+</w:t>
      </w:r>
      <w:r>
        <w:t xml:space="preserve"> </w:t>
      </w:r>
      <w:r>
        <w:t>:</w:t>
      </w:r>
      <w:r>
        <w:rPr>
          <w:vertAlign w:val="subscript"/>
        </w:rPr>
        <w:t>3</w:t>
      </w:r>
      <w:r>
        <w:t>H</w:t>
      </w:r>
      <w:r>
        <w:rPr>
          <w:vertAlign w:val="subscript"/>
        </w:rPr>
        <w:t>4</w:t>
      </w:r>
      <w:r>
        <w:t>→</w:t>
      </w:r>
      <w:r>
        <w:rPr>
          <w:vertAlign w:val="subscript"/>
        </w:rPr>
        <w:t>3</w:t>
      </w:r>
      <w:r>
        <w:t>H</w:t>
      </w:r>
      <w:r>
        <w:rPr>
          <w:vertAlign w:val="subscript"/>
        </w:rPr>
        <w:t>6</w:t>
      </w:r>
      <w:r>
        <w:t>transition. Upconversion lasing is also generated in Er</w:t>
      </w:r>
      <w:r>
        <w:t xml:space="preserve"> </w:t>
      </w:r>
      <w:r>
        <w:t>3+</w:t>
      </w:r>
      <w:r>
        <w:t xml:space="preserve"> </w:t>
      </w:r>
      <w:r>
        <w:t>and Ho</w:t>
      </w:r>
      <w:r>
        <w:t xml:space="preserve"> </w:t>
      </w:r>
      <w:r>
        <w:t>3+</w:t>
      </w:r>
      <w:r>
        <w:t xml:space="preserve"> </w:t>
      </w:r>
      <w:r>
        <w:t>‐activated composite glass micro‐bottles, highlighting the universality of this strategy. These findings establish a versatile platform for engineering lanthanide‐based microlasers, paving the way toward compact, multifunctional photonic devices for next‐generation optical technologies.</w:t>
      </w:r>
    </w:p>
    <w:p>
      <w:pPr>
        <w:spacing w:before="120" w:after="120"/>
      </w:pPr>
      <w:r>
        <w:rPr>
          <w:sz w:val="18"/>
        </w:rPr>
        <w:t>——————————————————————————————————————————————————————————————————————</w:t>
      </w:r>
    </w:p>
    <w:p>
      <w:pPr>
        <w:spacing w:before="160" w:after="40" w:line="240" w:lineRule="auto"/>
      </w:pPr>
      <w:r>
        <w:rPr>
          <w:b/>
        </w:rPr>
        <w:t xml:space="preserve">[52] </w:t>
      </w:r>
      <w:hyperlink r:id="rId519">
        <w:r>
          <w:rPr>
            <w:color w:val="1155CC"/>
            <w:u w:val="single"/>
          </w:rPr>
          <w:t>具有高效磁电开关的铁磁极性金属</w:t>
        </w:r>
      </w:hyperlink>
    </w:p>
    <w:p>
      <w:pPr>
        <w:spacing w:before="0" w:after="80"/>
      </w:pPr>
      <w:r>
        <w:rPr>
          <w:i/>
          <w:sz w:val="20"/>
        </w:rPr>
        <w:t>EN: A Ferromagnetic Polar Metal With Efficient Electrical Switch of Magnetism</w:t>
      </w:r>
    </w:p>
    <w:p>
      <w:pPr>
        <w:spacing w:before="0" w:after="120"/>
      </w:pPr>
      <w:r>
        <w:rPr>
          <w:b/>
        </w:rPr>
        <w:t xml:space="preserve">Source: </w:t>
      </w:r>
      <w:r>
        <w:t>Wiley: Advanced Materials: Table of Contents</w:t>
      </w:r>
      <w:r>
        <w:t xml:space="preserve">    </w:t>
      </w:r>
      <w:r>
        <w:rPr>
          <w:b/>
        </w:rPr>
        <w:t xml:space="preserve">Pub date: </w:t>
      </w:r>
      <w:r>
        <w:t>2026-07-24 06:47:01+00:00</w:t>
      </w:r>
      <w:r>
        <w:t xml:space="preserve">    </w:t>
      </w:r>
      <w:r>
        <w:rPr>
          <w:b/>
        </w:rPr>
        <w:t xml:space="preserve">DOI: </w:t>
      </w:r>
      <w:hyperlink r:id="rId520">
        <w:r>
          <w:rPr>
            <w:color w:val="1155CC"/>
            <w:u w:val="single"/>
          </w:rPr>
          <w:t>10.1002/adma.74269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内在共存的铁磁性、极性畸变和金属性的材料，即铁磁极性金属（FPM），可以结合多铁性和极性金属的优点，因此有望为超低功耗的自旋电子学提供不可预见的机会。然而，创建具有巡回铁磁性和极性畸变之间强耦合的 FPM 的通用途径仍然有限。与此同时，此类系统中磁力的有效电气控制仍有待探索。在此，我们介绍了一种基于界面氧八面体旋转失配的设计策略，以在由两种非极性钙钛矿 SrRuO 组成的超晶格中创建本征 FPM 态</w:t>
      </w:r>
      <w:r>
        <w:rPr>
          <w:vertAlign w:val="subscript"/>
        </w:rPr>
        <w:t>3</w:t>
      </w:r>
      <w:r>
        <w:t>和钛酸钙</w:t>
      </w:r>
      <w:r>
        <w:rPr>
          <w:vertAlign w:val="subscript"/>
        </w:rPr>
        <w:t>3</w:t>
      </w:r>
      <w:r>
        <w:t>。与以前的层状氧化物系统（通常会导致面内极化）不同，我们的超晶格 FPM 直接在垂直铁磁 RuO 内表现出明显的面外极性位移</w:t>
      </w:r>
      <w:r>
        <w:rPr>
          <w:vertAlign w:val="subscript"/>
        </w:rPr>
        <w:t>6</w:t>
      </w:r>
      <w:r>
        <w:t>金属网络，使磁序和极性之间产生强烈的纠缠。因此，超晶格 FPM 中的 Rashba 自旋轨道扭矩在低至 2.5 × 10 的电流密度下引起了异常的电流驱动磁化自切换</w:t>
      </w:r>
      <w:r>
        <w:rPr>
          <w:vertAlign w:val="subscript"/>
        </w:rPr>
        <w:t>5</w:t>
      </w:r>
      <w:r>
        <w:t>A cm</w:t>
      </w:r>
      <w:r>
        <w:t xml:space="preserve"> </w:t>
      </w:r>
      <w:r>
        <w:t>−2</w:t>
      </w:r>
      <w:r>
        <w:t xml:space="preserve"> </w:t>
      </w:r>
      <w:r>
        <w:t>，比传统的重金属/铁磁体异质结构低大约两个数量级。我们的工作不仅仅是创意</w:t>
      </w:r>
    </w:p>
    <w:p>
      <w:pPr>
        <w:spacing w:before="0" w:after="200" w:lineRule="auto" w:line="276"/>
      </w:pPr>
      <w:r>
        <w:rPr>
          <w:b/>
        </w:rPr>
        <w:t xml:space="preserve">Abstract (EN): </w:t>
      </w:r>
      <w:r>
        <w:t>Materials that host intrinsic coexisting ferromagnetism, polar distortion, and metallicity, a ferromagnetic polar metal (FPM), can combine the advantages of both multiferroics and polar metals, and thus are expected to provide unforeseen opportunities for spintronics with ultra‐low‐power consumption. However, generalizable routes for creating FPMs with strong coupling between itinerant ferromagnetism and polar distortions are still limited. Meanwhile, efficient electrical control of magnetism in such systems remains unexplored. Herein, we introduce a design strategy based on interfacial oxygen‐octahedral‐rotation mismatch to create an intrinsic FPM state in superlattices composed of two nonpolar perovskites, SrRuO</w:t>
      </w:r>
      <w:r>
        <w:rPr>
          <w:vertAlign w:val="subscript"/>
        </w:rPr>
        <w:t>3</w:t>
      </w:r>
      <w:r>
        <w:t>and CaTiO</w:t>
      </w:r>
      <w:r>
        <w:rPr>
          <w:vertAlign w:val="subscript"/>
        </w:rPr>
        <w:t>3</w:t>
      </w:r>
      <w:r>
        <w:t>. Unlike previous layered oxide systems, which often result in in‐plane polarization, our superlattice FPM exhibits pronounced out‐of‐plane polar displacements directly within the perpendicular ferromagnetic RuO</w:t>
      </w:r>
      <w:r>
        <w:rPr>
          <w:vertAlign w:val="subscript"/>
        </w:rPr>
        <w:t>6</w:t>
      </w:r>
      <w:r>
        <w:t>metal network, enabling a strong entanglement between magnetic order and polarity. Consequently, the Rashba spin‐orbit torque in the superlattice FPM gives rise to extraordinary current‐driven magnetization self‐switching at a current density as low as 2.5 × 10</w:t>
      </w:r>
      <w:r>
        <w:rPr>
          <w:vertAlign w:val="subscript"/>
        </w:rPr>
        <w:t>5</w:t>
      </w:r>
      <w:r>
        <w:t>A cm</w:t>
      </w:r>
      <w:r>
        <w:t xml:space="preserve"> </w:t>
      </w:r>
      <w:r>
        <w:t>−2</w:t>
      </w:r>
      <w:r>
        <w:t xml:space="preserve"> </w:t>
      </w:r>
      <w:r>
        <w:t>, about two orders of magnitude lower than that of conventional heavy‐metal/ferromagnet heterostructures. Our work not only identifies a robust strategy for accessing FPM states but also provides a promising platform for exploring ultra‐low‐power spintronic devices.</w:t>
      </w:r>
    </w:p>
    <w:p>
      <w:pPr>
        <w:spacing w:before="120" w:after="120"/>
      </w:pPr>
      <w:r>
        <w:rPr>
          <w:sz w:val="18"/>
        </w:rPr>
        <w:t>——————————————————————————————————————————————————————————————————————</w:t>
      </w:r>
    </w:p>
    <w:p>
      <w:pPr>
        <w:spacing w:before="160" w:after="40" w:line="240" w:lineRule="auto"/>
      </w:pPr>
      <w:r>
        <w:rPr>
          <w:b/>
        </w:rPr>
        <w:t xml:space="preserve">[53] </w:t>
      </w:r>
      <w:hyperlink r:id="rId521">
        <w:r>
          <w:rPr>
            <w:color w:val="1155CC"/>
            <w:u w:val="single"/>
          </w:rPr>
          <w:t>Hdac3 通过去乙酰化和稳定抗凋亡蛋白 Diap1 来抑制细胞凋亡</w:t>
        </w:r>
      </w:hyperlink>
    </w:p>
    <w:p>
      <w:pPr>
        <w:spacing w:before="0" w:after="80"/>
      </w:pPr>
      <w:r>
        <w:rPr>
          <w:i/>
          <w:sz w:val="20"/>
        </w:rPr>
        <w:t>EN: Hdac3 suppresses apoptosis through deacetylating and stabilizing the antiapoptotic protein Diap1</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22">
        <w:r>
          <w:rPr>
            <w:color w:val="1155CC"/>
            <w:u w:val="single"/>
          </w:rPr>
          <w:t>10.1126/sciadv.aeg2060</w:t>
        </w:r>
      </w:hyperlink>
    </w:p>
    <w:p>
      <w:pPr>
        <w:spacing w:before="0" w:after="120"/>
      </w:pPr>
      <w:r>
        <w:rPr>
          <w:b/>
        </w:rPr>
        <w:t xml:space="preserve">Notes: </w:t>
      </w:r>
      <w:r>
        <w:t>abstract_source=crossref</w:t>
      </w:r>
    </w:p>
    <w:p>
      <w:pPr>
        <w:spacing w:before="0" w:after="80" w:lineRule="auto" w:line="276"/>
      </w:pPr>
      <w:r>
        <w:rPr>
          <w:b/>
        </w:rPr>
        <w:t xml:space="preserve">摘要（ZH）: </w:t>
      </w:r>
      <w:r>
        <w:t>细胞凋亡是一种高度保守的过程，可以消除生理和病理条件下不需要的或受损的细胞。细胞凋亡失调会导致发育异常和各种疾病，例如神经变性和癌症。</w:t>
      </w:r>
      <w:r>
        <w:t xml:space="preserve"> </w:t>
      </w:r>
      <w:r>
        <w:t>果蝇</w:t>
      </w:r>
      <w:r>
        <w:t xml:space="preserve"> </w:t>
      </w:r>
      <w:r>
        <w:t>细胞凋亡抑制剂 1 (Diap1) 通过抑制半胱天冬酶并防止细胞凋亡，在细胞存活中发挥着至关重要的作用。然而，在应激条件下，促死亡蛋白 Rpr、Hid 和 Grim (RHG) 通过拮抗 Diap1 诱导细胞凋亡。尽管 Diap1 是细胞凋亡途径的关键组成部分，但控制 Diap1 稳定性的机制仍然未知。在这里，我们发现损失</w:t>
      </w:r>
      <w:r>
        <w:t xml:space="preserve"> </w:t>
      </w:r>
      <w:r>
        <w:t>HDAC3</w:t>
      </w:r>
      <w:r>
        <w:t xml:space="preserve"> </w:t>
      </w:r>
      <w:r>
        <w:t>导致细胞凋亡的激活，而表达 Diap1 可完全阻断细胞凋亡。虽然Hdac3同时定位于细胞质和细胞核，但只有细胞质的Hdac3能够抑制细胞凋亡诱导的细胞凋亡。</w:t>
      </w:r>
      <w:r>
        <w:t xml:space="preserve"> </w:t>
      </w:r>
      <w:r>
        <w:t>HDAC3</w:t>
      </w:r>
      <w:r>
        <w:t xml:space="preserve"> </w:t>
      </w:r>
      <w:r>
        <w:t>缺陷、RHG 过度表达或 X 射线照射。这一发现表明 Hdac3 发挥抗凋亡作用，独立于其典型的表观遗传功能。损失</w:t>
      </w:r>
      <w:r>
        <w:t xml:space="preserve"> </w:t>
      </w:r>
      <w:r>
        <w:t>HDAC3</w:t>
      </w:r>
      <w:r>
        <w:t xml:space="preserve"> </w:t>
      </w:r>
      <w:r>
        <w:t>减少 Diap1 蛋白，通过引入细胞质 Hdac3 来挽救 Diap1 蛋白。脱乙酰酶活性是 Hdac3 抑制细胞凋亡所必需的。从机制上讲，Hdac3 与 Diap1 相互作用，去除 Diap1 上 K315 的乙酰基，从而提高其稳定性。与野生型Diap1相比，乙酰基缺陷突变体Diap1-K315R表现出更强的</w:t>
      </w:r>
    </w:p>
    <w:p>
      <w:pPr>
        <w:spacing w:before="0" w:after="200" w:lineRule="auto" w:line="276"/>
      </w:pPr>
      <w:r>
        <w:rPr>
          <w:b/>
        </w:rPr>
        <w:t xml:space="preserve">Abstract (EN): </w:t>
      </w:r>
      <w:r>
        <w:t>Apoptosis is a highly conserved process that eliminates unwanted or damaged cells in both physiological and pathological conditions. Dysregulation of apoptosis leads to developmental abnormalities and various diseases, such as neurodegeneration and cancer.</w:t>
      </w:r>
      <w:r>
        <w:t xml:space="preserve"> </w:t>
      </w:r>
      <w:r>
        <w:t>Drosophila</w:t>
      </w:r>
      <w:r>
        <w:t xml:space="preserve"> </w:t>
      </w:r>
      <w:r>
        <w:t>inhibitor of apoptosis 1 (Diap1) plays a crucial role in cell survival by inhibiting caspases and preventing apoptosis. However, under stress conditions, the prodeath proteins Rpr, Hid, and Grim (RHG) induce apoptosis by antagonizing Diap1. Despite being a key component of the apoptotic pathway, the mechanism that controls the stability of Diap1 remains unknown. Here, we find that loss of</w:t>
      </w:r>
      <w:r>
        <w:t xml:space="preserve"> </w:t>
      </w:r>
      <w:r>
        <w:t>hdac3</w:t>
      </w:r>
      <w:r>
        <w:t xml:space="preserve"> </w:t>
      </w:r>
      <w:r>
        <w:t>results in the activation of apoptosis, which is completely blocked by expressing Diap1. Although Hdac3 localizes in both the cell cytoplasm and nucleus, only the cytoplasmic Hdac3 is able to suppress apoptosis induced by</w:t>
      </w:r>
      <w:r>
        <w:t xml:space="preserve"> </w:t>
      </w:r>
      <w:r>
        <w:t>hdac3</w:t>
      </w:r>
      <w:r>
        <w:t xml:space="preserve"> </w:t>
      </w:r>
      <w:r>
        <w:t>deficiency, RHG overexpression, or x-ray irradiation. This finding indicates that Hdac3 exerts an antiapoptotic role independent of its canonical epigenetic functions. Loss of</w:t>
      </w:r>
      <w:r>
        <w:t xml:space="preserve"> </w:t>
      </w:r>
      <w:r>
        <w:t>hdac3</w:t>
      </w:r>
      <w:r>
        <w:t xml:space="preserve"> </w:t>
      </w:r>
      <w:r>
        <w:t>decreases Diap1 protein, which is rescued by introducing cytoplasmic Hdac3. The deacetylase activity is necessary for Hdac3 to suppress apoptosis. Mechanistically, Hdac3 interacts with Diap1 to remove the acetyl group from K315 on Diap1, thereby increasing its stability. Compared with the wild-type Diap1, the acetyl-deficient mutant Diap1-K315R exhibits stronger stability and antiapoptotic activity. Last, RHG proteins compete with Hdac3 for Diap1 interaction, directing Diap1 toward degradation and triggering apoptosis. Together, these findings not only reveal the involvement of Diap1 acetylation modification in apoptosis regulation but also clarify the role of Hdac3 in apoptosis.</w:t>
      </w:r>
    </w:p>
    <w:p>
      <w:pPr>
        <w:spacing w:before="120" w:after="120"/>
      </w:pPr>
      <w:r>
        <w:rPr>
          <w:sz w:val="18"/>
        </w:rPr>
        <w:t>——————————————————————————————————————————————————————————————————————</w:t>
      </w:r>
    </w:p>
    <w:p>
      <w:pPr>
        <w:spacing w:before="160" w:after="40" w:line="240" w:lineRule="auto"/>
      </w:pPr>
      <w:r>
        <w:rPr>
          <w:b/>
        </w:rPr>
        <w:t xml:space="preserve">[54] </w:t>
      </w:r>
      <w:hyperlink r:id="rId523">
        <w:r>
          <w:rPr>
            <w:color w:val="1155CC"/>
            <w:u w:val="single"/>
          </w:rPr>
          <w:t>基因组结构变异将经典生物入侵者从种群瓶颈中拯救出来</w:t>
        </w:r>
      </w:hyperlink>
    </w:p>
    <w:p>
      <w:pPr>
        <w:spacing w:before="0" w:after="80"/>
      </w:pPr>
      <w:r>
        <w:rPr>
          <w:i/>
          <w:sz w:val="20"/>
        </w:rPr>
        <w:t>EN: Genomic structural variation rescues a classic biological invader from a population bottleneck</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24">
        <w:r>
          <w:rPr>
            <w:color w:val="1155CC"/>
            <w:u w:val="single"/>
          </w:rPr>
          <w:t>10.1126/sciadv.aed3656</w:t>
        </w:r>
      </w:hyperlink>
    </w:p>
    <w:p>
      <w:pPr>
        <w:spacing w:before="0" w:after="120"/>
      </w:pPr>
      <w:r>
        <w:rPr>
          <w:b/>
        </w:rPr>
        <w:t xml:space="preserve">Notes: </w:t>
      </w:r>
      <w:r>
        <w:t>abstract_source=crossref</w:t>
      </w:r>
    </w:p>
    <w:p>
      <w:pPr>
        <w:spacing w:before="0" w:after="80" w:lineRule="auto" w:line="276"/>
      </w:pPr>
      <w:r>
        <w:rPr>
          <w:b/>
        </w:rPr>
        <w:t xml:space="preserve">摘要（ZH）: </w:t>
      </w:r>
      <w:r>
        <w:t>入侵遗传学提出了一个经典的悖论：尽管存在严重的种群瓶颈，物种如何成功传播？棕色树蛇（</w:t>
      </w:r>
      <w:r>
        <w:t xml:space="preserve"> </w:t>
      </w:r>
      <w:r>
        <w:t>不规则博伊加</w:t>
      </w:r>
      <w:r>
        <w:t xml:space="preserve"> </w:t>
      </w:r>
      <w:r>
        <w:t>）在关岛就是这种现象的一个显着例子，只有少数人被引入。我们表明，该种群经历了一个极端的瓶颈，大约一半的基因组表现出纯合性，与受保护的物种相当。尽管如此，我们还是发现了近 19,000 个基因组结构变异形式的广泛多样性，这些变异影响的基因组范围几乎是单核苷酸变异的八倍，并为“拯救”种群免遭近亲繁殖导致的衰退提供了材料。结构变异密度在基因启动子中最高，重组和DNA修复经常发生，为基因连锁多样性的快速进化提供了机制。这种多样性富含对适应性免疫和嗅觉至关重要的基因，这表明关键染色体区域的基因组多样性可以拯救种群免于近亲繁殖。这项工作对入侵生物学和保护遗传学从业者具有重要意义。</w:t>
      </w:r>
    </w:p>
    <w:p>
      <w:pPr>
        <w:spacing w:before="0" w:after="200" w:lineRule="auto" w:line="276"/>
      </w:pPr>
      <w:r>
        <w:rPr>
          <w:b/>
        </w:rPr>
        <w:t xml:space="preserve">Abstract (EN): </w:t>
      </w:r>
      <w:r>
        <w:t>Invasion genetics presents a classic paradox: How do species successfully spread despite severe population bottlenecks? The brown treesnake (</w:t>
      </w:r>
      <w:r>
        <w:t xml:space="preserve"> </w:t>
      </w:r>
      <w:r>
        <w:t>Boiga irregularis</w:t>
      </w:r>
      <w:r>
        <w:t xml:space="preserve"> </w:t>
      </w:r>
      <w:r>
        <w:t>) in Guam represents a notable example of this phenomenon, having been introduced with only a handful of individuals. We show that the population endured an extreme bottleneck, with roughly half of the genome exhibiting runs of homozygosity, comparable to species of conservation concern. Despite this, we uncovered extensive diversity in the form of nearly 19,000 genomic structural variants, which affect almost eight times more of the genome than single-nucleotide variants and provide material for “rescuing” the population from inbreeding-driven declines. Structural variant density was highest in gene promoters, where recombination and DNA repair often occur, providing a mechanism for rapid evolution of gene-linked diversity. This diversity is enriched in genes vital for adaptive immunity and olfaction, suggesting genomic diversity in key chromosomal regions can rescue populations from inbreeding. This work has critical implications for invasion biology and conservation genetics practitioners.</w:t>
      </w:r>
    </w:p>
    <w:p>
      <w:pPr>
        <w:spacing w:before="120" w:after="120"/>
      </w:pPr>
      <w:r>
        <w:rPr>
          <w:sz w:val="18"/>
        </w:rPr>
        <w:t>——————————————————————————————————————————————————————————————————————</w:t>
      </w:r>
    </w:p>
    <w:p>
      <w:pPr>
        <w:spacing w:before="160" w:after="40" w:line="240" w:lineRule="auto"/>
      </w:pPr>
      <w:r>
        <w:rPr>
          <w:b/>
        </w:rPr>
        <w:t xml:space="preserve">[55] </w:t>
      </w:r>
      <w:hyperlink r:id="rId525">
        <w:r>
          <w:rPr>
            <w:color w:val="1155CC"/>
            <w:u w:val="single"/>
          </w:rPr>
          <w:t>离子应激的基因编码传感器将细胞质子动力学与睡眠联系起来</w:t>
        </w:r>
      </w:hyperlink>
    </w:p>
    <w:p>
      <w:pPr>
        <w:spacing w:before="0" w:after="80"/>
      </w:pPr>
      <w:r>
        <w:rPr>
          <w:i/>
          <w:sz w:val="20"/>
        </w:rPr>
        <w:t>EN: A genetically encoded sensor of ionic stress links cellular proton dynamics to sleep</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26">
        <w:r>
          <w:rPr>
            <w:color w:val="1155CC"/>
            <w:u w:val="single"/>
          </w:rPr>
          <w:t>10.1126/sciadv.aef3219</w:t>
        </w:r>
      </w:hyperlink>
    </w:p>
    <w:p>
      <w:pPr>
        <w:spacing w:before="0" w:after="120"/>
      </w:pPr>
      <w:r>
        <w:rPr>
          <w:b/>
        </w:rPr>
        <w:t xml:space="preserve">Notes: </w:t>
      </w:r>
      <w:r>
        <w:t>abstract_source=crossref</w:t>
      </w:r>
    </w:p>
    <w:p>
      <w:pPr>
        <w:spacing w:before="0" w:after="80" w:lineRule="auto" w:line="276"/>
      </w:pPr>
      <w:r>
        <w:rPr>
          <w:b/>
        </w:rPr>
        <w:t xml:space="preserve">摘要（ZH）: </w:t>
      </w:r>
      <w:r>
        <w:t>尽管针对特定细胞离子的生物传感器已广泛使用，但实时监测活生物体中的整体离子强度仍然具有挑战性。在这里，我们提出了一种基因编码的核易位离子传感器（GENTIS），可以直接可视化体内离子应力。使用该传感器并通过自动化微流体平台进行纵向跟踪，我们发现</w:t>
      </w:r>
      <w:r>
        <w:t xml:space="preserve"> </w:t>
      </w:r>
      <w:r>
        <w:t>秀丽隐杆线虫</w:t>
      </w:r>
      <w:r>
        <w:t xml:space="preserve"> </w:t>
      </w:r>
      <w:r>
        <w:t>幼虫在蜕皮过程中肠道离子强度高度同步、有节奏地升高，在此阶段发生发育定时睡眠。通过抑制液泡型腺苷三磷酸酶 (V-ATPase) 来积累胞质质子，从而触发 GENTIS 核转位并引起行为静止，其特征是进食、运动和睡眠活跃神经元的激活减少。顶膜 V-ATP 酶在蜕皮和应激过程中会自然分解，这些条件会导致质子积累和睡眠。值得注意的是，这种与质子相关的睡眠受到铵质子缓冲的抑制。总之，这些发现使 GENTIS 成为跟踪体内离子强度动态的强大工具，并揭示质子离子节律有助于睡眠调节。</w:t>
      </w:r>
    </w:p>
    <w:p>
      <w:pPr>
        <w:spacing w:before="0" w:after="200" w:lineRule="auto" w:line="276"/>
      </w:pPr>
      <w:r>
        <w:rPr>
          <w:b/>
        </w:rPr>
        <w:t xml:space="preserve">Abstract (EN): </w:t>
      </w:r>
      <w:r>
        <w:t>Although biosensors for specific cellular ions are widely available, real-time monitoring of overall ionic strength in living organisms remains challenging. Here, we present a genetically encoded nuclear translocation ionic sensor (GENTIS) that enables direct visualization of ionic stress in vivo. Using this sensor alongside longitudinal tracking via an automated microfluidic platform, we find that</w:t>
      </w:r>
      <w:r>
        <w:t xml:space="preserve"> </w:t>
      </w:r>
      <w:r>
        <w:t>Caenorhabditis elegans</w:t>
      </w:r>
      <w:r>
        <w:t xml:space="preserve"> </w:t>
      </w:r>
      <w:r>
        <w:t>larvae experience highly synchronized, rhythmic elevations in intestinal ionic strength during the molt, a stage during which developmentally timed sleep occurs. Cytosolic proton accumulation through inhibition of vacuolar-type adenosine triphosphatases (V-ATPases) triggers GENTIS nuclear translocation and evokes behavioral quiescence, characterized by reduced feeding, locomotion, and activation of sleep-active neurons. Apical membrane V-ATPases naturally undergo disassembly during molting and stress, conditions that cause proton accumulation and sleep. Notably, this proton-linked sleep is suppressed by proton buffering with ammonium. Together, these findings establish GENTIS as a powerful tool for tracking ionic strength dynamics in vivo and reveal that proton ionic rhythms contribute to the regulation of sleep.</w:t>
      </w:r>
    </w:p>
    <w:p>
      <w:pPr>
        <w:spacing w:before="120" w:after="120"/>
      </w:pPr>
      <w:r>
        <w:rPr>
          <w:sz w:val="18"/>
        </w:rPr>
        <w:t>——————————————————————————————————————————————————————————————————————</w:t>
      </w:r>
    </w:p>
    <w:p>
      <w:pPr>
        <w:spacing w:before="160" w:after="40" w:line="240" w:lineRule="auto"/>
      </w:pPr>
      <w:r>
        <w:rPr>
          <w:b/>
        </w:rPr>
        <w:t xml:space="preserve">[56] </w:t>
      </w:r>
      <w:hyperlink r:id="rId527">
        <w:r>
          <w:rPr>
            <w:color w:val="1155CC"/>
            <w:u w:val="single"/>
          </w:rPr>
          <w:t>全新世海洋-大气耦合和地中海对大西洋环流的敏感性：青铜时代晚期崩溃的教训</w:t>
        </w:r>
      </w:hyperlink>
    </w:p>
    <w:p>
      <w:pPr>
        <w:spacing w:before="0" w:after="80"/>
      </w:pPr>
      <w:r>
        <w:rPr>
          <w:i/>
          <w:sz w:val="20"/>
        </w:rPr>
        <w:t>EN: Holocene ocean-atmosphere coupling and Mediterranean sensitivity to Atlantic circulation: Lessons from the Late Bronze Age collapse</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28">
        <w:r>
          <w:rPr>
            <w:color w:val="1155CC"/>
            <w:u w:val="single"/>
          </w:rPr>
          <w:t>10.1126/sciadv.aed5439</w:t>
        </w:r>
      </w:hyperlink>
    </w:p>
    <w:p>
      <w:pPr>
        <w:spacing w:before="0" w:after="120"/>
      </w:pPr>
      <w:r>
        <w:rPr>
          <w:b/>
        </w:rPr>
        <w:t xml:space="preserve">Notes: </w:t>
      </w:r>
      <w:r>
        <w:t>abstract_source=crossref</w:t>
      </w:r>
    </w:p>
    <w:p>
      <w:pPr>
        <w:spacing w:before="0" w:after="80" w:lineRule="auto" w:line="276"/>
      </w:pPr>
      <w:r>
        <w:rPr>
          <w:b/>
        </w:rPr>
        <w:t xml:space="preserve">摘要（ZH）: </w:t>
      </w:r>
      <w:r>
        <w:t>气候变化深刻影响了半干旱东地中海地区的社会。代理记录表明，全新世中期的持续干燥在公元前 1250 年左右达到了严重干旱的顶峰，这与青铜时代晚期的崩溃（公元前 1300 至 900 年）同时发生。利用 EC-Earth3-Tr8K 瞬态全新世模拟，我们重建了区域水文气候演化及其潜在机制。该模型再现了逐渐轨道驱动的干旱化，整个地区空间异质，黎凡特持续干燥，但由于冷却引起的蒸散量下降，巴尔干和安纳托利亚部分地区的有效湿度增加。叠加在这一长期趋势之上的是极端干旱事件，这些事件是由于大西洋内部变化在百年到千年时间尺度上的一致而引起的，加剧了本已干旱的背景状态的干燥。这些结果提供了基于模型的证据，表明大西洋内部变率的演化幅度和相位结构如何在全新世中晚期重塑东地中海水文气候。我们证明，当生态和社会阈值被跨越时，海洋变化可能表现为突然的区域危机。</w:t>
      </w:r>
    </w:p>
    <w:p>
      <w:pPr>
        <w:spacing w:before="0" w:after="200" w:lineRule="auto" w:line="276"/>
      </w:pPr>
      <w:r>
        <w:rPr>
          <w:b/>
        </w:rPr>
        <w:t xml:space="preserve">Abstract (EN): </w:t>
      </w:r>
      <w:r>
        <w:t>Climate variability has profoundly influenced societies in the semiarid Eastern Mediterranean. Proxy records indicate progressive mid-Holocene drying culminating in severe droughts ∼1250 BCE, coincident with the Late Bronze Age collapse (1300 to 900 BCE). Using the EC-Earth3-Tr8K transient Holocene simulation, we reconstruct regional hydroclimate evolution and its underlying mechanisms. The model reproduces a gradual orbitally driven aridification, spatially heterogeneous across the region, with persistent drying in the Levant but enhanced effective moisture in parts of the Balkans and Anatolia due to cooling-induced evapotranspiration decline. Superimposed on this long-term trend are extreme drought events, which arise from the alignment of Atlantic internal variability across centennial to millennial timescales, amplifying drying on an already arid background state. These results provide model-based evidence of how evolving amplitude and phase structure of Atlantic internal variability reshaped Eastern Mediterranean hydroclimate through the mid-to-late Holocene. We demonstrate that oceanic variability can manifest as abrupt regional crises when ecological and societal thresholds are crossed.</w:t>
      </w:r>
    </w:p>
    <w:p>
      <w:pPr>
        <w:spacing w:before="120" w:after="120"/>
      </w:pPr>
      <w:r>
        <w:rPr>
          <w:sz w:val="18"/>
        </w:rPr>
        <w:t>——————————————————————————————————————————————————————————————————————</w:t>
      </w:r>
    </w:p>
    <w:p>
      <w:pPr>
        <w:spacing w:before="160" w:after="40" w:line="240" w:lineRule="auto"/>
      </w:pPr>
      <w:r>
        <w:rPr>
          <w:b/>
        </w:rPr>
        <w:t xml:space="preserve">[57] </w:t>
      </w:r>
      <w:hyperlink r:id="rId529">
        <w:r>
          <w:rPr>
            <w:color w:val="1155CC"/>
            <w:u w:val="single"/>
          </w:rPr>
          <w:t>CtBP1-S/BARS驱动的膜裂变的分子机制及其代谢配体的细胞控制</w:t>
        </w:r>
      </w:hyperlink>
    </w:p>
    <w:p>
      <w:pPr>
        <w:spacing w:before="0" w:after="80"/>
      </w:pPr>
      <w:r>
        <w:rPr>
          <w:i/>
          <w:sz w:val="20"/>
        </w:rPr>
        <w:t>EN: Molecular mechanism of CtBP1-S/BARS–driven membrane fission and its cellular control by metabolic ligands</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30">
        <w:r>
          <w:rPr>
            <w:color w:val="1155CC"/>
            <w:u w:val="single"/>
          </w:rPr>
          <w:t>10.1126/sciadv.aee0624</w:t>
        </w:r>
      </w:hyperlink>
    </w:p>
    <w:p>
      <w:pPr>
        <w:spacing w:before="0" w:after="120"/>
      </w:pPr>
      <w:r>
        <w:rPr>
          <w:b/>
        </w:rPr>
        <w:t xml:space="preserve">Notes: </w:t>
      </w:r>
      <w:r>
        <w:t>abstract_source=crossref</w:t>
      </w:r>
    </w:p>
    <w:p>
      <w:pPr>
        <w:spacing w:before="0" w:after="80" w:lineRule="auto" w:line="276"/>
      </w:pPr>
      <w:r>
        <w:rPr>
          <w:b/>
        </w:rPr>
        <w:t xml:space="preserve">摘要（ZH）: </w:t>
      </w:r>
      <w:r>
        <w:t>CtBP1-S/BARS（C 端结合蛋白 1-S/Brefeldin A ADP-核糖基化底物）是一种兼职蛋白，在膜运输和基因调控中发挥关键作用。我们表明，CtBP1-S/BARS 将酶促脂质重塑[溶血磷脂酸 (LPA) 转化为磷脂酸 (PA)] 与膜变形耦合以驱动裂变，并且这种活性直接受代谢配体控制。 CtBP1-S/BARS 以单体或二聚体形式存在。单体酰基 CoA 结合形式通过将酰基转移酶依赖性 LPA 转化为 PA 转化与插入富含 PA 的膜中的两亲性螺旋相结合来驱动膜裂变。在代谢应激下，烟酰胺腺嘌呤二核苷酸 (NADH) 结合减少会引发二聚化和结构重排，从而禁用裂变，从而能够结合调节细胞凋亡和能量代谢的转录因子。这种 NADH/酰基辅酶A 竞争可能通过单一构象变化来协调运输关闭与基因表达程序。在完整细胞中，增加的 NADH 促进二聚体/四聚体 CtBP1-S/BARS 的核积累，而升高的酰基辅酶 A 有利于细胞质、膜相关单体，表明辅因子的可用性决定了生理和应激条件下的蛋白质功能。这项工作揭示了膜运输与转录控制整合的结构基础，展示了进化如何将不同的细胞功能嵌入到统一的分子途径中。</w:t>
      </w:r>
    </w:p>
    <w:p>
      <w:pPr>
        <w:spacing w:before="0" w:after="200" w:lineRule="auto" w:line="276"/>
      </w:pPr>
      <w:r>
        <w:rPr>
          <w:b/>
        </w:rPr>
        <w:t xml:space="preserve">Abstract (EN): </w:t>
      </w:r>
      <w:r>
        <w:t>CtBP1-S/BARS (C-terminal binding protein 1-S/Brefeldin A ADP-Ribosylation Substrate) is a moonlighting protein with key roles in membrane trafficking and gene regulation. We show that CtBP1-S/BARS couples enzymatic lipid remodeling [lysophosphatidic acid (LPA)–to–phosphatidic acid (PA) conversion] with membrane deformation to drive fission and that this activity is directly controlled by metabolic ligands. CtBP1-S/BARS exists as a monomer or dimer. The monomeric, acyl-CoA–bound form drives membrane fission by coupling acyltransferase-dependent LPA-to-PA conversion with amphipathic helix insertion into PA-enriched membranes. Under metabolic stress, reduced nicotinamide adenine dinucleotide (NADH) binding triggers dimerization and structural rearrangements that disable fission, enabling the binding of transcription factors regulating apoptosis and energy metabolism. This NADH/acyl-CoA competition likely coordinates trafficking shutdown with gene expression programs through a single conformational change. In intact cells, increased NADH promotes nuclear accumulation of dimeric/tetrameric CtBP1-S/BARS, whereas elevated acyl-CoA favors the cytosolic, membrane-associated monomer, indicating that cofactor availability determines protein function under physiological and stress conditions. This work reveals the structural basis for integrating membrane transport with transcriptional control, demonstrating how evolution embeds distinct cellular functions into a unified molecular pathway.</w:t>
      </w:r>
    </w:p>
    <w:p>
      <w:pPr>
        <w:spacing w:before="120" w:after="120"/>
      </w:pPr>
      <w:r>
        <w:rPr>
          <w:sz w:val="18"/>
        </w:rPr>
        <w:t>——————————————————————————————————————————————————————————————————————</w:t>
      </w:r>
    </w:p>
    <w:p>
      <w:pPr>
        <w:spacing w:before="160" w:after="40" w:line="240" w:lineRule="auto"/>
      </w:pPr>
      <w:r>
        <w:rPr>
          <w:b/>
        </w:rPr>
        <w:t xml:space="preserve">[58] </w:t>
      </w:r>
      <w:hyperlink r:id="rId531">
        <w:r>
          <w:rPr>
            <w:color w:val="1155CC"/>
            <w:u w:val="single"/>
          </w:rPr>
          <w:t>单纯疱疹病毒糖蛋白B的天然构象景观和启动机制</w:t>
        </w:r>
      </w:hyperlink>
    </w:p>
    <w:p>
      <w:pPr>
        <w:spacing w:before="0" w:after="80"/>
      </w:pPr>
      <w:r>
        <w:rPr>
          <w:i/>
          <w:sz w:val="20"/>
        </w:rPr>
        <w:t>EN: The native conformational landscape and priming mechanism of herpes simplex virus glycoprotein B</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32">
        <w:r>
          <w:rPr>
            <w:color w:val="1155CC"/>
            <w:u w:val="single"/>
          </w:rPr>
          <w:t>10.1126/sciadv.aed8023</w:t>
        </w:r>
      </w:hyperlink>
    </w:p>
    <w:p>
      <w:pPr>
        <w:spacing w:before="0" w:after="120"/>
      </w:pPr>
      <w:r>
        <w:rPr>
          <w:b/>
        </w:rPr>
        <w:t xml:space="preserve">Notes: </w:t>
      </w:r>
      <w:r>
        <w:t>abstract_source=crossref</w:t>
      </w:r>
    </w:p>
    <w:p>
      <w:pPr>
        <w:spacing w:before="0" w:after="80" w:lineRule="auto" w:line="276"/>
      </w:pPr>
      <w:r>
        <w:rPr>
          <w:b/>
        </w:rPr>
        <w:t xml:space="preserve">摘要（ZH）: </w:t>
      </w:r>
      <w:r>
        <w:t>疱疹病毒的糖蛋白 B (gB) 在病毒进入过程中介导与宿主细胞的膜融合。将 gB 稳定在融合前构象是疫苗开发的主要策略。虽然几种人类疱疹病毒的融合前 gB 结构已被解决，但 gB 的天然构象景观和结构动力学仍然很大程度上未知。在这里，我们报告了来自病毒颗粒的 1 型单纯疱疹病毒 (HSV-1) gB 的冷冻电镜结构，揭示了主要的预融合状态和少数中间、引发状态的群体。 α-疱疹病毒所特有的束缚螺旋可交联相邻的原聚体并稳定这些构象。我们命名为深度引发状态的下游中间体在突变体中被捕获，并表明中央螺旋的结构变化驱动融合环从膜近端区域脱离，从而启动 gB 进行膜插入。利用这些结构见解，我们设计了锁定在不同构象状态的 gB 突变体。我们的研究结果为设计更接近于传染性病毒的基于 gB 的疫苗提供了一个图谱。</w:t>
      </w:r>
    </w:p>
    <w:p>
      <w:pPr>
        <w:spacing w:before="0" w:after="200" w:lineRule="auto" w:line="276"/>
      </w:pPr>
      <w:r>
        <w:rPr>
          <w:b/>
        </w:rPr>
        <w:t xml:space="preserve">Abstract (EN): </w:t>
      </w:r>
      <w:r>
        <w:t>Glycoprotein B (gB) of herpesviruses mediates membrane fusion with host cells during viral entry. Stabilizing gB in its prefusion conformation is a primary strategy for vaccine development. While prefusion-like gB structures of several human herpesviruses have been solved, the native conformational landscape and structural dynamics of gB remain largely unknown. Here, we report cryo–electron microscopy structures of herpes simplex virus type 1 (HSV-1) gB from virions, revealing a predominant prefusion state and a minor population of an intermediate, primed state. Unique to α-herpesviruses, a tethering helix cross-links adjacent protomers and stabilizes these conformations. A further downstream intermediate we named as the deep-primed state was captured in a mutant and showed that structural changes in the central helices drive the disengagement of the fusion loops from the membrane-proximal regions, priming gB for membrane insertion. Leveraging these structural insights, we engineered gB mutants locked in distinct conformational states. Our findings provide an atlas for designing gB-based vaccines more closely mimicking the infectious virus.</w:t>
      </w:r>
    </w:p>
    <w:p>
      <w:pPr>
        <w:spacing w:before="120" w:after="120"/>
      </w:pPr>
      <w:r>
        <w:rPr>
          <w:sz w:val="18"/>
        </w:rPr>
        <w:t>——————————————————————————————————————————————————————————————————————</w:t>
      </w:r>
    </w:p>
    <w:p>
      <w:pPr>
        <w:spacing w:before="160" w:after="40" w:line="240" w:lineRule="auto"/>
      </w:pPr>
      <w:r>
        <w:rPr>
          <w:b/>
        </w:rPr>
        <w:t xml:space="preserve">[59] </w:t>
      </w:r>
      <w:hyperlink r:id="rId533">
        <w:r>
          <w:rPr>
            <w:color w:val="1155CC"/>
            <w:u w:val="single"/>
          </w:rPr>
          <w:t>植物转录因子的纳米簇能够实现强而特异性的 DNA 结合</w:t>
        </w:r>
      </w:hyperlink>
    </w:p>
    <w:p>
      <w:pPr>
        <w:spacing w:before="0" w:after="80"/>
      </w:pPr>
      <w:r>
        <w:rPr>
          <w:i/>
          <w:sz w:val="20"/>
        </w:rPr>
        <w:t>EN: Nanoclustering of a plant transcription factor enables strong yet specific DNA binding</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34">
        <w:r>
          <w:rPr>
            <w:color w:val="1155CC"/>
            <w:u w:val="single"/>
          </w:rPr>
          <w:t>10.1126/sciadv.aed7904</w:t>
        </w:r>
      </w:hyperlink>
    </w:p>
    <w:p>
      <w:pPr>
        <w:spacing w:before="0" w:after="120"/>
      </w:pPr>
      <w:r>
        <w:rPr>
          <w:b/>
        </w:rPr>
        <w:t xml:space="preserve">Notes: </w:t>
      </w:r>
      <w:r>
        <w:t>abstract_source=crossref</w:t>
      </w:r>
    </w:p>
    <w:p>
      <w:pPr>
        <w:spacing w:before="0" w:after="80" w:lineRule="auto" w:line="276"/>
      </w:pPr>
      <w:r>
        <w:rPr>
          <w:b/>
        </w:rPr>
        <w:t xml:space="preserve">摘要（ZH）: </w:t>
      </w:r>
      <w:r>
        <w:t>转录因子 (TF) 传统上被描述为识别并结合特定 DNA 序列以调节转录的单聚或寡聚单元。新出现的证据表明，许多转录因子可以进行液相分离，从而产生通过不同机制结合 DNA 的冷凝物。对于生长素反应因子（ARF），即典型的植物转录因子，两种情况的证据都存在，但其中哪种情况在植物核中起作用尚不清楚。在这里，我们演示使用 MpARF2</w:t>
      </w:r>
      <w:r>
        <w:t xml:space="preserve"> </w:t>
      </w:r>
      <w:r>
        <w:t>地钱</w:t>
      </w:r>
      <w:r>
        <w:t xml:space="preserve"> </w:t>
      </w:r>
      <w:r>
        <w:t>第三种情况是可行的：MpARF2 在生理条件下形成纳米级簇。纳米簇结合了其他两种情况无法访问的 DNA 结合特征：高亲和力、开关样和序列特异性。我们的结果表明纳米簇作为一种机制，使 TF 具有转录调控所需的 DNA 结合特性。</w:t>
      </w:r>
    </w:p>
    <w:p>
      <w:pPr>
        <w:spacing w:before="0" w:after="200" w:lineRule="auto" w:line="276"/>
      </w:pPr>
      <w:r>
        <w:rPr>
          <w:b/>
        </w:rPr>
        <w:t xml:space="preserve">Abstract (EN): </w:t>
      </w:r>
      <w:r>
        <w:t>Transcription factors (TFs) are traditionally depicted as mono- or oligomeric units that recognize and bind specific DNA sequences to regulate transcription. Emerging evidence suggests that many TFs can undergo liquid phase separation, resulting in condensates that bind DNA through a different mechanism. For the auxin response factors (ARFs), canonical plant TFs, evidence for both scenarios exists, but which of these scenarios is operational in the plant nucleus is unclear. Here, we demonstrate using MpARF2 of</w:t>
      </w:r>
      <w:r>
        <w:t xml:space="preserve"> </w:t>
      </w:r>
      <w:r>
        <w:t>Marchantia polymorpha</w:t>
      </w:r>
      <w:r>
        <w:t xml:space="preserve"> </w:t>
      </w:r>
      <w:r>
        <w:t>that a third scenario is operational: MpARF2 forms nanoscopic clusters under physiological conditions. Nanoclusters combine DNA binding features that cannot be accessed by the other two scenarios: high-affinity, switch-like, and sequence-specific. Our results suggest nanoclustering as a mechanism that equips TFs with the DNA binding properties necessary for transcriptional regulation.</w:t>
      </w:r>
    </w:p>
    <w:p>
      <w:pPr>
        <w:spacing w:before="120" w:after="120"/>
      </w:pPr>
      <w:r>
        <w:rPr>
          <w:sz w:val="18"/>
        </w:rPr>
        <w:t>——————————————————————————————————————————————————————————————————————</w:t>
      </w:r>
    </w:p>
    <w:p>
      <w:pPr>
        <w:spacing w:before="160" w:after="40" w:line="240" w:lineRule="auto"/>
      </w:pPr>
      <w:r>
        <w:rPr>
          <w:b/>
        </w:rPr>
        <w:t xml:space="preserve">[60] </w:t>
      </w:r>
      <w:hyperlink r:id="rId535">
        <w:r>
          <w:rPr>
            <w:color w:val="1155CC"/>
            <w:u w:val="single"/>
          </w:rPr>
          <w:t>使用工程金属酶立体选择性合成多种阻转异构体化合物的生物催化平台</w:t>
        </w:r>
      </w:hyperlink>
    </w:p>
    <w:p>
      <w:pPr>
        <w:spacing w:before="0" w:after="80"/>
      </w:pPr>
      <w:r>
        <w:rPr>
          <w:i/>
          <w:sz w:val="20"/>
        </w:rPr>
        <w:t>EN: A biocatalytic platform for the stereoselective synthesis of diverse atropisomeric compounds using engineered metalloenzymes</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36">
        <w:r>
          <w:rPr>
            <w:color w:val="1155CC"/>
            <w:u w:val="single"/>
          </w:rPr>
          <w:t>10.1126/sciadv.aeg3025</w:t>
        </w:r>
      </w:hyperlink>
    </w:p>
    <w:p>
      <w:pPr>
        <w:spacing w:before="0" w:after="120"/>
      </w:pPr>
      <w:r>
        <w:rPr>
          <w:b/>
        </w:rPr>
        <w:t xml:space="preserve">Notes: </w:t>
      </w:r>
      <w:r>
        <w:t>abstract_source=crossref</w:t>
      </w:r>
    </w:p>
    <w:p>
      <w:pPr>
        <w:spacing w:before="0" w:after="80" w:lineRule="auto" w:line="276"/>
      </w:pPr>
      <w:r>
        <w:rPr>
          <w:b/>
        </w:rPr>
        <w:t xml:space="preserve">摘要（ZH）: </w:t>
      </w:r>
      <w:r>
        <w:t>阻转异构化合物广泛分布于天然产物和药物中，是不对称催化中的关键支架。尽管它们具有显着的结构多样性，但目前的合成工作主要集中在C-C联芳基阻转异构体上，而其他类别的阻转异构体化合物的合成却很少被探索。生物催化可以精确控制反应的立体选择性，然而，其在阻转异构化合物合成中的应用仍处于早期阶段。在这项工作中，我们报告了一个多功能的生物催化平台，该平台集成了金属酶催化的还原反应，以获取多种结构多样的阻转异构体化合物，包括C-N阻转异构体、二芳基醚和苯乙烯衍生物，具有高产率和优异的对映选择性。分子动力学模拟为高立体选择性的起源提供了机制上的见解，这项研究扩展了金属酶催化的新性质转化的范围，用于合成有价值的分子。</w:t>
      </w:r>
    </w:p>
    <w:p>
      <w:pPr>
        <w:spacing w:before="0" w:after="200" w:lineRule="auto" w:line="276"/>
      </w:pPr>
      <w:r>
        <w:rPr>
          <w:b/>
        </w:rPr>
        <w:t xml:space="preserve">Abstract (EN): </w:t>
      </w:r>
      <w:r>
        <w:t>Atropisomeric compounds are widely distributed in natural products and pharmaceuticals and serve as key scaffolds in asymmetric catalysis. Despite their remarkable structural diversity, current synthetic efforts have primarily focused on C–C biaryl atropisomers, while the synthesis of other classes of atropisomeric compounds has been much less explored. Biocatalysis offers precise control over the stereoselectivity of reactions, however, its application in the synthesis of atropisomeric compounds remains at an early stage. In this work, we report a versatile biocatalytic platform that integrates metalloenzyme-catalyzed reduction reactions to access a broad array of structurally diverse atropisomeric compounds, including C–N atropisomers, diaryl ethers, and styrene derivatives, with high yields and excellent enantioselectivities. Molecular dynamics simulations provided mechanistic insights into the origin of the high stereoselectivity, and this study expands the repertoire of metalloenzyme-catalyzed, new-to-nature transformations for the synthesis of valuable molecules.</w:t>
      </w:r>
    </w:p>
    <w:p>
      <w:pPr>
        <w:spacing w:before="120" w:after="120"/>
      </w:pPr>
      <w:r>
        <w:rPr>
          <w:sz w:val="18"/>
        </w:rPr>
        <w:t>——————————————————————————————————————————————————————————————————————</w:t>
      </w:r>
    </w:p>
    <w:p>
      <w:pPr>
        <w:spacing w:before="160" w:after="40" w:line="240" w:lineRule="auto"/>
      </w:pPr>
      <w:r>
        <w:rPr>
          <w:b/>
        </w:rPr>
        <w:t xml:space="preserve">[61] </w:t>
      </w:r>
      <w:hyperlink r:id="rId537">
        <w:r>
          <w:rPr>
            <w:color w:val="1155CC"/>
            <w:u w:val="single"/>
          </w:rPr>
          <w:t>能量辅助 CRISPR 切割和益生菌囊泡信号传导平台：微生物组重编程以实现稳态</w:t>
        </w:r>
      </w:hyperlink>
    </w:p>
    <w:p>
      <w:pPr>
        <w:spacing w:before="0" w:after="80"/>
      </w:pPr>
      <w:r>
        <w:rPr>
          <w:i/>
          <w:sz w:val="20"/>
        </w:rPr>
        <w:t>EN: Energy-assisted CRISPR cleavage and probiotic vesicle signaling platform: Microbiome reprogramming for homeostasis</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38">
        <w:r>
          <w:rPr>
            <w:color w:val="1155CC"/>
            <w:u w:val="single"/>
          </w:rPr>
          <w:t>10.1126/sciadv.aef1760</w:t>
        </w:r>
      </w:hyperlink>
    </w:p>
    <w:p>
      <w:pPr>
        <w:spacing w:before="0" w:after="120"/>
      </w:pPr>
      <w:r>
        <w:rPr>
          <w:b/>
        </w:rPr>
        <w:t xml:space="preserve">Notes: </w:t>
      </w:r>
      <w:r>
        <w:t>abstract_source=crossref</w:t>
      </w:r>
    </w:p>
    <w:p>
      <w:pPr>
        <w:spacing w:before="0" w:after="80" w:lineRule="auto" w:line="276"/>
      </w:pPr>
      <w:r>
        <w:rPr>
          <w:b/>
        </w:rPr>
        <w:t xml:space="preserve">摘要（ZH）: </w:t>
      </w:r>
      <w:r>
        <w:t>病原体感染会导致微生物失调和持续炎症，由于精确根除病原体和恢复微生物群的困难，给治疗带来了挑战。尽管基于 CRISPR 的疗法能够实现病原体特异性抗菌靶向，但其治疗病原体感染的有效性受到复杂微生物生态系统、穿透病原体屏障、维持能量密集型细胞内裂解以及病原体清除后恢复微生物平衡等方面的困难的限制。在这里，我们通过封装来设计一个益生菌囊泡协同 CRISPR 平台</w:t>
      </w:r>
      <w:r>
        <w:t xml:space="preserve"> </w:t>
      </w:r>
      <w:r>
        <w:t>gtfB</w:t>
      </w:r>
      <w:r>
        <w:t xml:space="preserve"> </w:t>
      </w:r>
      <w:r>
        <w:t>-靶向益生菌和致病菌混合细胞外囊泡内的 CRISPR 质粒</w:t>
      </w:r>
      <w:r>
        <w:t xml:space="preserve"> </w:t>
      </w:r>
      <w:r>
        <w:t>变形链球菌</w:t>
      </w:r>
      <w:r>
        <w:t xml:space="preserve"> </w:t>
      </w:r>
      <w:r>
        <w:t>。病原体衍生的囊泡成分能够通过</w:t>
      </w:r>
      <w:r>
        <w:t xml:space="preserve"> </w:t>
      </w:r>
      <w:r>
        <w:t>变形链球菌</w:t>
      </w:r>
      <w:r>
        <w:t xml:space="preserve"> </w:t>
      </w:r>
      <w:r>
        <w:t>，促进毒力基因的细胞内裂解</w:t>
      </w:r>
      <w:r>
        <w:t xml:space="preserve"> </w:t>
      </w:r>
      <w:r>
        <w:t>gtfB</w:t>
      </w:r>
      <w:r>
        <w:t xml:space="preserve"> </w:t>
      </w:r>
      <w:r>
        <w:t>。囊泡携带的内源性三磷酸腺苷 (ATP) 可增强 CRISPR 活性，放大靶向 DNA 切割，从而有效、选择性地消除病原体。益生菌衍生的囊泡成分进一步重塑群体感应网络和免疫力，恢复微生物稳态。这种基于益生菌囊泡的策略将 ATP 增强的 CRISPR 切割与微生物组和免疫调节相结合，为微生物组相关疾病提供了下一代治疗范例。</w:t>
      </w:r>
    </w:p>
    <w:p>
      <w:pPr>
        <w:spacing w:before="0" w:after="200" w:lineRule="auto" w:line="276"/>
      </w:pPr>
      <w:r>
        <w:rPr>
          <w:b/>
        </w:rPr>
        <w:t xml:space="preserve">Abstract (EN): </w:t>
      </w:r>
      <w:r>
        <w:t>Pathogenic infections drive microbial dysbiosis and persistent inflammation, posing therapeutic challenges due to difficulties in precise pathogen eradication and microbiome restoration. Although CRISPR-based therapeutics enable pathogen-specific antibacterial targeting, their effectiveness in treating pathogenic infections is constrained by difficulties in navigating complex microbial ecosystems, penetrating pathogenic barriers, sustaining energy-intensive intracellular cleavage, and, critically, restoring microbial balance after pathogen clearance. Here, we engineer a probiotic vesicle-synergized CRISPR platform by encapsulating</w:t>
      </w:r>
      <w:r>
        <w:t xml:space="preserve"> </w:t>
      </w:r>
      <w:r>
        <w:t>gtfB</w:t>
      </w:r>
      <w:r>
        <w:t xml:space="preserve"> </w:t>
      </w:r>
      <w:r>
        <w:t>-targeting CRISPR plasmids within hybrid extracellular vesicles from probiotics and pathogenic</w:t>
      </w:r>
      <w:r>
        <w:t xml:space="preserve"> </w:t>
      </w:r>
      <w:r>
        <w:t>Streptococcus mutans</w:t>
      </w:r>
      <w:r>
        <w:t xml:space="preserve"> </w:t>
      </w:r>
      <w:r>
        <w:t>. The pathogen-derived vesicle component enables targeted uptake by</w:t>
      </w:r>
      <w:r>
        <w:t xml:space="preserve"> </w:t>
      </w:r>
      <w:r>
        <w:t>S. mutans</w:t>
      </w:r>
      <w:r>
        <w:t xml:space="preserve"> </w:t>
      </w:r>
      <w:r>
        <w:t>, facilitating intracellular cleavage of the virulence gene</w:t>
      </w:r>
      <w:r>
        <w:t xml:space="preserve"> </w:t>
      </w:r>
      <w:r>
        <w:t>gtfB</w:t>
      </w:r>
      <w:r>
        <w:t xml:space="preserve"> </w:t>
      </w:r>
      <w:r>
        <w:t>. Vesicle-carried endogenous adenosine triphosphate (ATP) boosts CRISPR activity, amplifying targeted DNA cleavage for potent and selective pathogen elimination. Probiotic-derived vesicle components further remodel quorum-sensing networks and immunity, restoring microbial homeostasis. This probiotic vesicle-based strategy integrates ATP-enhanced CRISPR cleavage with microbiome and immune modulation, offering a next-generation therapeutic paradigm for microbiome-associated diseases.</w:t>
      </w:r>
    </w:p>
    <w:p>
      <w:pPr>
        <w:spacing w:before="120" w:after="120"/>
      </w:pPr>
      <w:r>
        <w:rPr>
          <w:sz w:val="18"/>
        </w:rPr>
        <w:t>——————————————————————————————————————————————————————————————————————</w:t>
      </w:r>
    </w:p>
    <w:p>
      <w:pPr>
        <w:spacing w:before="160" w:after="40" w:line="240" w:lineRule="auto"/>
      </w:pPr>
      <w:r>
        <w:rPr>
          <w:b/>
        </w:rPr>
        <w:t xml:space="preserve">[62] </w:t>
      </w:r>
      <w:hyperlink r:id="rId539">
        <w:r>
          <w:rPr>
            <w:color w:val="1155CC"/>
            <w:u w:val="single"/>
          </w:rPr>
          <w:t>装载不是递送：细胞内药物保留和迁移能力控制基于巨噬细胞的药物递送</w:t>
        </w:r>
      </w:hyperlink>
    </w:p>
    <w:p>
      <w:pPr>
        <w:spacing w:before="0" w:after="80"/>
      </w:pPr>
      <w:r>
        <w:rPr>
          <w:i/>
          <w:sz w:val="20"/>
        </w:rPr>
        <w:t>EN: Loading is not delivering: Intracellular drug retention and migration capacity govern macrophage-based drug delivery</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40">
        <w:r>
          <w:rPr>
            <w:color w:val="1155CC"/>
            <w:u w:val="single"/>
          </w:rPr>
          <w:t>10.1126/sciadv.aec0429</w:t>
        </w:r>
      </w:hyperlink>
    </w:p>
    <w:p>
      <w:pPr>
        <w:spacing w:before="0" w:after="120"/>
      </w:pPr>
      <w:r>
        <w:rPr>
          <w:b/>
        </w:rPr>
        <w:t xml:space="preserve">Notes: </w:t>
      </w:r>
      <w:r>
        <w:t>abstract_source=crossref</w:t>
      </w:r>
    </w:p>
    <w:p>
      <w:pPr>
        <w:spacing w:before="0" w:after="80" w:lineRule="auto" w:line="276"/>
      </w:pPr>
      <w:r>
        <w:rPr>
          <w:b/>
        </w:rPr>
        <w:t xml:space="preserve">摘要（ZH）: </w:t>
      </w:r>
      <w:r>
        <w:t>活细胞因其主动靶向能力而被越来越多地探索作为药物载体，但体外强大的细胞内负载通常无法转化为体内功效。在这里，我们通过用具有相同细胞内质量和匹配释放动力学的纳米和微米药物加载巨噬细胞来解决这种脱节。定量跟踪显示，体外保留高估了体内稳定性：负载纳米药物的巨噬细胞在回输后损失了高达 83% 的有效负载，几乎是体外观察到的损失的两倍。纳米药物负载还会增加巨噬细胞的氧化应激，从而损害趋化迁移。相比之下，微药物在细胞内持续≥7天，并保留巨噬细胞向发炎部位的迁移。使用活体成像，我们提供了以前无法获得的血管轮回的时空证据，同时保留了货物。这些特性在全身和局部炎症模型中转化为卓越的功效。我们的研究结果强调，有效的基于细胞的药物递送需要超越吸收来评估体内药物的持久性及其对细胞迁移的影响。</w:t>
      </w:r>
    </w:p>
    <w:p>
      <w:pPr>
        <w:spacing w:before="0" w:after="200" w:lineRule="auto" w:line="276"/>
      </w:pPr>
      <w:r>
        <w:rPr>
          <w:b/>
        </w:rPr>
        <w:t xml:space="preserve">Abstract (EN): </w:t>
      </w:r>
      <w:r>
        <w:t>Living cells are increasingly explored as drug carriers for their active targeting capacity, yet robust intracellular loading in vitro often fails to translate into efficacy in vivo. Here, we address this disconnect by loading macrophages with nano- and microdrugs with equal intracellular mass and matched release kinetics. Quantitative tracking revealed that in vitro retention overestimates in vivo stability: Nanodrug-loaded macrophages lost up to 83% of their payload after reinfusion, nearly double the loss observed in vitro. Nanodrug loading also elevated oxidative stress in macrophages, thereby impairing chemotactic migration. By contrast, microdrugs persisted intracellularly for ≥7 days and preserved macrophage migration toward inflamed sites. Using intravital imaging, we provided previously unavailable spatiotemporal evidence of vascular transmigration while retaining cargo. These properties translated into superior efficacy in systemic and localized inflammation models. Our findings underscore that effective cell-based drug delivery requires looking beyond uptake to evaluate in vivo cargo persistence and its impact on cell migration.</w:t>
      </w:r>
    </w:p>
    <w:p>
      <w:pPr>
        <w:spacing w:before="120" w:after="120"/>
      </w:pPr>
      <w:r>
        <w:rPr>
          <w:sz w:val="18"/>
        </w:rPr>
        <w:t>——————————————————————————————————————————————————————————————————————</w:t>
      </w:r>
    </w:p>
    <w:p>
      <w:pPr>
        <w:spacing w:before="160" w:after="40" w:line="240" w:lineRule="auto"/>
      </w:pPr>
      <w:r>
        <w:rPr>
          <w:b/>
        </w:rPr>
        <w:t xml:space="preserve">[63] </w:t>
      </w:r>
      <w:hyperlink r:id="rId541">
        <w:r>
          <w:rPr>
            <w:color w:val="1155CC"/>
            <w:u w:val="single"/>
          </w:rPr>
          <w:t>胶体群在垂直墙上的集体攀爬</w:t>
        </w:r>
      </w:hyperlink>
    </w:p>
    <w:p>
      <w:pPr>
        <w:spacing w:before="0" w:after="80"/>
      </w:pPr>
      <w:r>
        <w:rPr>
          <w:i/>
          <w:sz w:val="20"/>
        </w:rPr>
        <w:t>EN: Collective climbing of colloidal swarms on the vertical wall</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42">
        <w:r>
          <w:rPr>
            <w:color w:val="1155CC"/>
            <w:u w:val="single"/>
          </w:rPr>
          <w:t>10.1126/sciadv.aed9832</w:t>
        </w:r>
      </w:hyperlink>
    </w:p>
    <w:p>
      <w:pPr>
        <w:spacing w:before="0" w:after="120"/>
      </w:pPr>
      <w:r>
        <w:rPr>
          <w:b/>
        </w:rPr>
        <w:t xml:space="preserve">Notes: </w:t>
      </w:r>
      <w:r>
        <w:t>abstract_source=crossref</w:t>
      </w:r>
    </w:p>
    <w:p>
      <w:pPr>
        <w:spacing w:before="0" w:after="80" w:lineRule="auto" w:line="276"/>
      </w:pPr>
      <w:r>
        <w:rPr>
          <w:b/>
        </w:rPr>
        <w:t xml:space="preserve">摘要（ZH）: </w:t>
      </w:r>
      <w:r>
        <w:t>自组装胶体群能够攀爬垂直墙壁、穿越复杂的几何形状以及在有限的空间内操作，为新兴的生物医学应用带来了巨大的希望。然而，利用这种潜力仍然具有挑战性，因为管理垂直平面上集体行为的基本机制尚未完全了解。在这里，我们报告了磁性胶体颗粒自组装成可以攀爬垂直墙壁的群。集体攀爬行为源于粒子的密度相关速度及其在垂直表面上的特定磁相互作用。由此产生的自组装爬墙群在其前缘表现出指法不稳定性，并表现出响应环境约束的被动变形性和主动可控性。我们的研究结果促进了对活性物质系统中集体行为和复杂几何形状中非平衡自组装的理解，提供了与靶向药物输送和智能软材料设计相关的见解。</w:t>
      </w:r>
    </w:p>
    <w:p>
      <w:pPr>
        <w:spacing w:before="0" w:after="200" w:lineRule="auto" w:line="276"/>
      </w:pPr>
      <w:r>
        <w:rPr>
          <w:b/>
        </w:rPr>
        <w:t xml:space="preserve">Abstract (EN): </w:t>
      </w:r>
      <w:r>
        <w:t>Self-assembled colloidal swarms capable of climbing vertical walls, navigating complex geometries, and operating in confined spaces hold immense promise for emerging biomedical applications. However, harnessing this potential remains challenging as the fundamental mechanisms governing collective behaviors on vertical planes are not yet fully understood. Here, we report the self-assembly of magnetic colloidal particles into swarms that can climb vertical walls. The collective climbing behavior arises from the density-dependent velocity of the particles and their specific magnetic interactions on vertical surfaces. The resulting self-assembled wall-climbing swarm exhibits fingering instabilities at its leading edge and demonstrates both passive deformability in response to environmental constraints and active controllability. Our findings advance the understanding of collective behavior in active matter systems and nonequilibrium self-assembly in complex geometries, offering insights relevant to targeted drug delivery and the design of intelligent, soft materials.</w:t>
      </w:r>
    </w:p>
    <w:p>
      <w:pPr>
        <w:spacing w:before="120" w:after="120"/>
      </w:pPr>
      <w:r>
        <w:rPr>
          <w:sz w:val="18"/>
        </w:rPr>
        <w:t>——————————————————————————————————————————————————————————————————————</w:t>
      </w:r>
    </w:p>
    <w:p>
      <w:pPr>
        <w:spacing w:before="160" w:after="40" w:line="240" w:lineRule="auto"/>
      </w:pPr>
      <w:r>
        <w:rPr>
          <w:b/>
        </w:rPr>
        <w:t xml:space="preserve">[64] </w:t>
      </w:r>
      <w:hyperlink r:id="rId543">
        <w:r>
          <w:rPr>
            <w:color w:val="1155CC"/>
            <w:u w:val="single"/>
          </w:rPr>
          <w:t>通过长读长测序解析丰富的大西洋鲱鱼中意想不到的高MHC II类多态性</w:t>
        </w:r>
      </w:hyperlink>
    </w:p>
    <w:p>
      <w:pPr>
        <w:spacing w:before="0" w:after="80"/>
      </w:pPr>
      <w:r>
        <w:rPr>
          <w:i/>
          <w:sz w:val="20"/>
        </w:rPr>
        <w:t>EN: Unheralded high MHC class II polymorphism in the abundant Atlantic herring resolved by long-read sequencing</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44">
        <w:r>
          <w:rPr>
            <w:color w:val="1155CC"/>
            <w:u w:val="single"/>
          </w:rPr>
          <w:t>10.1126/sciadv.aea2862</w:t>
        </w:r>
      </w:hyperlink>
    </w:p>
    <w:p>
      <w:pPr>
        <w:spacing w:before="0" w:after="120"/>
      </w:pPr>
      <w:r>
        <w:rPr>
          <w:b/>
        </w:rPr>
        <w:t xml:space="preserve">Notes: </w:t>
      </w:r>
      <w:r>
        <w:t>abstract_source=crossref</w:t>
      </w:r>
    </w:p>
    <w:p>
      <w:pPr>
        <w:spacing w:before="0" w:after="80" w:lineRule="auto" w:line="276"/>
      </w:pPr>
      <w:r>
        <w:rPr>
          <w:b/>
        </w:rPr>
        <w:t xml:space="preserve">摘要（ZH）: </w:t>
      </w:r>
      <w:r>
        <w:t>尽管主要组织相容性复合体（MHC）基因是脊椎动物中最多态性的基因，但我们仍然对多态性的程度和主要驱动它的选择机制缺乏清晰的了解。在这里，我们使用通过长读长测序解析的 29 个单倍体基因组组装来表征大西洋鲱鱼的 MHC II 基因，大西洋鲱鱼是一种远洋鱼类，也是地球上最丰富的脊椎动物之一。我们发现总共有 9 个 MHC II 位点分布在 4 条染色体上，其中 3 个由于高序列多样性（特别是在肽结合位点）以及高拷贝数变异而具有极高的多态性。这项研究表明，鲱鱼 MHC II 类基因是迄今为止在脊椎动物中描述的最多（如果不是最多）多态性的基因之一。</w:t>
      </w:r>
    </w:p>
    <w:p>
      <w:pPr>
        <w:spacing w:before="0" w:after="200" w:lineRule="auto" w:line="276"/>
      </w:pPr>
      <w:r>
        <w:rPr>
          <w:b/>
        </w:rPr>
        <w:t xml:space="preserve">Abstract (EN): </w:t>
      </w:r>
      <w:r>
        <w:t>Although major histocompatibility complex (MHC) genes are the most polymorphic genes in vertebrates, we still lack a clear understanding about the extent of polymorphism and selection mechanisms dominantly driving it. Here, we use 29 haploid genome assemblies resolved by long-read sequencing to characterize MHC II genes in Atlantic herring, a pelagic fish and one of the most abundant vertebrates on Earth. We found nine MHC II loci in total distributed on four chromosomes, three of which were extremely polymorphic because of high sequence diversity, in particular at peptide binding sites, along with high copy number variation. This study reveals that the herring MHC class II genes are among the most, if not the most, polymorphic so far described in vertebrates.</w:t>
      </w:r>
    </w:p>
    <w:p>
      <w:pPr>
        <w:spacing w:before="120" w:after="120"/>
      </w:pPr>
      <w:r>
        <w:rPr>
          <w:sz w:val="18"/>
        </w:rPr>
        <w:t>——————————————————————————————————————————————————————————————————————</w:t>
      </w:r>
    </w:p>
    <w:p>
      <w:pPr>
        <w:spacing w:before="160" w:after="40" w:line="240" w:lineRule="auto"/>
      </w:pPr>
      <w:r>
        <w:rPr>
          <w:b/>
        </w:rPr>
        <w:t xml:space="preserve">[65] </w:t>
      </w:r>
      <w:hyperlink r:id="rId545">
        <w:r>
          <w:rPr>
            <w:color w:val="1155CC"/>
            <w:u w:val="single"/>
          </w:rPr>
          <w:t>病毒蛋白改变内吞VPS9a-Rab5途径以促进植物中的病毒感染</w:t>
        </w:r>
      </w:hyperlink>
    </w:p>
    <w:p>
      <w:pPr>
        <w:spacing w:before="0" w:after="80"/>
      </w:pPr>
      <w:r>
        <w:rPr>
          <w:i/>
          <w:sz w:val="20"/>
        </w:rPr>
        <w:t>EN: A viral protein diverts the endocytic VPS9a-Rab5 pathway to promote virus infection in plants</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46">
        <w:r>
          <w:rPr>
            <w:color w:val="1155CC"/>
            <w:u w:val="single"/>
          </w:rPr>
          <w:t>10.1126/sciadv.aeg2304</w:t>
        </w:r>
      </w:hyperlink>
    </w:p>
    <w:p>
      <w:pPr>
        <w:spacing w:before="0" w:after="120"/>
      </w:pPr>
      <w:r>
        <w:rPr>
          <w:b/>
        </w:rPr>
        <w:t xml:space="preserve">Notes: </w:t>
      </w:r>
      <w:r>
        <w:t>abstract_source=crossref</w:t>
      </w:r>
    </w:p>
    <w:p>
      <w:pPr>
        <w:spacing w:before="0" w:after="80" w:lineRule="auto" w:line="276"/>
      </w:pPr>
      <w:r>
        <w:rPr>
          <w:b/>
        </w:rPr>
        <w:t xml:space="preserve">摘要（ZH）: </w:t>
      </w:r>
      <w:r>
        <w:t>内吞作用是真核生物细胞运输和信号传导的核心，但植物病毒是否以及如何主动重新编程该途径仍不清楚。在这里，我们证明双生病毒β卫星编码的βC1重新编程宿主VPS9a-Rab5内吞模块以促进病毒感染。 βC1 与 Rab5 GTPases ARA6 和 ARA7 及其鸟嘌呤核苷酸交换因子 VPS9a 结合，稳定 VPS9a-Rab5 复合物并增强核苷酸交换。这种催化增强作用维持 Rab5 激活并驱动内体增殖，进而稳定 βC1 以支持有效的病毒复制。 Rab5 或 VPS9a 的基因破坏会损害内吞作用，减少 βC1 积累，并限制多种双生病毒的感染。总之，这些发现将VPS9a-Rab5模块定义为将宿主膜动力学与效应器稳定性和病毒DNA扩增联系起来的中央原病毒枢纽，揭示了一种意想不到的策略，其中病毒效应器放大细胞调节催化剂以重新编程病毒感染的基本细胞途径。</w:t>
      </w:r>
    </w:p>
    <w:p>
      <w:pPr>
        <w:spacing w:before="0" w:after="200" w:lineRule="auto" w:line="276"/>
      </w:pPr>
      <w:r>
        <w:rPr>
          <w:b/>
        </w:rPr>
        <w:t xml:space="preserve">Abstract (EN): </w:t>
      </w:r>
      <w:r>
        <w:t>Endocytosis is central to cellular trafficking and signaling across eukaryotes, yet whether and how plant viruses actively reprogram this pathway remains unclear. Here, we show that the geminiviral betasatellite–encoded βC1 reprograms the host VPS9a-Rab5 endocytic module to promote viral infection. βC1 associates with the Rab5 GTPases ARA6 and ARA7 as well as their guanine nucleotide exchange factor VPS9a, stabilizing the VPS9a-Rab5 complex and enhancing nucleotide exchange. This catalytic potentiation sustains Rab5 activation and drives endosome proliferation, which, in turn, stabilizes βC1 to support efficient viral replication. Genetic disruption of Rab5 or VPS9a compromises endocytosis, reduces βC1 accumulation, and restricts infection by multiple geminiviruses. Together, these findings define the VPS9a-Rab5 module as a central proviral hub linking host membrane dynamics to effector stability and viral DNA amplification, revealing an unanticipated strategy in which a viral effector amplifies a cellular regulatory catalyst to reprogram a fundamental cellular pathway for virus infection.</w:t>
      </w:r>
    </w:p>
    <w:p>
      <w:pPr>
        <w:spacing w:before="120" w:after="120"/>
      </w:pPr>
      <w:r>
        <w:rPr>
          <w:sz w:val="18"/>
        </w:rPr>
        <w:t>——————————————————————————————————————————————————————————————————————</w:t>
      </w:r>
    </w:p>
    <w:p>
      <w:pPr>
        <w:spacing w:before="160" w:after="40" w:line="240" w:lineRule="auto"/>
      </w:pPr>
      <w:r>
        <w:rPr>
          <w:b/>
        </w:rPr>
        <w:t xml:space="preserve">[66] </w:t>
      </w:r>
      <w:hyperlink r:id="rId547">
        <w:r>
          <w:rPr>
            <w:color w:val="1155CC"/>
            <w:u w:val="single"/>
          </w:rPr>
          <w:t>用于近红外圆偏振光电检测的偶极 D-A 发色团中氢键诱导的相互作用层次切换</w:t>
        </w:r>
      </w:hyperlink>
    </w:p>
    <w:p>
      <w:pPr>
        <w:spacing w:before="0" w:after="80"/>
      </w:pPr>
      <w:r>
        <w:rPr>
          <w:i/>
          <w:sz w:val="20"/>
        </w:rPr>
        <w:t>EN: Hydrogen‐Bond‐Induced Switching of Interaction Hierarchy in Dipolar D–A Chromophores for NIR Circularly Polarized Photodetection</w:t>
      </w:r>
    </w:p>
    <w:p>
      <w:pPr>
        <w:spacing w:before="0" w:after="120"/>
      </w:pPr>
      <w:r>
        <w:rPr>
          <w:b/>
        </w:rPr>
        <w:t xml:space="preserve">Source: </w:t>
      </w:r>
      <w:r>
        <w:t>Wiley: Angewandte Chemie International Edition: Table of Contents</w:t>
      </w:r>
      <w:r>
        <w:t xml:space="preserve">    </w:t>
      </w:r>
      <w:r>
        <w:rPr>
          <w:b/>
        </w:rPr>
        <w:t xml:space="preserve">Pub date: </w:t>
      </w:r>
      <w:r>
        <w:t>2026-07-24 07:00:00+00:00</w:t>
      </w:r>
      <w:r>
        <w:t xml:space="preserve">    </w:t>
      </w:r>
      <w:r>
        <w:rPr>
          <w:b/>
        </w:rPr>
        <w:t xml:space="preserve">DOI: </w:t>
      </w:r>
      <w:hyperlink r:id="rId548">
        <w:r>
          <w:rPr>
            <w:color w:val="1155CC"/>
            <w:u w:val="single"/>
          </w:rPr>
          <w:t>10.1002/anie.1147827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偶极供体-受体（D-A）发色团表现出强烈的近红外（NIR）吸收，但本质上偏向于静电互补异质缔合——一种本质上抑制手性光学响应的堆积模式。在这里，我们表明，可以通过氢键诱导的控制超分子组装的相互作用层次结构的切换来克服这种偏好。在基于可可碱的偶极 D-A 发色团中，定向酰胺介导的氢键的引入建立了热力学上有利的同型缔合，该缔合超越了偶极互补性，从而将首选的堆积模式从异质组织转变为同质组织。这种相互作用层次结构的切换驱动了协同同手性组装，并实现了放大的近红外手性光学响应。将这些组件集成到异质结器件中，可将超分子结构重组转化为螺旋性相关的电输出，从而提供高效的近红外圆偏振光电检测。这些结果表明相互作用层次反转是控制偶极生色团中的关联模式和手性光学功能的有效策略。</w:t>
      </w:r>
    </w:p>
    <w:p>
      <w:pPr>
        <w:spacing w:before="0" w:after="200" w:lineRule="auto" w:line="276"/>
      </w:pPr>
      <w:r>
        <w:rPr>
          <w:b/>
        </w:rPr>
        <w:t xml:space="preserve">Abstract (EN): </w:t>
      </w:r>
      <w:r>
        <w:t>Dipolar donor–acceptor (D–A) chromophores exhibit strong near‐infrared (NIR) absorption but are intrinsically biased toward electrostatically complementary hetero‐association—a packing mode that inherently suppresses chiroptical responses. Here, we show that this preference can be overcome through hydrogen‐bond‐induced switching of the interaction hierarchy governing supramolecular assembly. In croconaine‐based dipolar D–A chromophores, the introduction of directional amide‐mediated hydrogen bonding establishes a thermodynamically favored homo‐association that overrides dipolar complementarity, thereby switching the preferred packing mode from hetero‐ to homo‐organization. This interaction hierarchy switching drives cooperative homochiral assembly and enables amplified NIR chiroptical responses. Integration of these assemblies into heterojunction devices translates the supramolecular structural reorganization into helicity‐dependent electrical outputs, affording efficient NIR circularly polarized photodetection. These results identify interaction hierarchy inversion as an effective strategy for controlling association modes and chiroptical functions in dipolar chromophores.</w:t>
      </w:r>
    </w:p>
    <w:p>
      <w:pPr>
        <w:spacing w:before="120" w:after="120"/>
      </w:pPr>
      <w:r>
        <w:rPr>
          <w:sz w:val="18"/>
        </w:rPr>
        <w:t>——————————————————————————————————————————————————————————————————————</w:t>
      </w:r>
    </w:p>
    <w:p>
      <w:pPr>
        <w:spacing w:before="160" w:after="40" w:line="240" w:lineRule="auto"/>
      </w:pPr>
      <w:r>
        <w:rPr>
          <w:b/>
        </w:rPr>
        <w:t xml:space="preserve">[67] </w:t>
      </w:r>
      <w:hyperlink r:id="rId549">
        <w:r>
          <w:rPr>
            <w:color w:val="1155CC"/>
            <w:u w:val="single"/>
          </w:rPr>
          <w:t>N 端处理解锁了 Spl 蛋白酶中底物参与的全局动态</w:t>
        </w:r>
      </w:hyperlink>
    </w:p>
    <w:p>
      <w:pPr>
        <w:spacing w:before="0" w:after="80"/>
      </w:pPr>
      <w:r>
        <w:rPr>
          <w:i/>
          <w:sz w:val="20"/>
        </w:rPr>
        <w:t>EN: N-terminal processing unlocks global dynamics for substrate engagement in Spl proteases</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50">
        <w:r>
          <w:rPr>
            <w:color w:val="1155CC"/>
            <w:u w:val="single"/>
          </w:rPr>
          <w:t>10.1126/sciadv.aeh5197</w:t>
        </w:r>
      </w:hyperlink>
    </w:p>
    <w:p>
      <w:pPr>
        <w:spacing w:before="0" w:after="120"/>
      </w:pPr>
      <w:r>
        <w:rPr>
          <w:b/>
        </w:rPr>
        <w:t xml:space="preserve">Notes: </w:t>
      </w:r>
      <w:r>
        <w:t>abstract_source=crossref</w:t>
      </w:r>
    </w:p>
    <w:p>
      <w:pPr>
        <w:spacing w:before="0" w:after="80" w:lineRule="auto" w:line="276"/>
      </w:pPr>
      <w:r>
        <w:rPr>
          <w:b/>
        </w:rPr>
        <w:t xml:space="preserve">摘要（ZH）: </w:t>
      </w:r>
      <w:r>
        <w:t>金黄色葡萄球菌</w:t>
      </w:r>
      <w:r>
        <w:t xml:space="preserve"> </w:t>
      </w:r>
      <w:r>
        <w:t>分泌类似于真核颗粒酶的丝氨酸蛋白酶样酶家族（SplA 至 SplF），但氨基末端加工激活该亚类的机制仍未解决。结构研究表明，插入加工过的氨基末端后，活性位点几何形状没有发生可检测到的变化，从而造成了如何实现催化能力的长期悖论。在这里，我们将 SplB 确定为该家族在致病性甲氧西林耐药菌中表达最高的成员。</w:t>
      </w:r>
      <w:r>
        <w:t xml:space="preserve"> </w:t>
      </w:r>
      <w:r>
        <w:t>金黄色葡萄球菌</w:t>
      </w:r>
      <w:r>
        <w:t xml:space="preserve"> </w:t>
      </w:r>
      <w:r>
        <w:t>应变并用它来定义激活的基础。溶液核磁共振波谱显示，精确的氨基末端处理会触发长程变构网络，将氨基末端与约 20 埃外的活性位点耦合，解锁全局微秒至毫秒的动力学，从而实现底物接合。分子动力学模拟揭示了这些运动背后的构象整体。最后，该动态网络的突变扰动以与结合能力的动态控制一致的方式调节底物接合和催化活性。总之，这些发现确立了动态变构作为丝氨酸蛋白酶亚类中 N 末端激活的机制。</w:t>
      </w:r>
    </w:p>
    <w:p>
      <w:pPr>
        <w:spacing w:before="0" w:after="200" w:lineRule="auto" w:line="276"/>
      </w:pPr>
      <w:r>
        <w:rPr>
          <w:b/>
        </w:rPr>
        <w:t xml:space="preserve">Abstract (EN): </w:t>
      </w:r>
      <w:r>
        <w:t>Staphylococcus aureus</w:t>
      </w:r>
      <w:r>
        <w:t xml:space="preserve"> </w:t>
      </w:r>
      <w:r>
        <w:t>secretes a family of serine protease–like enzymes (SplA to SplF) that resemble eukaryotic granzymes, yet the mechanism by which amino-terminal processing activates this subclass has remained unresolved. Structural studies show insertion of the processed amino terminus without detectable changes in active-site geometry, creating a longstanding paradox as to how catalytic competence is achieved. Here, we identify SplB as the most highly expressed member of this family in a pathogenic methicillin-resistant</w:t>
      </w:r>
      <w:r>
        <w:t xml:space="preserve"> </w:t>
      </w:r>
      <w:r>
        <w:t>S. aureus</w:t>
      </w:r>
      <w:r>
        <w:t xml:space="preserve"> </w:t>
      </w:r>
      <w:r>
        <w:t>strain and use it to define the basis of activation. Solution nuclear magnetic resonance spectroscopy shows that precise amino-terminal processing triggers a long-range allosteric network coupling the amino terminus to the active site ∼20 angstroms away, unlocking global microsecond-to-millisecond dynamics that enable substrate engagement. Molecular dynamics simulations reveal the conformational ensembles underlying these motions. Last, mutational perturbation of this dynamic network modulates substrate engagement and catalytic activity in a manner consistent with dynamic control of binding competence. Together, these findings establish dynamic allostery as the mechanism of N-terminal activation in this subclass of serine proteases.</w:t>
      </w:r>
    </w:p>
    <w:p>
      <w:pPr>
        <w:spacing w:before="120" w:after="120"/>
      </w:pPr>
      <w:r>
        <w:rPr>
          <w:sz w:val="18"/>
        </w:rPr>
        <w:t>——————————————————————————————————————————————————————————————————————</w:t>
      </w:r>
    </w:p>
    <w:p>
      <w:pPr>
        <w:spacing w:before="160" w:after="40" w:line="240" w:lineRule="auto"/>
      </w:pPr>
      <w:r>
        <w:rPr>
          <w:b/>
        </w:rPr>
        <w:t xml:space="preserve">[68] </w:t>
      </w:r>
      <w:hyperlink r:id="rId551">
        <w:r>
          <w:rPr>
            <w:color w:val="1155CC"/>
            <w:u w:val="single"/>
          </w:rPr>
          <w:t>情境感知多模式人工智能探索五个世纪艺术演变中的隐藏路径</w:t>
        </w:r>
      </w:hyperlink>
    </w:p>
    <w:p>
      <w:pPr>
        <w:spacing w:before="0" w:after="80"/>
      </w:pPr>
      <w:r>
        <w:rPr>
          <w:i/>
          <w:sz w:val="20"/>
        </w:rPr>
        <w:t>EN: Context-aware multimodal AI navigates hidden pathways in five centuries of art evolution</w:t>
      </w:r>
    </w:p>
    <w:p>
      <w:pPr>
        <w:spacing w:before="0" w:after="120"/>
      </w:pPr>
      <w:r>
        <w:rPr>
          <w:b/>
        </w:rPr>
        <w:t xml:space="preserve">Source: </w:t>
      </w:r>
      <w:r>
        <w:t>Proceedings of the National Academy of Sciences: Keyword search for query</w:t>
      </w:r>
      <w:r>
        <w:t xml:space="preserve">    </w:t>
      </w:r>
      <w:r>
        <w:rPr>
          <w:b/>
        </w:rPr>
        <w:t xml:space="preserve">Pub date: </w:t>
      </w:r>
      <w:r>
        <w:t>2026-07-24 07:00:00+00:00</w:t>
      </w:r>
      <w:r>
        <w:t xml:space="preserve">    </w:t>
      </w:r>
      <w:r>
        <w:rPr>
          <w:b/>
        </w:rPr>
        <w:t xml:space="preserve">DOI: </w:t>
      </w:r>
      <w:hyperlink r:id="rId552">
        <w:r>
          <w:rPr>
            <w:color w:val="1155CC"/>
            <w:u w:val="single"/>
          </w:rPr>
          <w:t>10.1073/pnas.2517969123</w:t>
        </w:r>
      </w:hyperlink>
    </w:p>
    <w:p>
      <w:pPr>
        <w:spacing w:before="0" w:after="120"/>
      </w:pPr>
      <w:r>
        <w:rPr>
          <w:b/>
        </w:rPr>
        <w:t xml:space="preserve">Notes: </w:t>
      </w:r>
      <w:r>
        <w:t>abstract_source=crossref</w:t>
      </w:r>
    </w:p>
    <w:p>
      <w:pPr>
        <w:spacing w:before="0" w:after="80" w:lineRule="auto" w:line="276"/>
      </w:pPr>
      <w:r>
        <w:rPr>
          <w:b/>
        </w:rPr>
        <w:t xml:space="preserve">摘要（ZH）: </w:t>
      </w:r>
      <w:r>
        <w:t>多模式生成人工智能的兴起改变了技术与艺术的交叉点，为大型艺术品提供了更丰富的见解。虽然重要的研究集中在它们的创造潜力上，但它们在潜在空间中表现艺术品的能力仍然没有得到充分检验。我们使用生成式人工智能，特别是稳定扩散，通过模型提取两种类型的潜在信息来分析 500 年的西方绘画：形式方面（例如颜色）和语境方面（例如主题）。我们的研究结果表明，与形式元素相比，上下文信息与传统艺术时期、风格和个体艺术家表现出更强的矢量对齐和方向。此外，我们还使用从绘画中提取的上下文关键词展示艺术表达如何与历史变迁保持一致。我们的生成实验将前瞻性背景注入历史艺术品中，通过合成与目标时期的风格模式一致的艺术品来验证这种向量对齐和方向。这项研究展示了多模态人工智能如何通过整合时间、文化和历史背景来量化文化知识的潜在结构，从而扩展传统的形式分析。</w:t>
      </w:r>
    </w:p>
    <w:p>
      <w:pPr>
        <w:spacing w:before="0" w:after="200" w:lineRule="auto" w:line="276"/>
      </w:pPr>
      <w:r>
        <w:rPr>
          <w:b/>
        </w:rPr>
        <w:t xml:space="preserve">Abstract (EN): </w:t>
      </w:r>
      <w:r>
        <w:t>The rise of multimodal generative AI transforms the intersection of technology and art, offering richer insights into large-scale artworks. While significant research has focused on their creative potential, their ability to represent artworks in latent spaces remains underexamined. We use generative AI, specifically Stable Diffusion, to analyze 500 y of Western paintings by extracting two types of latent information with the model: formal aspects (e.g., colors) and contextual aspects (e.g., subjects). Our findings reveal that contextual information exhibits stronger vector alignment and orientation with conventional artistic periods, styles, and individual artists than formal elements. Also, we show how artistic expression aligns with historical shifts using contextual keywords extracted from paintings. Our generative experiment, infusing prospective contexts into historical artworks, validates this vector alignment and orientation by synthesizing artworks consistent with the stylistic patterns of target periods. This study demonstrates how multimodal AI expands traditional formal analysis by integrating temporal, cultural, and historical contexts to quantify the latent structure of cultural knowledge.</w:t>
      </w:r>
    </w:p>
    <w:p>
      <w:pPr>
        <w:spacing w:before="120" w:after="120"/>
      </w:pPr>
      <w:r>
        <w:rPr>
          <w:sz w:val="18"/>
        </w:rPr>
        <w:t>——————————————————————————————————————————————————————————————————————</w:t>
      </w:r>
    </w:p>
    <w:p>
      <w:pPr>
        <w:spacing w:before="160" w:after="40" w:line="240" w:lineRule="auto"/>
      </w:pPr>
      <w:r>
        <w:rPr>
          <w:b/>
        </w:rPr>
        <w:t xml:space="preserve">[69] </w:t>
      </w:r>
      <w:hyperlink r:id="rId553">
        <w:r>
          <w:rPr>
            <w:color w:val="1155CC"/>
            <w:u w:val="single"/>
          </w:rPr>
          <w:t>空间分辨的胎儿和母体细胞对妊娠期间严重先兆子痫的贡献</w:t>
        </w:r>
      </w:hyperlink>
    </w:p>
    <w:p>
      <w:pPr>
        <w:spacing w:before="0" w:after="80"/>
      </w:pPr>
      <w:r>
        <w:rPr>
          <w:i/>
          <w:sz w:val="20"/>
        </w:rPr>
        <w:t>EN: Spatially resolved fetal and maternal cell contributions to severe preeclampsia across gestation</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54">
        <w:r>
          <w:rPr>
            <w:color w:val="1155CC"/>
            <w:u w:val="single"/>
          </w:rPr>
          <w:t>10.1126/sciadv.aed8964</w:t>
        </w:r>
      </w:hyperlink>
    </w:p>
    <w:p>
      <w:pPr>
        <w:spacing w:before="0" w:after="120"/>
      </w:pPr>
      <w:r>
        <w:rPr>
          <w:b/>
        </w:rPr>
        <w:t xml:space="preserve">Notes: </w:t>
      </w:r>
      <w:r>
        <w:t>abstract_source=crossref</w:t>
      </w:r>
    </w:p>
    <w:p>
      <w:pPr>
        <w:spacing w:before="0" w:after="80" w:lineRule="auto" w:line="276"/>
      </w:pPr>
      <w:r>
        <w:rPr>
          <w:b/>
        </w:rPr>
        <w:t xml:space="preserve">摘要（ZH）: </w:t>
      </w:r>
      <w:r>
        <w:t>先兆子痫的分子和细胞病理生理学仍然知之甚少，但越来越清楚的是，除了胎盘之外，胎儿-母体界面的其他组织也会促进这种疾病。在这里，我们通过跨时间和空间询问与疾病相关的组织和细胞类型来区分胎儿和母亲对严重先兆子痫早期和晚期表现的影响。考虑到妊娠晚期早产儿队列中的孕龄，我们发现了胎盘中协同缺氧、血管生成失衡、纤维化和异常代谢的单细胞和空间分子特征。此外，我们报告了母体免疫特征，例如线粒体功能障碍和干扰素信号传导至子宫肌层和绒毛膜羊膜，可能导致母亲的全身炎症和内皮功能障碍，而胎儿细胞与子宫肌层内皮细胞​​的相互作用受损则导致了这种情况。这些组织和细胞特异性反应是治疗的潜在目标，由于其分子表现加剧，在早期妊娠疾病中及时考虑它们可能是有益的。因此，妊娠期及时干预可以改变重度子痫前期极差的预后。</w:t>
      </w:r>
    </w:p>
    <w:p>
      <w:pPr>
        <w:spacing w:before="0" w:after="200" w:lineRule="auto" w:line="276"/>
      </w:pPr>
      <w:r>
        <w:rPr>
          <w:b/>
        </w:rPr>
        <w:t xml:space="preserve">Abstract (EN): </w:t>
      </w:r>
      <w:r>
        <w:t>The molecular and cellular pathophysiology of preeclampsia remains poorly understood, but it is increasingly clear that in addition to the placenta, other tissues of the fetal-maternal interface advance the disease. Here, we distinguish fetal and maternal contributions to the early and late presentation of severe preeclampsia by interrogating, across time and space, tissues and cell types relevant to the disease. Accounting for gestational age in a third trimester preterm cohort, we find single-cell and spatial molecular signatures of concerted hypoxia, angiogenic imbalance, fibrosis, and aberrant metabolism in the placenta. In addition, we report maternal immune signatures such as mitochondrial dysfunction and interferon signaling extending to the myometrium and chorioamniotic membranes, likely contributing to the systemic inflammation and endothelial dysfunction in the mother, with impaired fetal cell interactions with endothelial cells in the myometrium contributing to it. These tissue- and cell-specific responses are potential targets for therapy, with their prompt consideration in early gestational disease likely beneficial because of its aggravated molecular presentation. Thus, timely intervention during gestation could change the extremely poor prognosis of severe preeclampsia.</w:t>
      </w:r>
    </w:p>
    <w:p>
      <w:pPr>
        <w:spacing w:before="120" w:after="120"/>
      </w:pPr>
      <w:r>
        <w:rPr>
          <w:sz w:val="18"/>
        </w:rPr>
        <w:t>——————————————————————————————————————————————————————————————————————</w:t>
      </w:r>
    </w:p>
    <w:p>
      <w:pPr>
        <w:spacing w:before="160" w:after="40" w:line="240" w:lineRule="auto"/>
      </w:pPr>
      <w:r>
        <w:rPr>
          <w:b/>
        </w:rPr>
        <w:t xml:space="preserve">[70] </w:t>
      </w:r>
      <w:hyperlink r:id="rId555">
        <w:r>
          <w:rPr>
            <w:color w:val="1155CC"/>
            <w:u w:val="single"/>
          </w:rPr>
          <w:t>ELF3 将肾功能 GWAS 位点与适应不良的上皮炎症联系起来</w:t>
        </w:r>
      </w:hyperlink>
    </w:p>
    <w:p>
      <w:pPr>
        <w:spacing w:before="0" w:after="80"/>
      </w:pPr>
      <w:r>
        <w:rPr>
          <w:i/>
          <w:sz w:val="20"/>
        </w:rPr>
        <w:t>EN: ELF3 links kidney function GWAS loci to maladaptive epithelial inflammation</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56">
        <w:r>
          <w:rPr>
            <w:color w:val="1155CC"/>
            <w:u w:val="single"/>
          </w:rPr>
          <w:t>10.1126/sciadv.aec6741</w:t>
        </w:r>
      </w:hyperlink>
    </w:p>
    <w:p>
      <w:pPr>
        <w:spacing w:before="0" w:after="120"/>
      </w:pPr>
      <w:r>
        <w:rPr>
          <w:b/>
        </w:rPr>
        <w:t xml:space="preserve">Notes: </w:t>
      </w:r>
      <w:r>
        <w:t>abstract_source=crossref</w:t>
      </w:r>
    </w:p>
    <w:p>
      <w:pPr>
        <w:spacing w:before="0" w:after="80" w:lineRule="auto" w:line="276"/>
      </w:pPr>
      <w:r>
        <w:rPr>
          <w:b/>
        </w:rPr>
        <w:t xml:space="preserve">摘要（ZH）: </w:t>
      </w:r>
      <w:r>
        <w:t>全基因组关联研究（GWAS）已经发现了超过一千个与肾功能相关的位点，但效应基因和机制仍然很大程度上未知。在这里，我们证明</w:t>
      </w:r>
      <w:r>
        <w:t xml:space="preserve"> </w:t>
      </w:r>
      <w:r>
        <w:t>ELF3</w:t>
      </w:r>
      <w:r>
        <w:t xml:space="preserve"> </w:t>
      </w:r>
      <w:r>
        <w:t>是肾功能 GWAS 基因座的效应基因，充当受损近端小管 (iPT) 重编程的上皮促炎放大器。 E74 样因子 3 (ELF3) 的表达在小鼠模型和人类慢性肾病 (CKD) 的 iPT 中被诱导，它定义了富含炎症基因程序并被白细胞浸润包围的过渡上皮状态。有条件删除</w:t>
      </w:r>
      <w:r>
        <w:t xml:space="preserve"> </w:t>
      </w:r>
      <w:r>
        <w:t>精灵3</w:t>
      </w:r>
      <w:r>
        <w:t xml:space="preserve"> </w:t>
      </w:r>
      <w:r>
        <w:t>小鼠受伤后 iPT 积累、细胞因子产生和免疫细胞招募减少。从机制上讲，ELF3 直接结合并激活非经典核因子 κB (NF-κB) 通路的成分（</w:t>
      </w:r>
      <w:r>
        <w:t xml:space="preserve"> </w:t>
      </w:r>
      <w:r>
        <w:t>NF</w:t>
      </w:r>
      <w:r>
        <w:t xml:space="preserve"> </w:t>
      </w:r>
      <w:r>
        <w:t>κ</w:t>
      </w:r>
      <w:r>
        <w:t xml:space="preserve"> </w:t>
      </w:r>
      <w:r>
        <w:t>b2</w:t>
      </w:r>
      <w:r>
        <w:t xml:space="preserve"> </w:t>
      </w:r>
      <w:r>
        <w:t>,</w:t>
      </w:r>
      <w:r>
        <w:t xml:space="preserve"> </w:t>
      </w:r>
      <w:r>
        <w:t>地图3k14</w:t>
      </w:r>
      <w:r>
        <w:t xml:space="preserve"> </w:t>
      </w:r>
      <w:r>
        <w:t>, 和</w:t>
      </w:r>
      <w:r>
        <w:t xml:space="preserve"> </w:t>
      </w:r>
      <w:r>
        <w:t>伊尔6r</w:t>
      </w:r>
      <w:r>
        <w:t xml:space="preserve"> </w:t>
      </w:r>
      <w:r>
        <w:t>）并且是 NFκB2 核转位和细胞因子诱导所必需的。人类 CKD 肾脏的空间转录组学和免疫荧光证实 ELF3 表达与上皮炎症、疾病进展和肾功能丧失相关。这些发现共同确定了</w:t>
      </w:r>
      <w:r>
        <w:t xml:space="preserve"> </w:t>
      </w:r>
      <w:r>
        <w:t>ELF3</w:t>
      </w:r>
      <w:r>
        <w:t xml:space="preserve"> </w:t>
      </w:r>
      <w:r>
        <w:t>作为经过基因验证的效应基因，可驱动 iPT 中的炎症重编程，将其指定为 blun 的治疗靶点</w:t>
      </w:r>
    </w:p>
    <w:p>
      <w:pPr>
        <w:spacing w:before="0" w:after="200" w:lineRule="auto" w:line="276"/>
      </w:pPr>
      <w:r>
        <w:rPr>
          <w:b/>
        </w:rPr>
        <w:t xml:space="preserve">Abstract (EN): </w:t>
      </w:r>
      <w:r>
        <w:t>Genome-wide association studies (GWAS) have uncovered over a thousand loci associated with kidney function, but the effector genes and mechanisms remain largely unknown. Here, we demonstrate that</w:t>
      </w:r>
      <w:r>
        <w:t xml:space="preserve"> </w:t>
      </w:r>
      <w:r>
        <w:t>ELF3</w:t>
      </w:r>
      <w:r>
        <w:t xml:space="preserve"> </w:t>
      </w:r>
      <w:r>
        <w:t>is the effector gene at a kidney function GWAS locus and acts as an epithelial proinflammatory amplifier of the reprogramming of injured proximal tubules (iPTs). E74-like factor 3 (ELF3) expression is induced in iPTs in both mouse models and human chronic kidney disease (CKD), where it defines transitional epithelial states enriched for inflammatory gene programs and surrounded by leukocyte infiltrates. Conditional deletion of</w:t>
      </w:r>
      <w:r>
        <w:t xml:space="preserve"> </w:t>
      </w:r>
      <w:r>
        <w:t>Elf3</w:t>
      </w:r>
      <w:r>
        <w:t xml:space="preserve"> </w:t>
      </w:r>
      <w:r>
        <w:t>in mice after injury reduced iPT accumulation, cytokine production, and immune cell recruitment. Mechanistically, ELF3 directly bound and activated components of the noncanonical nuclear factor κB (NF-κB) pathway (</w:t>
      </w:r>
      <w:r>
        <w:t xml:space="preserve"> </w:t>
      </w:r>
      <w:r>
        <w:t>Nf</w:t>
      </w:r>
      <w:r>
        <w:t xml:space="preserve"> </w:t>
      </w:r>
      <w:r>
        <w:t>κ</w:t>
      </w:r>
      <w:r>
        <w:t xml:space="preserve"> </w:t>
      </w:r>
      <w:r>
        <w:t>b2</w:t>
      </w:r>
      <w:r>
        <w:t xml:space="preserve"> </w:t>
      </w:r>
      <w:r>
        <w:t>,</w:t>
      </w:r>
      <w:r>
        <w:t xml:space="preserve"> </w:t>
      </w:r>
      <w:r>
        <w:t>Map3k14</w:t>
      </w:r>
      <w:r>
        <w:t xml:space="preserve"> </w:t>
      </w:r>
      <w:r>
        <w:t>, and</w:t>
      </w:r>
      <w:r>
        <w:t xml:space="preserve"> </w:t>
      </w:r>
      <w:r>
        <w:t>Il6r</w:t>
      </w:r>
      <w:r>
        <w:t xml:space="preserve"> </w:t>
      </w:r>
      <w:r>
        <w:t>) and was required for NFκB2 nuclear translocation and cytokine induction. Spatial transcriptomics and immunofluorescence of human CKD kidneys confirmed that ELF3 expression correlates with epithelial inflammation, disease progression, and loss of kidney function. Together, these findings establish</w:t>
      </w:r>
      <w:r>
        <w:t xml:space="preserve"> </w:t>
      </w:r>
      <w:r>
        <w:t>ELF3</w:t>
      </w:r>
      <w:r>
        <w:t xml:space="preserve"> </w:t>
      </w:r>
      <w:r>
        <w:t>as a genetically validated effector gene that drives inflammatory reprogramming in iPTs, nominating it as a therapeutic target to blunt maladaptive inflammation in CKD.</w:t>
      </w:r>
    </w:p>
    <w:p>
      <w:pPr>
        <w:spacing w:before="120" w:after="120"/>
      </w:pPr>
      <w:r>
        <w:rPr>
          <w:sz w:val="18"/>
        </w:rPr>
        <w:t>——————————————————————————————————————————————————————————————————————</w:t>
      </w:r>
    </w:p>
    <w:p>
      <w:pPr>
        <w:spacing w:before="160" w:after="40" w:line="240" w:lineRule="auto"/>
      </w:pPr>
      <w:r>
        <w:rPr>
          <w:b/>
        </w:rPr>
        <w:t xml:space="preserve">[71] </w:t>
      </w:r>
      <w:hyperlink r:id="rId557">
        <w:r>
          <w:rPr>
            <w:color w:val="1155CC"/>
            <w:u w:val="single"/>
          </w:rPr>
          <w:t>BRCA1-RAD51同源DNA修复途径促进HIV-1逆转录</w:t>
        </w:r>
      </w:hyperlink>
    </w:p>
    <w:p>
      <w:pPr>
        <w:spacing w:before="0" w:after="80"/>
      </w:pPr>
      <w:r>
        <w:rPr>
          <w:i/>
          <w:sz w:val="20"/>
        </w:rPr>
        <w:t>EN: BRCA1-RAD51 homologous DNA repair pathway promotes HIV-1 reverse transcription</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58">
        <w:r>
          <w:rPr>
            <w:color w:val="1155CC"/>
            <w:u w:val="single"/>
          </w:rPr>
          <w:t>10.1126/sciadv.aea2430</w:t>
        </w:r>
      </w:hyperlink>
    </w:p>
    <w:p>
      <w:pPr>
        <w:spacing w:before="0" w:after="120"/>
      </w:pPr>
      <w:r>
        <w:rPr>
          <w:b/>
        </w:rPr>
        <w:t xml:space="preserve">Notes: </w:t>
      </w:r>
      <w:r>
        <w:t>abstract_source=crossref</w:t>
      </w:r>
    </w:p>
    <w:p>
      <w:pPr>
        <w:spacing w:before="0" w:after="80" w:lineRule="auto" w:line="276"/>
      </w:pPr>
      <w:r>
        <w:rPr>
          <w:b/>
        </w:rPr>
        <w:t xml:space="preserve">摘要（ZH）: </w:t>
      </w:r>
      <w:r>
        <w:t>HIV-1 感染会触发多种细胞途径，调节病毒复制并可能促进潜伏期。这个过程的核心是病毒RNA逆转录成DNA并整合到宿主染色质中，这两个过程都受到细胞的调节。新的证据表明同源重组 (HR) 蛋白，尤其是 RAD51，可能会影响整合前和整合后阶段。在这项研究中，我们发现 HIV-1 以 BRCA1/2 依赖性方式诱导 RAD51 核灶的快速形成，在逆转录过程中 RAD51 立即加载到病毒 DNA 上。通过 ChIP、成像和生化检测，我们证明该过程可增强病毒感染性和逆转录效率。我们的研究结果揭示了一种先前未知的细胞反应，该反应会招募病毒 DNA 修复因子，调节逆转录并影响病毒 DNA 命运。这项工作揭示了 RAD51 在调节早期 HIV-1 复制中的先前未知的作用，为宿主-病毒相互作用和潜在的治疗策略提供了见解。</w:t>
      </w:r>
    </w:p>
    <w:p>
      <w:pPr>
        <w:spacing w:before="0" w:after="200" w:lineRule="auto" w:line="276"/>
      </w:pPr>
      <w:r>
        <w:rPr>
          <w:b/>
        </w:rPr>
        <w:t xml:space="preserve">Abstract (EN): </w:t>
      </w:r>
      <w:r>
        <w:t>HIV-1 infection triggers multiple cellular pathways that modulate viral replication and may promote latency. Central to this process is the reverse transcription of the viral RNA into DNA and its integration into host chromatin, both processes being regulated by the cell. Emerging evidence suggests that homologous recombination (HR) proteins, especially RAD51, may influence both pre- and post-integration stages. In this study, we show that HIV-1 induces the rapid formation of RAD51 nuclear foci in a BRCA1/2-dependent manner, with RAD51 loading onto viral DNA immediately during reverse transcription. Using ChIP, imaging, and biochemical assays, we demonstrate that this process enhances viral infectivity and reverse transcription efficiency. Our findings reveal a previously unidentified cellular response that recruits repair factors to viral DNA, regulating reverse transcription and influencing viral DNA fate. This work uncovers a previously unknown role for RAD51 in modulating early HIV-1 replication, providing insights into host-virus interactions and potential therapeutic strategies.</w:t>
      </w:r>
    </w:p>
    <w:p>
      <w:pPr>
        <w:spacing w:before="120" w:after="120"/>
      </w:pPr>
      <w:r>
        <w:rPr>
          <w:sz w:val="18"/>
        </w:rPr>
        <w:t>——————————————————————————————————————————————————————————————————————</w:t>
      </w:r>
    </w:p>
    <w:p>
      <w:pPr>
        <w:spacing w:before="160" w:after="40" w:line="240" w:lineRule="auto"/>
      </w:pPr>
      <w:r>
        <w:rPr>
          <w:b/>
        </w:rPr>
        <w:t xml:space="preserve">[72] </w:t>
      </w:r>
      <w:hyperlink r:id="rId559">
        <w:r>
          <w:rPr>
            <w:color w:val="1155CC"/>
            <w:u w:val="single"/>
          </w:rPr>
          <w:t>MRP3 等位基因特异性甲基化驱动海洋硅藻交配类型的确定</w:t>
        </w:r>
      </w:hyperlink>
    </w:p>
    <w:p>
      <w:pPr>
        <w:spacing w:before="0" w:after="80"/>
      </w:pPr>
      <w:r>
        <w:rPr>
          <w:i/>
          <w:sz w:val="20"/>
        </w:rPr>
        <w:t>EN: Allele-specific methylation of MRP3 drives mating type determination in a marine diatom</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60">
        <w:r>
          <w:rPr>
            <w:color w:val="1155CC"/>
            <w:u w:val="single"/>
          </w:rPr>
          <w:t>10.1126/sciadv.adz2992</w:t>
        </w:r>
      </w:hyperlink>
    </w:p>
    <w:p>
      <w:pPr>
        <w:spacing w:before="0" w:after="120"/>
      </w:pPr>
      <w:r>
        <w:rPr>
          <w:b/>
        </w:rPr>
        <w:t xml:space="preserve">Notes: </w:t>
      </w:r>
      <w:r>
        <w:t>abstract_source=crossref</w:t>
      </w:r>
    </w:p>
    <w:p>
      <w:pPr>
        <w:spacing w:before="0" w:after="80" w:lineRule="auto" w:line="276"/>
      </w:pPr>
      <w:r>
        <w:rPr>
          <w:b/>
        </w:rPr>
        <w:t xml:space="preserve">摘要（ZH）: </w:t>
      </w:r>
      <w:r>
        <w:t>性别决定机制在真核细胞谱系中表现出显着的多样性。在羽状硅藻中</w:t>
      </w:r>
      <w:r>
        <w:t xml:space="preserve"> </w:t>
      </w:r>
      <w:r>
        <w:t>多纹拟菱形藻</w:t>
      </w:r>
      <w:r>
        <w:t xml:space="preserve"> </w:t>
      </w:r>
      <w:r>
        <w:t>, 性别由以下因素决定</w:t>
      </w:r>
      <w:r>
        <w:t xml:space="preserve"> </w:t>
      </w:r>
      <w:r>
        <w:t>物料需求计划3</w:t>
      </w:r>
      <w:r>
        <w:t xml:space="preserve"> </w:t>
      </w:r>
      <w:r>
        <w:t>，一种功能未知的基因，在有性交配型+（MT+）细胞中单等位表达，并在 MT− 细胞中沉默。在这里，我们描述了性位点的等位基因特异性甲基化模式，其中一个低甲基化等位基因特定于 MT+，该等位基因具有转录活性，而其他高甲基化等位基因则具有转录活性。</w:t>
      </w:r>
      <w:r>
        <w:t xml:space="preserve"> </w:t>
      </w:r>
      <w:r>
        <w:t>物料需求计划3</w:t>
      </w:r>
      <w:r>
        <w:t xml:space="preserve"> </w:t>
      </w:r>
      <w:r>
        <w:t>等位基因转录沉默。此外，全基因组甲基化景观在整个生命周期中保持稳定。用甲基化抑制剂治疗会导致</w:t>
      </w:r>
      <w:r>
        <w:t xml:space="preserve"> </w:t>
      </w:r>
      <w:r>
        <w:t>物料需求计划3</w:t>
      </w:r>
      <w:r>
        <w:t xml:space="preserve"> </w:t>
      </w:r>
      <w:r>
        <w:t>激活和部分性逆转，表明 DNA 甲基化在性别决定机制中发挥积极作用。长读长测序提高了 MT 决定区域的分辨率，突出显示了基因贫乏、重复丰富的区域，该区域可能代表原始 MT 决定位点。我们的结果提供了对性别决定机制的见解，并表明硅藻中的 DNA 甲基化比沉默重复区域具有更复杂的作用。</w:t>
      </w:r>
    </w:p>
    <w:p>
      <w:pPr>
        <w:spacing w:before="0" w:after="200" w:lineRule="auto" w:line="276"/>
      </w:pPr>
      <w:r>
        <w:rPr>
          <w:b/>
        </w:rPr>
        <w:t xml:space="preserve">Abstract (EN): </w:t>
      </w:r>
      <w:r>
        <w:t>Sex determination mechanisms exhibit remarkable diversity across eukaryotic lineages. In the pennate diatom</w:t>
      </w:r>
      <w:r>
        <w:t xml:space="preserve"> </w:t>
      </w:r>
      <w:r>
        <w:t>Pseudo-nitzschia multistriata</w:t>
      </w:r>
      <w:r>
        <w:t xml:space="preserve"> </w:t>
      </w:r>
      <w:r>
        <w:t>, sex is determined by</w:t>
      </w:r>
      <w:r>
        <w:t xml:space="preserve"> </w:t>
      </w:r>
      <w:r>
        <w:t>MRP3</w:t>
      </w:r>
      <w:r>
        <w:t xml:space="preserve"> </w:t>
      </w:r>
      <w:r>
        <w:t>, a gene with unknown function, which is monoallelically expressed in sexually competent mating type plus (MT+) cells and silenced in MT− cells. Here, we describe an allelic-specific methylation pattern at the sex locus, with a hypomethylated allele specific to the MT+ which is transcriptionally active, while the other hypermethylated</w:t>
      </w:r>
      <w:r>
        <w:t xml:space="preserve"> </w:t>
      </w:r>
      <w:r>
        <w:t>MRP3</w:t>
      </w:r>
      <w:r>
        <w:t xml:space="preserve"> </w:t>
      </w:r>
      <w:r>
        <w:t>alleles are transcriptionally silent. In addition, the genome-wide methylation landscape remains stable throughout the life cycle. Treatment with a methylation inhibitor leads to</w:t>
      </w:r>
      <w:r>
        <w:t xml:space="preserve"> </w:t>
      </w:r>
      <w:r>
        <w:t>MRP3</w:t>
      </w:r>
      <w:r>
        <w:t xml:space="preserve"> </w:t>
      </w:r>
      <w:r>
        <w:t>activation and partial sex reversal, suggesting an active role of DNA methylation in the sex determination mechanism. Long-read sequencing improved the MT-determining region resolution, highlighting a gene-poor, repeat-rich area that likely represents a primordial MT-determining locus. Our results provide insights into the mechanisms of sex determination and suggest that DNA methylation in diatoms has a more complex role than silencing repetitive regions.</w:t>
      </w:r>
    </w:p>
    <w:p>
      <w:pPr>
        <w:spacing w:before="120" w:after="120"/>
      </w:pPr>
      <w:r>
        <w:rPr>
          <w:sz w:val="18"/>
        </w:rPr>
        <w:t>——————————————————————————————————————————————————————————————————————</w:t>
      </w:r>
    </w:p>
    <w:p>
      <w:pPr>
        <w:spacing w:before="160" w:after="40" w:line="240" w:lineRule="auto"/>
      </w:pPr>
      <w:r>
        <w:rPr>
          <w:b/>
        </w:rPr>
        <w:t xml:space="preserve">[73] </w:t>
      </w:r>
      <w:hyperlink r:id="rId561">
        <w:r>
          <w:rPr>
            <w:color w:val="1155CC"/>
            <w:u w:val="single"/>
          </w:rPr>
          <w:t>足细胞病的单细胞和高分辨率空间分析揭示了足细胞损伤的核心机制</w:t>
        </w:r>
      </w:hyperlink>
    </w:p>
    <w:p>
      <w:pPr>
        <w:spacing w:before="0" w:after="80"/>
      </w:pPr>
      <w:r>
        <w:rPr>
          <w:i/>
          <w:sz w:val="20"/>
        </w:rPr>
        <w:t>EN: Single-cell and high-resolution spatial profiling of podocytopathies reveals core mechanisms of podocyte injury</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62">
        <w:r>
          <w:rPr>
            <w:color w:val="1155CC"/>
            <w:u w:val="single"/>
          </w:rPr>
          <w:t>10.1126/sciadv.adw9707</w:t>
        </w:r>
      </w:hyperlink>
    </w:p>
    <w:p>
      <w:pPr>
        <w:spacing w:before="0" w:after="120"/>
      </w:pPr>
      <w:r>
        <w:rPr>
          <w:b/>
        </w:rPr>
        <w:t xml:space="preserve">Notes: </w:t>
      </w:r>
      <w:r>
        <w:t>abstract_source=crossref</w:t>
      </w:r>
    </w:p>
    <w:p>
      <w:pPr>
        <w:spacing w:before="0" w:after="80" w:lineRule="auto" w:line="276"/>
      </w:pPr>
      <w:r>
        <w:rPr>
          <w:b/>
        </w:rPr>
        <w:t xml:space="preserve">摘要（ZH）: </w:t>
      </w:r>
      <w:r>
        <w:t>足细胞（POD）在维持肾小球滤过功能中发挥着关键作用，其损伤是进行性足细胞病（PCP）的关键驱动因素。尽管 POD 损伤具有临床重要性，但其分子和空间机制仍知之甚少。我们从五种主要 PCP 亚型患者的肾脏组织中生成了单核 RNA 测序 (snRNA-seq) 和高分辨率空间转录组 (ST) 数据集。我们的分析揭示了 PCP 亚型之间不同的分子特征、损伤相关的细胞骨架改变以及与临床结果相关的以 POD 为中心的微环境特征。通过综合分析，我们发现</w:t>
      </w:r>
      <w:r>
        <w:t xml:space="preserve"> </w:t>
      </w:r>
      <w:r>
        <w:t>偏二苯醚4DIP</w:t>
      </w:r>
      <w:r>
        <w:t xml:space="preserve"> </w:t>
      </w:r>
      <w:r>
        <w:t>作为以前未被识别的 POD 细胞骨架调节因子。通过体外和体内基因编辑的功能实验表明，PDE4DIP 通过与 AKAP9 形成支架并激活 RAS-ERK 和 AKT 信号传导来维持细胞骨架完整性。其表达与肾功能和预后相关。这项研究提供了 PCP 的全面 snRNA-seq 和高分辨率 ST 图谱，为了解 POD 损伤和识别潜在治疗靶点提供了宝贵的资源。</w:t>
      </w:r>
    </w:p>
    <w:p>
      <w:pPr>
        <w:spacing w:before="0" w:after="200" w:lineRule="auto" w:line="276"/>
      </w:pPr>
      <w:r>
        <w:rPr>
          <w:b/>
        </w:rPr>
        <w:t xml:space="preserve">Abstract (EN): </w:t>
      </w:r>
      <w:r>
        <w:t>Podocytes (PODs) play a critical role in maintaining glomerular filtration function, and their injury is a key driver of progressive podocytopathies (PCPs). Despite their clinical importance, the molecular and spatial mechanisms underlying POD injury remain poorly understood. We generated a single-nucleus RNA sequencing (snRNA-seq) and high-resolution spatial transcriptomic (ST) dataset from kidney tissues of patients with five major PCP subtypes. Our analysis revealed distinct molecular signatures among PCP subtypes, injury-related cytoskeletal alterations, and POD-centered microenvironmental features associated with clinical outcomes. Through integrative analysis, we found</w:t>
      </w:r>
      <w:r>
        <w:t xml:space="preserve"> </w:t>
      </w:r>
      <w:r>
        <w:t>PDE4DIP</w:t>
      </w:r>
      <w:r>
        <w:t xml:space="preserve"> </w:t>
      </w:r>
      <w:r>
        <w:t>as a previously unrecognized regulator of the POD cytoskeleton. Functional experiments through in vitro and in vivo gene editing demonstrated that PDE4DIP maintains cytoskeletal integrity by scaffolding with AKAP9 and activating RAS-ERK and AKT signaling. Its expression correlated with renal function and prognosis. This study provides the comprehensive snRNA-seq and high-resolution ST atlas of PCPs, offering a valuable resource for understanding POD injury and identifying potential therapeutic targets.</w:t>
      </w:r>
    </w:p>
    <w:p>
      <w:pPr>
        <w:spacing w:before="120" w:after="120"/>
      </w:pPr>
      <w:r>
        <w:rPr>
          <w:sz w:val="18"/>
        </w:rPr>
        <w:t>——————————————————————————————————————————————————————————————————————</w:t>
      </w:r>
    </w:p>
    <w:p>
      <w:pPr>
        <w:spacing w:before="160" w:after="40" w:line="240" w:lineRule="auto"/>
      </w:pPr>
      <w:r>
        <w:rPr>
          <w:b/>
        </w:rPr>
        <w:t xml:space="preserve">[74] </w:t>
      </w:r>
      <w:hyperlink r:id="rId563">
        <w:r>
          <w:rPr>
            <w:color w:val="1155CC"/>
            <w:u w:val="single"/>
          </w:rPr>
          <w:t>通过纠缠双光子的多次惰轮通过实现两倍以上的量子超分辨率显微镜</w:t>
        </w:r>
      </w:hyperlink>
    </w:p>
    <w:p>
      <w:pPr>
        <w:spacing w:before="0" w:after="80"/>
      </w:pPr>
      <w:r>
        <w:rPr>
          <w:i/>
          <w:sz w:val="20"/>
        </w:rPr>
        <w:t>EN: Above-twofold quantum super-resolution microscopy enabled by multiple idler passes with entangled biphotons</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64">
        <w:r>
          <w:rPr>
            <w:color w:val="1155CC"/>
            <w:u w:val="single"/>
          </w:rPr>
          <w:t>10.1126/sciadv.aea9457</w:t>
        </w:r>
      </w:hyperlink>
    </w:p>
    <w:p>
      <w:pPr>
        <w:spacing w:before="0" w:after="120"/>
      </w:pPr>
      <w:r>
        <w:rPr>
          <w:b/>
        </w:rPr>
        <w:t xml:space="preserve">Notes: </w:t>
      </w:r>
      <w:r>
        <w:t>abstract_source=crossref</w:t>
      </w:r>
    </w:p>
    <w:p>
      <w:pPr>
        <w:spacing w:before="0" w:after="80" w:lineRule="auto" w:line="276"/>
      </w:pPr>
      <w:r>
        <w:rPr>
          <w:b/>
        </w:rPr>
        <w:t xml:space="preserve">摘要（ZH）: </w:t>
      </w:r>
      <w:r>
        <w:t>空间分辨率定义了光学成像系统区分物体内细节的精确程度的基本限制。通过利用纠缠，量子成像的最新进展已经超越了经典的分辨率极限。然而，迄今为止，使用纠缠双光子进行两倍以上量子增强的实验演示仅限于使用物体复制或非线性的非成像实验，两者都是不切实际且低效的。在这里，我们不求助于任何一种，而是在两种系统配置中使用纠缠光子对将经典分辨率提高了两倍或四倍。虽然信号光子仅穿过包含物体的臂一次，但闲置光子穿过对称的无物体臂一次或三次。这些实验展示了通往量子相关超分辨率成像的可扩展途径，激发了对潜在机制的理论探索，并为高精度、低照度显微镜提供了机会。</w:t>
      </w:r>
    </w:p>
    <w:p>
      <w:pPr>
        <w:spacing w:before="0" w:after="200" w:lineRule="auto" w:line="276"/>
      </w:pPr>
      <w:r>
        <w:rPr>
          <w:b/>
        </w:rPr>
        <w:t xml:space="preserve">Abstract (EN): </w:t>
      </w:r>
      <w:r>
        <w:t>Spatial resolution defines the fundamental limit of how precisely optical imaging systems can distinguish details within an object. Recent advances in quantum imaging have surpassed classical resolution limits by exploiting entanglement. However, experimental demonstrations of quantum enhancement above two times using entangled biphotons have thus far been limited to nonimaging experiments that use replication of the object or nonlinearity—both are impractical and inefficient. Here, without resorting to either, we enhance the classical resolution using entangled photon pairs by either two- or fourfold in two system configurations. While the signal photons traverse the object-containing arm only once, the idler photons traverse the symmetric object-free arm either once or thrice. These experiments demonstrate a scalable route toward quantum-correlated super-resolution imaging, motivate theoretical exploration of the underlying mechanisms, and open opportunities for high-precision, low-illumination microscopy.</w:t>
      </w:r>
    </w:p>
    <w:p>
      <w:pPr>
        <w:spacing w:before="120" w:after="120"/>
      </w:pPr>
      <w:r>
        <w:rPr>
          <w:sz w:val="18"/>
        </w:rPr>
        <w:t>——————————————————————————————————————————————————————————————————————</w:t>
      </w:r>
    </w:p>
    <w:p>
      <w:pPr>
        <w:spacing w:before="160" w:after="40" w:line="240" w:lineRule="auto"/>
      </w:pPr>
      <w:r>
        <w:rPr>
          <w:b/>
        </w:rPr>
        <w:t xml:space="preserve">[75] </w:t>
      </w:r>
      <w:hyperlink r:id="rId565">
        <w:r>
          <w:rPr>
            <w:color w:val="1155CC"/>
            <w:u w:val="single"/>
          </w:rPr>
          <w:t>通过原子层沉积实现碲的范德华模板编码软外延</w:t>
        </w:r>
      </w:hyperlink>
    </w:p>
    <w:p>
      <w:pPr>
        <w:spacing w:before="0" w:after="80"/>
      </w:pPr>
      <w:r>
        <w:rPr>
          <w:i/>
          <w:sz w:val="20"/>
        </w:rPr>
        <w:t>EN: Van der Waals template–encoded soft epitaxy of tellurium enabled by atomic layer deposition</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66">
        <w:r>
          <w:rPr>
            <w:color w:val="1155CC"/>
            <w:u w:val="single"/>
          </w:rPr>
          <w:t>10.1126/sciadv.aef1430</w:t>
        </w:r>
      </w:hyperlink>
    </w:p>
    <w:p>
      <w:pPr>
        <w:spacing w:before="0" w:after="120"/>
      </w:pPr>
      <w:r>
        <w:rPr>
          <w:b/>
        </w:rPr>
        <w:t xml:space="preserve">Notes: </w:t>
      </w:r>
      <w:r>
        <w:t>abstract_source=crossref</w:t>
      </w:r>
    </w:p>
    <w:p>
      <w:pPr>
        <w:spacing w:before="0" w:after="80" w:lineRule="auto" w:line="276"/>
      </w:pPr>
      <w:r>
        <w:rPr>
          <w:b/>
        </w:rPr>
        <w:t xml:space="preserve">摘要（ZH）: </w:t>
      </w:r>
      <w:r>
        <w:t>范德华 (vdW) 外延可以将晶格失配的晶体与原子级锐利的原始界面集成在一起。然而，将这一概念转化为原子层沉积（ALD）（一种低温逐层生长的标准）仍然具有挑战性，因为前驱体会瞬时吸附在化学惰性的 vdW 基面上，导致物理吸附限制的成核和不良的晶体有序性。在这里，我们引入了扩散引导外延 ALD (Epi-ALD)，将 vdW 表面重新定义为可编程动力学热力学景观，并在 150°C 下展示了高度结晶的碲。 Epi-ALD 将表面电势编码的物理吸附与长程扩散结合起来，以促进有序成核和外延排列。尽管晶格不匹配 (&gt;3.6%)，这种“软”路径仍可实现具有原始 vdW 间隙 (∼1.4 埃) 的无应变碲外延，并可推广到多个 vdW 模板。保留 ALD 的标志性优势（包括可扩展性和均匀性），我们通过 vdW 对称工程进一步编程面内取向，以获得具有明显各向异性和手性异常特征的准单晶碲薄膜。我们的工作建立了一种通用的、低热预算的方法来集成 vdW 材料，并扩大了 ALD 范式中外延的范围。</w:t>
      </w:r>
    </w:p>
    <w:p>
      <w:pPr>
        <w:spacing w:before="0" w:after="200" w:lineRule="auto" w:line="276"/>
      </w:pPr>
      <w:r>
        <w:rPr>
          <w:b/>
        </w:rPr>
        <w:t xml:space="preserve">Abstract (EN): </w:t>
      </w:r>
      <w:r>
        <w:t>Van der Waals (vdW) epitaxy can integrate lattice-mismatched crystals with atomically sharp, pristine interfaces. However, translating this concept to atomic layer deposition (ALD), a standard for low-temperature, layer-by-layer growth, remains challenging because precursors adsorb transiently on chemically inert vdW basal planes, leading to physisorption-limited nucleation and poor crystalline ordering. Here, we introduce diffusion-steered epitaxial ALD (Epi-ALD), redefining vdW surfaces as programmable kinetic-thermodynamic landscapes and demonstrate highly crystalline tellurium at 150°C. Epi-ALD couples surface-potential-encoded physisorption with long-range diffusion to promote ordered nucleation and epitaxial alignment. This “soft” pathway enables strain-free tellurium epitaxy with a pristine vdW gap (∼1.4 angstrom) despite lattice mismatch (&amp;gt;3.6%) and generalizes across multiple vdW templates. Retaining hallmark advantages of ALD including scalability and uniformity, we further program in-plane orientation through vdW symmetry engineering to achieve quasi-single-crystalline tellurium films with pronounced anisotropy and a chiral anomaly signature. Our work establishes a universal, low-thermal-budget approach for integrating vdW materials and expands the scope of epitaxy within the ALD paradigm.</w:t>
      </w:r>
    </w:p>
    <w:p>
      <w:pPr>
        <w:spacing w:before="120" w:after="120"/>
      </w:pPr>
      <w:r>
        <w:rPr>
          <w:sz w:val="18"/>
        </w:rPr>
        <w:t>——————————————————————————————————————————————————————————————————————</w:t>
      </w:r>
    </w:p>
    <w:p>
      <w:pPr>
        <w:spacing w:before="160" w:after="40" w:line="240" w:lineRule="auto"/>
      </w:pPr>
      <w:r>
        <w:rPr>
          <w:b/>
        </w:rPr>
        <w:t xml:space="preserve">[76] </w:t>
      </w:r>
      <w:hyperlink r:id="rId567">
        <w:r>
          <w:rPr>
            <w:color w:val="1155CC"/>
            <w:u w:val="single"/>
          </w:rPr>
          <w:t>用于值得信赖的微型机器人导航自主性的物理约束学习框架</w:t>
        </w:r>
      </w:hyperlink>
    </w:p>
    <w:p>
      <w:pPr>
        <w:spacing w:before="0" w:after="80"/>
      </w:pPr>
      <w:r>
        <w:rPr>
          <w:i/>
          <w:sz w:val="20"/>
        </w:rPr>
        <w:t>EN: Physics-constrained learning framework for trustworthy microrobot navigation autonomy</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68">
        <w:r>
          <w:rPr>
            <w:color w:val="1155CC"/>
            <w:u w:val="single"/>
          </w:rPr>
          <w:t>10.1126/sciadv.aef7326</w:t>
        </w:r>
      </w:hyperlink>
    </w:p>
    <w:p>
      <w:pPr>
        <w:spacing w:before="0" w:after="120"/>
      </w:pPr>
      <w:r>
        <w:rPr>
          <w:b/>
        </w:rPr>
        <w:t xml:space="preserve">Notes: </w:t>
      </w:r>
      <w:r>
        <w:t>abstract_source=crossref</w:t>
      </w:r>
    </w:p>
    <w:p>
      <w:pPr>
        <w:spacing w:before="0" w:after="80" w:lineRule="auto" w:line="276"/>
      </w:pPr>
      <w:r>
        <w:rPr>
          <w:b/>
        </w:rPr>
        <w:t xml:space="preserve">摘要（ZH）: </w:t>
      </w:r>
      <w:r>
        <w:t>机器学习已成为微型机器人的新兴范例，使微型/纳米机器人能够在复杂和高度干扰的环境中进行自主导航，而无需精确模型。然而，最先进的基于学习的方法采用“黑盒”神经网络（NN），这引起了人们对生成的导航策略的可信度的严重担忧，特别是对于生物医学场景。为了解决这个问题，我们提出了一种物理约束的学习框架，将确定性物理定律嵌入到网络架构中，以实现值得信赖的微型机器人导航。我们不是从头开始学习，而是将运动学和安全规则的单调关系明确编码到神经网络中。这些约束充当结构性归纳偏差，从理论上保证导航策略严格在可信的行动域内运行。实验表明，微型机器人可以在长时间和长距离的导航过程中自主到达随机目标而不会与障碍物发生碰撞，这证明了我们的框架由于其可解释的性质而具有可靠性。这项工作可以弥合数据驱动的性能和严格的安全要求之间的差距，为实现值得信赖的人工智能微型机器人迈出有意义的一步。</w:t>
      </w:r>
    </w:p>
    <w:p>
      <w:pPr>
        <w:spacing w:before="0" w:after="200" w:lineRule="auto" w:line="276"/>
      </w:pPr>
      <w:r>
        <w:rPr>
          <w:b/>
        </w:rPr>
        <w:t xml:space="preserve">Abstract (EN): </w:t>
      </w:r>
      <w:r>
        <w:t>Machine learning has become an emerging paradigm for microrobotics, enabling autonomous micro-/nanorobot navigation in complex and highly disturbed environments without requirements of precise models. However, the state-of-the-art learning-based methods adopt “black-box” neural networks (NNs), which raises critical concerns about the trustworthiness of the generated navigation policies, especially for biomedical scenarios. Motivated to address this issue, we propose a physics-constrained learning framework that embeds deterministic physical laws into network architectures to achieve trustworthy microrobot navigation. Instead of learning from scratch, we explicitly encode the monotonic relationships of kinematics and safety rules into NNs. These constraints serve as structural inductive biases, theoretically guaranteeing that navigation policies operate strictly within the trustworthy action domains. Experiments demonstrate that microrobots can autonomously reach random targets without collision with obstacles during long-time and long-distance navigation, proving our framework’s reliability owing to its explainable nature. This work can bridge the gap between data-driven performance and rigorous safety requirements, constituting a meaningful step toward trustworthy artificial intelligence–empowered microrobotics.</w:t>
      </w:r>
    </w:p>
    <w:p>
      <w:pPr>
        <w:spacing w:before="120" w:after="120"/>
      </w:pPr>
      <w:r>
        <w:rPr>
          <w:sz w:val="18"/>
        </w:rPr>
        <w:t>——————————————————————————————————————————————————————————————————————</w:t>
      </w:r>
    </w:p>
    <w:p>
      <w:pPr>
        <w:spacing w:before="160" w:after="40" w:line="240" w:lineRule="auto"/>
      </w:pPr>
      <w:r>
        <w:rPr>
          <w:b/>
        </w:rPr>
        <w:t xml:space="preserve">[77] </w:t>
      </w:r>
      <w:hyperlink r:id="rId569">
        <w:r>
          <w:rPr>
            <w:color w:val="1155CC"/>
            <w:u w:val="single"/>
          </w:rPr>
          <w:t>Christopher A. Sims (1942–2026)：范式转变的宏观经济学家和计量经济学家</w:t>
        </w:r>
      </w:hyperlink>
    </w:p>
    <w:p>
      <w:pPr>
        <w:spacing w:before="0" w:after="80"/>
      </w:pPr>
      <w:r>
        <w:rPr>
          <w:i/>
          <w:sz w:val="20"/>
        </w:rPr>
        <w:t>EN: Christopher A. Sims (1942–2026): Paradigm-shifting macroeconomist and econometrician</w:t>
      </w:r>
    </w:p>
    <w:p>
      <w:pPr>
        <w:spacing w:before="0" w:after="120"/>
      </w:pPr>
      <w:r>
        <w:rPr>
          <w:b/>
        </w:rPr>
        <w:t xml:space="preserve">Source: </w:t>
      </w:r>
      <w:r>
        <w:t>Proceedings of the National Academy of Sciences: Keyword search for query</w:t>
      </w:r>
      <w:r>
        <w:t xml:space="preserve">    </w:t>
      </w:r>
      <w:r>
        <w:rPr>
          <w:b/>
        </w:rPr>
        <w:t xml:space="preserve">Pub date: </w:t>
      </w:r>
      <w:r>
        <w:t>2026-07-24 07:00:00+00:00</w:t>
      </w:r>
      <w:r>
        <w:t xml:space="preserve">    </w:t>
      </w:r>
      <w:r>
        <w:rPr>
          <w:b/>
        </w:rPr>
        <w:t xml:space="preserve">DOI: </w:t>
      </w:r>
      <w:hyperlink r:id="rId570">
        <w:r>
          <w:rPr>
            <w:color w:val="1155CC"/>
            <w:u w:val="single"/>
          </w:rPr>
          <w:t>10.1073/pnas.2622611123</w:t>
        </w:r>
      </w:hyperlink>
    </w:p>
    <w:p>
      <w:pPr>
        <w:spacing w:before="0" w:after="120"/>
      </w:pPr>
      <w:r>
        <w:rPr>
          <w:b/>
        </w:rPr>
        <w:t xml:space="preserve">Notes: </w:t>
      </w:r>
      <w:r>
        <w:t>abstract_source=crossref</w:t>
      </w:r>
    </w:p>
    <w:p>
      <w:pPr>
        <w:spacing w:before="0" w:after="80" w:lineRule="auto" w:line="276"/>
      </w:pPr>
      <w:r>
        <w:rPr>
          <w:b/>
        </w:rPr>
        <w:t xml:space="preserve">摘要（ZH）: </w:t>
      </w:r>
      <w:r>
        <w:t>克里斯托弗·A·西姆斯 (Christopher A. Sims) 于 2026 年 3 月 14 日去世，在宏观经济学和计量经济学领域留下了不可磨灭的印记。他的诺贝尔奖获奖研究重塑了实证宏观经济学的范式，为推断宏观经济政策的影响创建了严格而灵活的框架。他还对时间序列预测、贝叶斯计量经济学、因子建模、近似理论以及货币和财政政策模型做出了重要贡献。很少有学者能够对世界各地中央银行的工作产生如此直接的影响。克里斯是一位坦率而慷慨的导师，拥有众多学生，他的影响远远超出了他发表的论文。</w:t>
      </w:r>
    </w:p>
    <w:p>
      <w:pPr>
        <w:spacing w:before="0" w:after="200" w:lineRule="auto" w:line="276"/>
      </w:pPr>
      <w:r>
        <w:rPr>
          <w:b/>
        </w:rPr>
        <w:t xml:space="preserve">Abstract (EN): </w:t>
      </w:r>
      <w:r>
        <w:t>Christopher A. Sims, who died on March 14, 2026, left behind an indelible mark on macroeconomics and econometrics. His Nobel Prize winning research reshaped the paradigm for empirical macroeconomics, creating a rigorous and flexible framework for inferring the effects of macroeconomic policies. He also made important contributions to time series forecasting, Bayesian econometrics, factor modeling, approximation theory, and models of monetary and fiscal policy. Few academics have had as direct an impact on the work of central banks throughout the world. A frank and generous mentor with numerous students, Chris’s impact extends well beyond his published papers.</w:t>
      </w:r>
    </w:p>
    <w:p>
      <w:pPr>
        <w:spacing w:before="120" w:after="120"/>
      </w:pPr>
      <w:r>
        <w:rPr>
          <w:sz w:val="18"/>
        </w:rPr>
        <w:t>——————————————————————————————————————————————————————————————————————</w:t>
      </w:r>
    </w:p>
    <w:p>
      <w:pPr>
        <w:spacing w:before="160" w:after="40" w:line="240" w:lineRule="auto"/>
      </w:pPr>
      <w:r>
        <w:rPr>
          <w:b/>
        </w:rPr>
        <w:t xml:space="preserve">[78] </w:t>
      </w:r>
      <w:hyperlink r:id="rId571">
        <w:r>
          <w:rPr>
            <w:color w:val="1155CC"/>
            <w:u w:val="single"/>
          </w:rPr>
          <w:t>扩展的 GEP-NET 类器官培养用于个性化治疗评估</w:t>
        </w:r>
      </w:hyperlink>
    </w:p>
    <w:p>
      <w:pPr>
        <w:spacing w:before="0" w:after="80"/>
      </w:pPr>
      <w:r>
        <w:rPr>
          <w:i/>
          <w:sz w:val="20"/>
        </w:rPr>
        <w:t>EN: Expanded GEP-NET organoid culture for personalized therapy evaluation</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72">
        <w:r>
          <w:rPr>
            <w:color w:val="1155CC"/>
            <w:u w:val="single"/>
          </w:rPr>
          <w:t>10.1126/sciadv.aea4296</w:t>
        </w:r>
      </w:hyperlink>
    </w:p>
    <w:p>
      <w:pPr>
        <w:spacing w:before="0" w:after="120"/>
      </w:pPr>
      <w:r>
        <w:rPr>
          <w:b/>
        </w:rPr>
        <w:t xml:space="preserve">Notes: </w:t>
      </w:r>
      <w:r>
        <w:t>abstract_source=crossref</w:t>
      </w:r>
    </w:p>
    <w:p>
      <w:pPr>
        <w:spacing w:before="0" w:after="80" w:lineRule="auto" w:line="276"/>
      </w:pPr>
      <w:r>
        <w:rPr>
          <w:b/>
        </w:rPr>
        <w:t xml:space="preserve">摘要（ZH）: </w:t>
      </w:r>
      <w:r>
        <w:t>胃肠胰腺神经内分泌肿瘤（GEP-NET）是一种罕见的癌症，其发病率不断增加。由于它们生长缓慢且缺乏靶向突变，有效治疗方法的识别仍然有限。这种停滞背后的原因之一是缺乏适用、准确的研究模型。一种解决方案是患者肿瘤类器官 (PTO)，它可以保持肿瘤特征并可以扩展以进行高通量检测。在这项研究中，PTO 是从 17 名患者的 35 个胰腺、小肠和胃来源的肿瘤中产生的。重要的亚型包括激素功能亚型和</w:t>
      </w:r>
      <w:r>
        <w:t xml:space="preserve"> </w:t>
      </w:r>
      <w:r>
        <w:t>男1号</w:t>
      </w:r>
      <w:r>
        <w:t xml:space="preserve"> </w:t>
      </w:r>
      <w:r>
        <w:t>/</w:t>
      </w:r>
      <w:r>
        <w:t>虚拟HL</w:t>
      </w:r>
      <w:r>
        <w:t xml:space="preserve"> </w:t>
      </w:r>
      <w:r>
        <w:t>代表了突变的 GEP-NET，每个突变体都在培养物中生长，同时保持 GEP-NET 免疫组织化学和基因组特征。一半的 G2/G3 肿瘤（20 个中的 10 个）可以培养到第 6 代之后，而 G1 肿瘤（</w:t>
      </w:r>
      <w:r>
        <w:t xml:space="preserve"> </w:t>
      </w:r>
      <w:r>
        <w:t>n</w:t>
      </w:r>
      <w:r>
        <w:t xml:space="preserve"> </w:t>
      </w:r>
      <w:r>
        <w:t>= 15) 能够生长直至第 4 代。PTO 的治疗靶向显示出对标准护理和研究疗法的组织来源和基于等级的反应，同时保持患者肿瘤敏感性和耐药性。最后，从一个 PTO 系开发了一个成功的 PTO 异种移植模型。这项研究描述了 GEP-NET 类器官的开发，展示了扩展的可行性，使其能够用于转化研究。</w:t>
      </w:r>
    </w:p>
    <w:p>
      <w:pPr>
        <w:spacing w:before="0" w:after="200" w:lineRule="auto" w:line="276"/>
      </w:pPr>
      <w:r>
        <w:rPr>
          <w:b/>
        </w:rPr>
        <w:t xml:space="preserve">Abstract (EN): </w:t>
      </w:r>
      <w:r>
        <w:t>Gastro-entero-pancreatic neuroendocrine tumors (GEP-NETs) are a rare subset of cancers with increasing incidence. Due to their slow growth and lack of targetable mutations, the identification of effective treatments remains limited. One reason behind this stagnation is the lack of applicable, accurate study models. One solution is patient tumor organoids (PTOs) that maintain tumor characteristics and can scale for high throughput assays. In this study, PTOs were generated from 35 tumors of pancreatic, small intestinal, and gastric origin, obtained from 17 patients. Important subtypes including hormone functional and</w:t>
      </w:r>
      <w:r>
        <w:t xml:space="preserve"> </w:t>
      </w:r>
      <w:r>
        <w:t>MEN1</w:t>
      </w:r>
      <w:r>
        <w:t xml:space="preserve"> </w:t>
      </w:r>
      <w:r>
        <w:t>/</w:t>
      </w:r>
      <w:r>
        <w:t>VHL</w:t>
      </w:r>
      <w:r>
        <w:t xml:space="preserve"> </w:t>
      </w:r>
      <w:r>
        <w:t>mutant GEP-NETs are represented, with each demonstrating growth in culture while maintaining GEP-NET immunohistochemistry and genomic characteristics. Half of G2/G3 tumors (10 of 20) could be cultured past passage 6, whereas G1 tumors (</w:t>
      </w:r>
      <w:r>
        <w:t xml:space="preserve"> </w:t>
      </w:r>
      <w:r>
        <w:t>n</w:t>
      </w:r>
      <w:r>
        <w:t xml:space="preserve"> </w:t>
      </w:r>
      <w:r>
        <w:t>= 15) were capable of growth until passage 4. Therapeutic targeting of the PTOs displayed both tissue-origin and grade-based response to standard of care and investigational therapies while maintaining patient tumor sensitivity and resistance. Last, a successful PTO xenograft model was developed from one PTO line. This study describes GEP-NET organoid development that demonstrates feasibility for expansion, enabling their use for translational investigations.</w:t>
      </w:r>
    </w:p>
    <w:p>
      <w:pPr>
        <w:spacing w:before="120" w:after="120"/>
      </w:pPr>
      <w:r>
        <w:rPr>
          <w:sz w:val="18"/>
        </w:rPr>
        <w:t>——————————————————————————————————————————————————————————————————————</w:t>
      </w:r>
    </w:p>
    <w:p>
      <w:pPr>
        <w:spacing w:before="160" w:after="40" w:line="240" w:lineRule="auto"/>
      </w:pPr>
      <w:r>
        <w:rPr>
          <w:b/>
        </w:rPr>
        <w:t xml:space="preserve">[79] </w:t>
      </w:r>
      <w:hyperlink r:id="rId573">
        <w:r>
          <w:rPr>
            <w:color w:val="1155CC"/>
            <w:u w:val="single"/>
          </w:rPr>
          <w:t>具有广泛的 apicomplexan 活性的抗疟细胞骨架靶向</w:t>
        </w:r>
      </w:hyperlink>
    </w:p>
    <w:p>
      <w:pPr>
        <w:spacing w:before="0" w:after="80"/>
      </w:pPr>
      <w:r>
        <w:rPr>
          <w:i/>
          <w:sz w:val="20"/>
        </w:rPr>
        <w:t>EN: Antimalarial cytoskeletal targeting with broad apicomplexan activity</w:t>
      </w:r>
    </w:p>
    <w:p>
      <w:pPr>
        <w:spacing w:before="0" w:after="120"/>
      </w:pPr>
      <w:r>
        <w:rPr>
          <w:b/>
        </w:rPr>
        <w:t xml:space="preserve">Source: </w:t>
      </w:r>
      <w:r>
        <w:t>Proceedings of the National Academy of Sciences: Keyword search for query</w:t>
      </w:r>
      <w:r>
        <w:t xml:space="preserve">    </w:t>
      </w:r>
      <w:r>
        <w:rPr>
          <w:b/>
        </w:rPr>
        <w:t xml:space="preserve">Pub date: </w:t>
      </w:r>
      <w:r>
        <w:t>2026-07-24 07:00:00+00:00</w:t>
      </w:r>
      <w:r>
        <w:t xml:space="preserve">    </w:t>
      </w:r>
      <w:r>
        <w:rPr>
          <w:b/>
        </w:rPr>
        <w:t xml:space="preserve">DOI: </w:t>
      </w:r>
      <w:hyperlink r:id="rId574">
        <w:r>
          <w:rPr>
            <w:color w:val="1155CC"/>
            <w:u w:val="single"/>
          </w:rPr>
          <w:t>10.1073/pnas.2608709123</w:t>
        </w:r>
      </w:hyperlink>
    </w:p>
    <w:p>
      <w:pPr>
        <w:spacing w:before="0" w:after="120"/>
      </w:pPr>
      <w:r>
        <w:rPr>
          <w:b/>
        </w:rPr>
        <w:t xml:space="preserve">Notes: </w:t>
      </w:r>
      <w:r>
        <w:t>abstract_source=crossref</w:t>
      </w:r>
    </w:p>
    <w:p>
      <w:pPr>
        <w:spacing w:before="0" w:after="80" w:lineRule="auto" w:line="276"/>
      </w:pPr>
      <w:r>
        <w:rPr>
          <w:b/>
        </w:rPr>
        <w:t xml:space="preserve">摘要（ZH）: </w:t>
      </w:r>
      <w:r>
        <w:t>疟疾是一种毁灭性的疾病，预计 2024 年将导致 61 万人死亡，其中大多数是五岁以下的儿童。在这里，我们使用 KNX-115 来说明针对细胞骨架酶的多级抗寄生虫活性</w:t>
      </w:r>
      <w:r>
        <w:t xml:space="preserve"> </w:t>
      </w:r>
      <w:r>
        <w:t>恶性疟原虫</w:t>
      </w:r>
      <w:r>
        <w:t xml:space="preserve"> </w:t>
      </w:r>
      <w:r>
        <w:t>肌球蛋白 A (PfMyoA)。 KNX-115 可抑制纯化的肌动蛋白激活的 ATP 酶，其效力在低纳摩尔范围内，并且对心脏、骨骼和平滑肌肌球蛋白的选择性超过 50 倍。 KNX-115 将 PfMyoA 捕获至与肌动蛋白弱结合的状态。 KNX-115 与 PfMyoA 结合的 2.35 Å 分辨率结构揭示了有助于其作用机制的关键相互作用。重要的是，体外进化数据表明 KNX-115 将 PfMyoA 作为唯一的细胞靶点。抑制 PfMyoA 可阻止实验室菌株血液和肝脏阶段的发育</w:t>
      </w:r>
      <w:r>
        <w:t xml:space="preserve"> </w:t>
      </w:r>
      <w:r>
        <w:t>恶性疟原虫</w:t>
      </w:r>
      <w:r>
        <w:t xml:space="preserve"> </w:t>
      </w:r>
      <w:r>
        <w:t>，无肝细胞毒性、子孢子细胞的穿越和运动以及子孢子在蚊子中的发育。治疗 96 小时后，抑制 PfMyoA 可完全杀死寄生虫。此外，KNX-115 在抑制一组</w:t>
      </w:r>
      <w:r>
        <w:t xml:space="preserve"> </w:t>
      </w:r>
      <w:r>
        <w:t>疟原虫</w:t>
      </w:r>
      <w:r>
        <w:t xml:space="preserve"> </w:t>
      </w:r>
      <w:r>
        <w:t>对实验性和市售抗疟药具有抗药性的菌株，并显示出对疟疾的抑制活性</w:t>
      </w:r>
      <w:r>
        <w:t xml:space="preserve"> </w:t>
      </w:r>
      <w:r>
        <w:t>恶性疟原虫</w:t>
      </w:r>
      <w:r>
        <w:t xml:space="preserve"> </w:t>
      </w:r>
      <w:r>
        <w:t>来自巴西亚马逊的流行分离株。用 KNX-115 抑制 PfMyoA 还可阻断实验室菌株的血液阶段</w:t>
      </w:r>
      <w:r>
        <w:t xml:space="preserve"> </w:t>
      </w:r>
      <w:r>
        <w:t>间日疟原虫</w:t>
      </w:r>
      <w:r>
        <w:t xml:space="preserve"> </w:t>
      </w:r>
      <w:r>
        <w:t>。符合</w:t>
      </w:r>
    </w:p>
    <w:p>
      <w:pPr>
        <w:spacing w:before="0" w:after="200" w:lineRule="auto" w:line="276"/>
      </w:pPr>
      <w:r>
        <w:rPr>
          <w:b/>
        </w:rPr>
        <w:t xml:space="preserve">Abstract (EN): </w:t>
      </w:r>
      <w:r>
        <w:t>Malaria is a devastating disease that resulted in an estimated 610,000 deaths in 2024, the majority being children under the age of five. Here, we use KNX-115 to illustrate multistage antiparasitic activity upon targeting the cytoskeletal enzyme</w:t>
      </w:r>
      <w:r>
        <w:t xml:space="preserve"> </w:t>
      </w:r>
      <w:r>
        <w:t>Plasmodium falciparum</w:t>
      </w:r>
      <w:r>
        <w:t xml:space="preserve"> </w:t>
      </w:r>
      <w:r>
        <w:t>myosin A (PfMyoA). KNX-115 inhibits purified actin-activated ATPase with a potency in the low nanomolar range and &amp;gt;50-fold selectivity against cardiac, skeletal, and smooth muscle myosins. KNX-115 traps PfMyoA in a state that binds weakly to actin. A 2.35 Å resolution structure of KNX-115 bound to PfMyoA reveals critical interactions contributing to its mechanism of action. Importantly, in vitro evolution data reveal that KNX-115 engages PfMyoA as a sole cellular target. Inhibiting PfMyoA blocks the development of the blood and liver stages of laboratory strains of</w:t>
      </w:r>
      <w:r>
        <w:t xml:space="preserve"> </w:t>
      </w:r>
      <w:r>
        <w:t>P. falciparum</w:t>
      </w:r>
      <w:r>
        <w:t xml:space="preserve"> </w:t>
      </w:r>
      <w:r>
        <w:t>, with no liver cell toxicity, sporozoite cell traversal and motility, and sporozoite development in the mosquito. Inhibiting PfMyoA completely kills parasites after 96 h of treatment. Furthermore, KNX-115 is equally effective at inhibiting a panel of</w:t>
      </w:r>
      <w:r>
        <w:t xml:space="preserve"> </w:t>
      </w:r>
      <w:r>
        <w:t>Plasmodium</w:t>
      </w:r>
      <w:r>
        <w:t xml:space="preserve"> </w:t>
      </w:r>
      <w:r>
        <w:t>strains resistant to experimental and marketed antimalarials and shows inhibitory activity against</w:t>
      </w:r>
      <w:r>
        <w:t xml:space="preserve"> </w:t>
      </w:r>
      <w:r>
        <w:t>P. falciparum</w:t>
      </w:r>
      <w:r>
        <w:t xml:space="preserve"> </w:t>
      </w:r>
      <w:r>
        <w:t>circulating isolates from the Brazilian Amazon. Inhibiting PfMyoA with KNX-115 also blocks the blood stage of a laboratory strain of</w:t>
      </w:r>
      <w:r>
        <w:t xml:space="preserve"> </w:t>
      </w:r>
      <w:r>
        <w:t>Plasmodium vivax</w:t>
      </w:r>
      <w:r>
        <w:t xml:space="preserve"> </w:t>
      </w:r>
      <w:r>
        <w:t>. In line with the evolutionary identity of MyoA among various apicomplexan parasites, KNX-115 also inhibits</w:t>
      </w:r>
      <w:r>
        <w:t xml:space="preserve"> </w:t>
      </w:r>
      <w:r>
        <w:t>Cryptosporidium</w:t>
      </w:r>
      <w:r>
        <w:t xml:space="preserve"> </w:t>
      </w:r>
      <w:r>
        <w:t>and</w:t>
      </w:r>
      <w:r>
        <w:t xml:space="preserve"> </w:t>
      </w:r>
      <w:r>
        <w:t>Eimeria</w:t>
      </w:r>
      <w:r>
        <w:t xml:space="preserve"> </w:t>
      </w:r>
      <w:r>
        <w:t>MyoA in vitro and is an effective inhibitor of</w:t>
      </w:r>
      <w:r>
        <w:t xml:space="preserve"> </w:t>
      </w:r>
      <w:r>
        <w:t>Cryptosporidium</w:t>
      </w:r>
      <w:r>
        <w:t xml:space="preserve"> </w:t>
      </w:r>
      <w:r>
        <w:t>,</w:t>
      </w:r>
      <w:r>
        <w:t xml:space="preserve"> </w:t>
      </w:r>
      <w:r>
        <w:t>Toxoplasma,</w:t>
      </w:r>
      <w:r>
        <w:t xml:space="preserve"> </w:t>
      </w:r>
      <w:r>
        <w:t>and</w:t>
      </w:r>
      <w:r>
        <w:t xml:space="preserve"> </w:t>
      </w:r>
      <w:r>
        <w:t>Eimeria</w:t>
      </w:r>
      <w:r>
        <w:t xml:space="preserve"> </w:t>
      </w:r>
      <w:r>
        <w:t>cellular growth, with EC</w:t>
      </w:r>
      <w:r>
        <w:rPr>
          <w:vertAlign w:val="subscript"/>
        </w:rPr>
        <w:t>50</w:t>
      </w:r>
      <w:r>
        <w:t>s similar to those found for blood and liver stage</w:t>
      </w:r>
      <w:r>
        <w:t xml:space="preserve"> </w:t>
      </w:r>
      <w:r>
        <w:t>Plasmodium</w:t>
      </w:r>
      <w:r>
        <w:t xml:space="preserve"> </w:t>
      </w:r>
      <w:r>
        <w:t>.</w:t>
      </w:r>
    </w:p>
    <w:p>
      <w:pPr>
        <w:spacing w:before="120" w:after="120"/>
      </w:pPr>
      <w:r>
        <w:rPr>
          <w:sz w:val="18"/>
        </w:rPr>
        <w:t>——————————————————————————————————————————————————————————————————————</w:t>
      </w:r>
    </w:p>
    <w:p>
      <w:pPr>
        <w:spacing w:before="160" w:after="40" w:line="240" w:lineRule="auto"/>
      </w:pPr>
      <w:r>
        <w:rPr>
          <w:b/>
        </w:rPr>
        <w:t xml:space="preserve">[80] </w:t>
      </w:r>
      <w:hyperlink r:id="rId575">
        <w:r>
          <w:rPr>
            <w:color w:val="1155CC"/>
            <w:u w:val="single"/>
          </w:rPr>
          <w:t>使用 SHAP 可解释的动态定量血管形态测量特征进行抗血管生成治疗反应预测</w:t>
        </w:r>
      </w:hyperlink>
    </w:p>
    <w:p>
      <w:pPr>
        <w:spacing w:before="0" w:after="80"/>
      </w:pPr>
      <w:r>
        <w:rPr>
          <w:i/>
          <w:sz w:val="20"/>
        </w:rPr>
        <w:t>EN: Interpretable dynamic quantitative vascular morphometry features using SHAP for anti-angiogenic therapy response prediction</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76">
        <w:r>
          <w:rPr>
            <w:color w:val="1155CC"/>
            <w:u w:val="single"/>
          </w:rPr>
          <w:t>10.1126/sciadv.aeb3543</w:t>
        </w:r>
      </w:hyperlink>
    </w:p>
    <w:p>
      <w:pPr>
        <w:spacing w:before="0" w:after="120"/>
      </w:pPr>
      <w:r>
        <w:rPr>
          <w:b/>
        </w:rPr>
        <w:t xml:space="preserve">Notes: </w:t>
      </w:r>
      <w:r>
        <w:t>abstract_source=crossref</w:t>
      </w:r>
    </w:p>
    <w:p>
      <w:pPr>
        <w:spacing w:before="0" w:after="80" w:lineRule="auto" w:line="276"/>
      </w:pPr>
      <w:r>
        <w:rPr>
          <w:b/>
        </w:rPr>
        <w:t xml:space="preserve">摘要（ZH）: </w:t>
      </w:r>
      <w:r>
        <w:t>抗血管生成治疗的益处各不相同，缓解率为 40% 至 70%，这突出表明需要早期生物标志物来识别缓解者。我们开发了一个自动化机器学习框架，该框架使用标准对比增强 CT 的 Delta 定量血管形态测量特征来评估治疗反应。该工作流程将自动肿瘤和血管分割与临床使用的常规扫描中的特征提取相结合。基于 Shapley 附加解释 (SHAP) 的归因可识别关键的血管和临床特征，提供有意义的、影像可见的证据，与传统放射组学之外的治疗目标相一致。使用 163 名肺癌患者的基线和随访 CT，我们使用五重交叉验证建立了三个模型，其中 delta 合并模型实现了高精度（受试者工作特征曲线下面积 = 内部 = 0.842，外部 = 0.806）。 SHAP 分析发现了一种“动脉主导、静脉适应性”模式，其中动脉受累和静脉恢复区分了反应者。这种自动化的工作流程和可视化支持早期、基于成像的反应评估和个性化治疗。</w:t>
      </w:r>
    </w:p>
    <w:p>
      <w:pPr>
        <w:spacing w:before="0" w:after="200" w:lineRule="auto" w:line="276"/>
      </w:pPr>
      <w:r>
        <w:rPr>
          <w:b/>
        </w:rPr>
        <w:t xml:space="preserve">Abstract (EN): </w:t>
      </w:r>
      <w:r>
        <w:t>Anti-angiogenic therapy benefits vary, with response rates of 40 to 70%, highlighting the need for early biomarkers to identify responders. We developed an automated machine learning framework that uses delta quantitative vascular morphometry features from standard contrast-enhanced CT to evaluate treatment response. This workflow combines automated tumor and vessel segmentation with feature extraction from routine scans for clinical use. Shapley additive explanations (SHAP)–based attributions identify key vascular and clinical features, providing meaningful, imaging-visible evidence aligned with therapy targets beyond traditional radiomics. Using baseline and follow-up CTs from 163 patients with lung cancer, we built three models using fivefold cross-validation, with the delta-merge model achieving high accuracy (area under the receiver operating characteristic curve = 0.842 internally, 0.806 externally). SHAP analysis uncovered an “arterial-dominant, venous-adaptive” pattern, where arterial involvement and venous recovery distinguish responders. This automated workflow and visualization support early, imaging-based response assessment and personalized treatment.</w:t>
      </w:r>
    </w:p>
    <w:p>
      <w:pPr>
        <w:spacing w:before="120" w:after="120"/>
      </w:pPr>
      <w:r>
        <w:rPr>
          <w:sz w:val="18"/>
        </w:rPr>
        <w:t>——————————————————————————————————————————————————————————————————————</w:t>
      </w:r>
    </w:p>
    <w:p>
      <w:pPr>
        <w:spacing w:before="160" w:after="40" w:line="240" w:lineRule="auto"/>
      </w:pPr>
      <w:r>
        <w:rPr>
          <w:b/>
        </w:rPr>
        <w:t xml:space="preserve">[81] </w:t>
      </w:r>
      <w:hyperlink r:id="rId577">
        <w:r>
          <w:rPr>
            <w:color w:val="1155CC"/>
            <w:u w:val="single"/>
          </w:rPr>
          <w:t>水稻免疫中保守的磷酸开关控制受体激酶 SDS2 激活和稳态</w:t>
        </w:r>
      </w:hyperlink>
    </w:p>
    <w:p>
      <w:pPr>
        <w:spacing w:before="0" w:after="80"/>
      </w:pPr>
      <w:r>
        <w:rPr>
          <w:i/>
          <w:sz w:val="20"/>
        </w:rPr>
        <w:t>EN: A conserved phospho-switch controls receptor kinase SDS2 activation and homeostasis in rice immunity</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78">
        <w:r>
          <w:rPr>
            <w:color w:val="1155CC"/>
            <w:u w:val="single"/>
          </w:rPr>
          <w:t>10.1126/sciadv.aed5028</w:t>
        </w:r>
      </w:hyperlink>
    </w:p>
    <w:p>
      <w:pPr>
        <w:spacing w:before="0" w:after="120"/>
      </w:pPr>
      <w:r>
        <w:rPr>
          <w:b/>
        </w:rPr>
        <w:t xml:space="preserve">Notes: </w:t>
      </w:r>
      <w:r>
        <w:t>abstract_source=crossref</w:t>
      </w:r>
    </w:p>
    <w:p>
      <w:pPr>
        <w:spacing w:before="0" w:after="80" w:lineRule="auto" w:line="276"/>
      </w:pPr>
      <w:r>
        <w:rPr>
          <w:b/>
        </w:rPr>
        <w:t xml:space="preserve">摘要（ZH）: </w:t>
      </w:r>
      <w:r>
        <w:t>植物表面免疫受体受到严格控制，以维持体内平衡并防止过度激活。然而，协调平衡的机制仍然很大程度上未知。单子叶植物特异性受体样激酶 SDS2 调节水稻的细胞死亡和免疫。在这里，我们将 Thr671（跨界 RD 型 Ser/Thr 激酶中的保守磷酸开关）确定为协调免疫激活和 SDS2 周转的中心节点。 Thr671 的自磷酸化启动信号传导，同时也引发 SDS2 被 E3 连接酶 SPL11 泛素化和降解。这种降解被磷酸酶 SIPP1 拮抗，SIPP1 通过 Thr671 去磷酸化稳定 SDS2，从而促进免疫力。引人注目的是，第二种磷酸酶 SIPP2 通过竞争性结合从 SDS2 中取代 SIPP1，从而实现 SPL11 依赖性 SDS2 降解并确保及时的免疫减弱。因此，SIPP1-SPL11-SIPP2模块建立了SDS2稳态所必需的动态平衡，为表面受体的复杂调节提供了新的见解。</w:t>
      </w:r>
    </w:p>
    <w:p>
      <w:pPr>
        <w:spacing w:before="0" w:after="200" w:lineRule="auto" w:line="276"/>
      </w:pPr>
      <w:r>
        <w:rPr>
          <w:b/>
        </w:rPr>
        <w:t xml:space="preserve">Abstract (EN): </w:t>
      </w:r>
      <w:r>
        <w:t>Plant surface immune receptors are tightly controlled to maintain homeostasis and prevent overactivation. However, the mechanisms coordinating the balance remain largely unknown. The monocot-specific receptor-like kinase SDS2 regulates cell death and immunity in rice. Here, we identify Thr671, a conserved phospho-switch in RD-type Ser/Thr kinases across kingdoms, as the central node that orchestrates both immune activation and turnover of SDS2. Autophosphorylation of Thr671 initiates signaling but also primes SDS2 for ubiquitination and degradation by the E3 ligase SPL11. This degradation is antagonized by the phosphatase SIPP1, which stabilizes SDS2 through Thr671 dephosphorylation to promote immunity. Strikingly, a second phosphatase, SIPP2, displaces SIPP1 from SDS2 via competitive binding, thereby enabling SPL11-dependent SDS2 degradation and ensuring timely immune attenuation. Thus, the SIPP1-SPL11-SIPP2 module establishes a dynamic equilibrium essential for SDS2 homeostasis, providing new insights into the sophisticated regulation of surface receptors.</w:t>
      </w:r>
    </w:p>
    <w:p>
      <w:pPr>
        <w:spacing w:before="120" w:after="120"/>
      </w:pPr>
      <w:r>
        <w:rPr>
          <w:sz w:val="18"/>
        </w:rPr>
        <w:t>——————————————————————————————————————————————————————————————————————</w:t>
      </w:r>
    </w:p>
    <w:p>
      <w:pPr>
        <w:spacing w:before="160" w:after="40" w:line="240" w:lineRule="auto"/>
      </w:pPr>
      <w:r>
        <w:rPr>
          <w:b/>
        </w:rPr>
        <w:t xml:space="preserve">[82] </w:t>
      </w:r>
      <w:hyperlink r:id="rId579">
        <w:r>
          <w:rPr>
            <w:color w:val="1155CC"/>
            <w:u w:val="single"/>
          </w:rPr>
          <w:t>解释加利福尼亚州野火造成的建筑物损坏</w:t>
        </w:r>
      </w:hyperlink>
    </w:p>
    <w:p>
      <w:pPr>
        <w:spacing w:before="0" w:after="80"/>
      </w:pPr>
      <w:r>
        <w:rPr>
          <w:i/>
          <w:sz w:val="20"/>
        </w:rPr>
        <w:t>EN: Explaining building damage from wildfires in California</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80">
        <w:r>
          <w:rPr>
            <w:color w:val="1155CC"/>
            <w:u w:val="single"/>
          </w:rPr>
          <w:t>10.1126/sciadv.aed4197</w:t>
        </w:r>
      </w:hyperlink>
    </w:p>
    <w:p>
      <w:pPr>
        <w:spacing w:before="0" w:after="120"/>
      </w:pPr>
      <w:r>
        <w:rPr>
          <w:b/>
        </w:rPr>
        <w:t xml:space="preserve">Notes: </w:t>
      </w:r>
      <w:r>
        <w:t>abstract_source=crossref</w:t>
      </w:r>
    </w:p>
    <w:p>
      <w:pPr>
        <w:spacing w:before="0" w:after="80" w:lineRule="auto" w:line="276"/>
      </w:pPr>
      <w:r>
        <w:rPr>
          <w:b/>
        </w:rPr>
        <w:t xml:space="preserve">摘要（ZH）: </w:t>
      </w:r>
      <w:r>
        <w:t>开发了一个物理可解释的数据驱动框架，以阐明因果关系、建模和预测加州各地野火引起的建筑损坏。使用超过 100,000 份损坏检查记录（2013 年至 2024 年）对静态环境变量（地形、植被和人类足迹）、动态天气输入和拟议的复合建筑易燃性评级 (CBFR) 造成的建筑损坏进行建模。测试了三种模型配置：(i) 集成所有变量的综合模型，(ii) 不包括 CBFR 的环境-天气混合模型，以及 (iii) 不包括天气和 CBFR 的环境暴露模型。采用严格的200米空间盲区约束来消除局部自相关，综合模型的准确率达到88%（±0.4%），在没有CBFR的情况下，准确率下降到82.9%（±0.6%），在没有天气和CBFR的情况下，准确率下降到74.5%（±0.5%）。基于空间网格的交叉验证表现出不同的准确度，分别为 68.0 (±17%)、66.0 (±16%) 和 62.0 (±13%)。建筑物的可燃性、露点温度和近地表风速被认为是最重要的损害预测因素。尽管在气候和地理变量的因果影响中观察到空间变异性，但蒸气压不足对损害概率的因果影响最强。还开发了 100 米分辨率的野火建筑损坏风险指数，以突出显示高风险损坏区域。研究结果强调，野火对荒地与城市交界处的影响是结构脆弱性、大气干燥、</w:t>
      </w:r>
    </w:p>
    <w:p>
      <w:pPr>
        <w:spacing w:before="0" w:after="200" w:lineRule="auto" w:line="276"/>
      </w:pPr>
      <w:r>
        <w:rPr>
          <w:b/>
        </w:rPr>
        <w:t xml:space="preserve">Abstract (EN): </w:t>
      </w:r>
      <w:r>
        <w:t>A physically interpretable, data-driven framework was developed to elucidate causal interactions, model, and predict wildfire-induced building damage across California. More than 100,000 damage inspection records (2013 to 2024) were used to model building damage from static environmental variables (topography, vegetation, and human footprint), dynamic weather inputs, and a proposed Composite Building Flammability Rating (CBFR). Three model configurations were tested: (i) a comprehensive model integrating all variables, (ii) an enviro-weather hybrid excluding CBFR, and (iii) an environmental exposure model excluding both weather and CBFR. A strict 200-meter spatial dead-zone constraint was applied to eliminate local autocorrelation, and the comprehensive model achieved 88% (±0.4%) accuracy, which dropped to 82.9% (±0.6%) without CBFR and to 74.5% (±0.5%) without both weather and CBFR. Spatial grid-based cross-validation demonstrated a diverse accuracy of 68.0 (±17%), 66.0 (±16%), and 62.0 (±13%), respectively. Building flammability, dew point temperature, and near-surface wind speed were identified as the most important predictors of damage. Vapor pressure deficit had the strongest causal effect on damage probability, though spatial variability was observed in the causal effects of climate and geographic variables. A 100-meter-resolution Wildfire Building Damage Risk Index was also developed to highlight high-risk damage zones. Findings emphasize that wildfire impacts in the wildland-urban interface result from a confluence of structural vulnerability, atmospheric dryness, and fuel exposure, offering scalable tools for risk forecasting, defensible space planning, and climate-resilient infrastructure development.</w:t>
      </w:r>
    </w:p>
    <w:p>
      <w:pPr>
        <w:spacing w:before="120" w:after="120"/>
      </w:pPr>
      <w:r>
        <w:rPr>
          <w:sz w:val="18"/>
        </w:rPr>
        <w:t>——————————————————————————————————————————————————————————————————————</w:t>
      </w:r>
    </w:p>
    <w:p>
      <w:pPr>
        <w:spacing w:before="160" w:after="40" w:line="240" w:lineRule="auto"/>
      </w:pPr>
      <w:r>
        <w:rPr>
          <w:b/>
        </w:rPr>
        <w:t xml:space="preserve">[83] </w:t>
      </w:r>
      <w:hyperlink r:id="rId581">
        <w:r>
          <w:rPr>
            <w:color w:val="1155CC"/>
            <w:u w:val="single"/>
          </w:rPr>
          <w:t>用于工程活性纺织品的可编程真菌平台</w:t>
        </w:r>
      </w:hyperlink>
    </w:p>
    <w:p>
      <w:pPr>
        <w:spacing w:before="0" w:after="80"/>
      </w:pPr>
      <w:r>
        <w:rPr>
          <w:i/>
          <w:sz w:val="20"/>
        </w:rPr>
        <w:t>EN: A programmable fungal platform for engineered living textiles</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82">
        <w:r>
          <w:rPr>
            <w:color w:val="1155CC"/>
            <w:u w:val="single"/>
          </w:rPr>
          <w:t>10.1126/sciadv.aed6937</w:t>
        </w:r>
      </w:hyperlink>
    </w:p>
    <w:p>
      <w:pPr>
        <w:spacing w:before="0" w:after="120"/>
      </w:pPr>
      <w:r>
        <w:rPr>
          <w:b/>
        </w:rPr>
        <w:t xml:space="preserve">Notes: </w:t>
      </w:r>
      <w:r>
        <w:t>abstract_source=crossref</w:t>
      </w:r>
    </w:p>
    <w:p>
      <w:pPr>
        <w:spacing w:before="0" w:after="80" w:lineRule="auto" w:line="276"/>
      </w:pPr>
      <w:r>
        <w:rPr>
          <w:b/>
        </w:rPr>
        <w:t xml:space="preserve">摘要（ZH）: </w:t>
      </w:r>
      <w:r>
        <w:t>工程活性材料（ELM）的一个核心挑战是宏观结构组装与持续细胞活力和可编程功能的无缝集成。在这里，我们报告了一种基于真菌的活材料，它通过保留真菌的代谢活性来应对这一挑战</w:t>
      </w:r>
      <w:r>
        <w:t xml:space="preserve"> </w:t>
      </w:r>
      <w:r>
        <w:t>北虫草</w:t>
      </w:r>
      <w:r>
        <w:t xml:space="preserve"> </w:t>
      </w:r>
      <w:r>
        <w:t>通过低能量过程制造的宏观粘性薄膜中的菌丝体。这些活性纺织品保留了环境响应能力，营养诱导的气生菌丝生长可以实现表面更新，这证明了这一点。天然菌丝体结构进一步允许工程微生物伙伴的体积整合，例如与产生色素的共培养</w:t>
      </w:r>
      <w:r>
        <w:t xml:space="preserve"> </w:t>
      </w:r>
      <w:r>
        <w:t>酿酒酵母</w:t>
      </w:r>
      <w:r>
        <w:t xml:space="preserve"> </w:t>
      </w:r>
      <w:r>
        <w:t>用于原位图案化和黑色化</w:t>
      </w:r>
      <w:r>
        <w:t xml:space="preserve"> </w:t>
      </w:r>
      <w:r>
        <w:t>黑曲霉</w:t>
      </w:r>
      <w:r>
        <w:t xml:space="preserve"> </w:t>
      </w:r>
      <w:r>
        <w:t>用于内置紫外线屏蔽。这种模块化设计将批量结构制造与基因功能化分离，为合成生物学提供了即插即用的平台。环境评估证实 41 天内形态几乎完全退化。我们的工作为功能性 ELM 建立了一个可扩展且可持续的基础，弥合了结构完整性和生物可编程性之间的关键差距。</w:t>
      </w:r>
    </w:p>
    <w:p>
      <w:pPr>
        <w:spacing w:before="0" w:after="200" w:lineRule="auto" w:line="276"/>
      </w:pPr>
      <w:r>
        <w:rPr>
          <w:b/>
        </w:rPr>
        <w:t xml:space="preserve">Abstract (EN): </w:t>
      </w:r>
      <w:r>
        <w:t>A central challenge in engineered living materials (ELMs) is the seamless integration of macroscopic structural assembly with sustained cellular viability and programmable function. Here, we report a fungal-based living material that addresses this challenge by preserving the metabolic activity of</w:t>
      </w:r>
      <w:r>
        <w:t xml:space="preserve"> </w:t>
      </w:r>
      <w:r>
        <w:t>Cordyceps militaris</w:t>
      </w:r>
      <w:r>
        <w:t xml:space="preserve"> </w:t>
      </w:r>
      <w:r>
        <w:t>mycelia within macroscale, cohesive films fabricated via a low-energy process. These living textiles retain the capacity for environmental response, demonstrated by nutrient-induced aerial hyphal growth that enables surface renewal. The native mycelial architecture further allows for volumetric integration of engineered microbial partners, exemplified by coculture with pigment-producing</w:t>
      </w:r>
      <w:r>
        <w:t xml:space="preserve"> </w:t>
      </w:r>
      <w:r>
        <w:t>Saccharomyces cerevisiae</w:t>
      </w:r>
      <w:r>
        <w:t xml:space="preserve"> </w:t>
      </w:r>
      <w:r>
        <w:t>for in situ patterning and melanized</w:t>
      </w:r>
      <w:r>
        <w:t xml:space="preserve"> </w:t>
      </w:r>
      <w:r>
        <w:t>Aspergillus niger</w:t>
      </w:r>
      <w:r>
        <w:t xml:space="preserve"> </w:t>
      </w:r>
      <w:r>
        <w:t>for built-in ultraviolet shielding. This modular design decouples bulk structural fabrication from genetic functionalization, offering a plug-and-play platform for synthetic biology. Environmental assessments confirm near-complete morphological degradation within 41 days. Our work establishes a scalable and sustainable chassis for functional ELMs, bridging a critical gap between structural integrity and biological programmability.</w:t>
      </w:r>
    </w:p>
    <w:p>
      <w:pPr>
        <w:spacing w:before="120" w:after="120"/>
      </w:pPr>
      <w:r>
        <w:rPr>
          <w:sz w:val="18"/>
        </w:rPr>
        <w:t>——————————————————————————————————————————————————————————————————————</w:t>
      </w:r>
    </w:p>
    <w:p>
      <w:pPr>
        <w:spacing w:before="160" w:after="40" w:line="240" w:lineRule="auto"/>
      </w:pPr>
      <w:r>
        <w:rPr>
          <w:b/>
        </w:rPr>
        <w:t xml:space="preserve">[84] </w:t>
      </w:r>
      <w:hyperlink r:id="rId583">
        <w:r>
          <w:rPr>
            <w:color w:val="1155CC"/>
            <w:u w:val="single"/>
          </w:rPr>
          <w:t>黑色素细胞转录组状态与转移性黑色素瘤患者的总生存率较差独立相关</w:t>
        </w:r>
      </w:hyperlink>
    </w:p>
    <w:p>
      <w:pPr>
        <w:spacing w:before="0" w:after="80"/>
      </w:pPr>
      <w:r>
        <w:rPr>
          <w:i/>
          <w:sz w:val="20"/>
        </w:rPr>
        <w:t>EN: The melanocytic transcriptomic state is independently associated with poor overall survival in patients with metastatic melanoma</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84">
        <w:r>
          <w:rPr>
            <w:color w:val="1155CC"/>
            <w:u w:val="single"/>
          </w:rPr>
          <w:t>10.1126/sciadv.aec7394</w:t>
        </w:r>
      </w:hyperlink>
    </w:p>
    <w:p>
      <w:pPr>
        <w:spacing w:before="0" w:after="120"/>
      </w:pPr>
      <w:r>
        <w:rPr>
          <w:b/>
        </w:rPr>
        <w:t xml:space="preserve">Notes: </w:t>
      </w:r>
      <w:r>
        <w:t>abstract_source=crossref</w:t>
      </w:r>
    </w:p>
    <w:p>
      <w:pPr>
        <w:spacing w:before="0" w:after="80" w:lineRule="auto" w:line="276"/>
      </w:pPr>
      <w:r>
        <w:rPr>
          <w:b/>
        </w:rPr>
        <w:t xml:space="preserve">摘要（ZH）: </w:t>
      </w:r>
      <w:r>
        <w:t>黑色素瘤表现出不同的转录组状态，但仍不清楚它们与临床结果的关系。我们对患者的转移性肿瘤进行了数字空间 RNA 分析 (DSP-RNA)，以研究转录组状态与黑色素瘤特异性生存 (MSS) 和肢端黑色素瘤 (AM) 的相关性。我们对 111 名在 1990 年至 2020 年间诊断出的转移性黑色素瘤 (ITM) 患者构建的组织微阵列进行了 DSP-RNA。数据质量控制、噪声校正和标准化从 105 名患者中获得了高质量的资料，其中 30 名 (36%) 接受了免疫检查点抑制剂治疗，20 名 (24%) 接受了 AM。我们进行了主成分 (PC) 分析，并将结果与​​已发表的基因特征相关联：PC1 轴将暂时性黑色素瘤与未分化黑色素瘤区分开来，PC2 反映免疫细胞浸润，PC3 对应于基质细胞和神经嵴样黑色素瘤，PC4 与黑素细胞黑色素瘤相关。在一组未接受治疗的 ITM 中，黑素细胞状态的高表达导致中位 MSS 差异为 7.72 年（黑素细胞“高”= 5.16 年与“低”= 12.88 年，对数秩</w:t>
      </w:r>
      <w:r>
        <w:t xml:space="preserve"> </w:t>
      </w:r>
      <w:r>
        <w:t>磷</w:t>
      </w:r>
      <w:r>
        <w:t xml:space="preserve"> </w:t>
      </w:r>
      <w:r>
        <w:t>= 0.0061），并且在多变量分析中与较差的生存率独立相关。与非肢端相比，AMs 显示出更高的黑素细胞状态基因表达。研究结果在外部数据集中得到了验证，支持黑素细胞状态预示着不良预后。黑素细胞状态与不良预后相关，并且可能在 AM 中富集，这意味着识别</w:t>
      </w:r>
    </w:p>
    <w:p>
      <w:pPr>
        <w:spacing w:before="0" w:after="200" w:lineRule="auto" w:line="276"/>
      </w:pPr>
      <w:r>
        <w:rPr>
          <w:b/>
        </w:rPr>
        <w:t xml:space="preserve">Abstract (EN): </w:t>
      </w:r>
      <w:r>
        <w:t>Melanomas display distinct transcriptomic states, but it remains unclear how they associate with clinical outcomes. We performed digital spatial RNA profiling (DSP-RNA) of metastatic tumors from patients to investigate how transcriptomic states correlate with melanoma specific survival (MSS) and acral melanoma (AM). We performed DSP-RNA across a tissue microarray constructed from 111 patients with in-transit metastatic melanoma (ITM) diagnosed from 1990 to 2020. Data quality control, noise correction, and normalization yielded high-quality profiles from 105 patients, including 30 (36%) who received immune checkpoint inhibitors and 20 (24%) with AM. We performed principal component (PC) analysis and correlated the results with published gene signatures: The PC1 axis differentiated transitory from undifferentiated melanoma, PC2 reflected immune cell infiltration, PC3 corresponded to stromal cells and neural crest–like melanoma, and PC4 associated with melanocytic melanoma. Across a cohort of treatment-naïve ITM, high expression of the melanocytic state conferred a median MSS difference of 7.72 years (melanocytic “high” = 5.16 years versus “low” = 12.88 years, log-rank</w:t>
      </w:r>
      <w:r>
        <w:t xml:space="preserve"> </w:t>
      </w:r>
      <w:r>
        <w:t>P</w:t>
      </w:r>
      <w:r>
        <w:t xml:space="preserve"> </w:t>
      </w:r>
      <w:r>
        <w:t>= 0.0061) and independently associated with poor survival in multivariate analysis. AMs showed higher melanocytic state gene expression compared to nonacral. Findings were validated in external datasets, supporting that the melanocytic state predicts poor prognosis. The melanocytic state is associated with poor prognosis and may be enriched in AM, implying that identifying patients with melanocytic melanoma may be important for therapeutic decisions. Unlike other gene expression predictors proposed for prognostic stratification, the melanocytic state characterizes a biological subtype, suggesting that it may have specific therapeutic vulnerabilities.</w:t>
      </w:r>
    </w:p>
    <w:p>
      <w:pPr>
        <w:spacing w:before="120" w:after="120"/>
      </w:pPr>
      <w:r>
        <w:rPr>
          <w:sz w:val="18"/>
        </w:rPr>
        <w:t>——————————————————————————————————————————————————————————————————————</w:t>
      </w:r>
    </w:p>
    <w:p>
      <w:pPr>
        <w:spacing w:before="160" w:after="40" w:line="240" w:lineRule="auto"/>
      </w:pPr>
      <w:r>
        <w:rPr>
          <w:b/>
        </w:rPr>
        <w:t xml:space="preserve">[85] </w:t>
      </w:r>
      <w:hyperlink r:id="rId585">
        <w:r>
          <w:rPr>
            <w:color w:val="1155CC"/>
            <w:u w:val="single"/>
          </w:rPr>
          <w:t>控制人类心脏发生过程中心肌-心外膜命运转换的信号机制和动力学</w:t>
        </w:r>
      </w:hyperlink>
    </w:p>
    <w:p>
      <w:pPr>
        <w:spacing w:before="0" w:after="80"/>
      </w:pPr>
      <w:r>
        <w:rPr>
          <w:i/>
          <w:sz w:val="20"/>
        </w:rPr>
        <w:t>EN: Signaling mechanisms and dynamics governing the myocardial-epicardial fate switch during human cardiogenesis</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86">
        <w:r>
          <w:rPr>
            <w:color w:val="1155CC"/>
            <w:u w:val="single"/>
          </w:rPr>
          <w:t>10.1126/sciadv.aee5316</w:t>
        </w:r>
      </w:hyperlink>
    </w:p>
    <w:p>
      <w:pPr>
        <w:spacing w:before="0" w:after="120"/>
      </w:pPr>
      <w:r>
        <w:rPr>
          <w:b/>
        </w:rPr>
        <w:t xml:space="preserve">Notes: </w:t>
      </w:r>
      <w:r>
        <w:t>abstract_source=crossref</w:t>
      </w:r>
    </w:p>
    <w:p>
      <w:pPr>
        <w:spacing w:before="0" w:after="80" w:lineRule="auto" w:line="276"/>
      </w:pPr>
      <w:r>
        <w:rPr>
          <w:b/>
        </w:rPr>
        <w:t xml:space="preserve">摘要（ZH）: </w:t>
      </w:r>
      <w:r>
        <w:t>在人类心脏发育过程中，控制心肌和心外膜谱系分歧的信号机制和发育动力学仍然知之甚少。在这里，我们开发了一种基于人类多能干细胞的心脏发育模型，并采用时程单细胞 RNA 测序来描绘心脏谱系规范轨迹。我们确定视黄酸（RA）是心脏中胚层阶段的关键命运开关。 RA 指示心脏中胚层的心外膜谱系定型，从启动的心外膜到心外膜样群，最后到心外膜，这一过程需要精确的 BMP 调节。相反，RA 缺失会引导心脏中胚层沿着默认的心肌通路，产生发育和成熟的心肌细胞。两条轨迹均受关键转录因子的分层激活控制。我们的研究整合了信号传导和动力学，以阐明 RA-BMP 轴在人类心脏命运决定中的时间调节网络。这些发现为人类心脏发生提供了基本见解，并为心脏病建模和推进再生策略提供了重要的路线图。</w:t>
      </w:r>
    </w:p>
    <w:p>
      <w:pPr>
        <w:spacing w:before="0" w:after="200" w:lineRule="auto" w:line="276"/>
      </w:pPr>
      <w:r>
        <w:rPr>
          <w:b/>
        </w:rPr>
        <w:t xml:space="preserve">Abstract (EN): </w:t>
      </w:r>
      <w:r>
        <w:t>The signaling mechanisms and developmental dynamics that govern the divergence of myocardial and epicardial lineages during human heart development remain poorly understood. Here, we developed a human pluripotent stem cell-based cardiac development model and employed time-course single-cell RNA sequencing to delineate cardiac lineage specification trajectories. We identified retinoic acid (RA) as a critical fate switch at the cardiac mesoderm stage. RA instructs epicardial lineage commitment of cardiac mesoderm through a primed-epicardium to proepicardium-like population and finally to epicardium, a process requiring precise BMP modulation. Conversely, RA absence directs cardiac mesoderm along a default myocardial pathway, yielding developing and mature cardiomyocytes. Both trajectories are governed by the hierarchical activation of key transcription factors. Our study integrates signaling and dynamics to elucidate the temporal regulatory network of the RA-BMP axis in human cardiac fate determination. These findings provide fundamental insights into human cardiogenesis and a crucial roadmap for modeling heart disease and advancing regenerative strategies.</w:t>
      </w:r>
    </w:p>
    <w:p>
      <w:pPr>
        <w:spacing w:before="120" w:after="120"/>
      </w:pPr>
      <w:r>
        <w:rPr>
          <w:sz w:val="18"/>
        </w:rPr>
        <w:t>——————————————————————————————————————————————————————————————————————</w:t>
      </w:r>
    </w:p>
    <w:p>
      <w:pPr>
        <w:spacing w:before="160" w:after="40" w:line="240" w:lineRule="auto"/>
      </w:pPr>
      <w:r>
        <w:rPr>
          <w:b/>
        </w:rPr>
        <w:t xml:space="preserve">[86] </w:t>
      </w:r>
      <w:hyperlink r:id="rId587">
        <w:r>
          <w:rPr>
            <w:color w:val="1155CC"/>
            <w:u w:val="single"/>
          </w:rPr>
          <w:t>量子卷积 HLA 免疫原性肽预测 (Q-CHIPP)：利用量子神经网络进行下一代新抗原预测</w:t>
        </w:r>
      </w:hyperlink>
    </w:p>
    <w:p>
      <w:pPr>
        <w:spacing w:before="0" w:after="80"/>
      </w:pPr>
      <w:r>
        <w:rPr>
          <w:i/>
          <w:sz w:val="20"/>
        </w:rPr>
        <w:t>EN: Quantum convolutional HLA immunogenic peptide prediction (Q-CHIPP): Next-generation neoantigen prediction with quantum neural network</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88">
        <w:r>
          <w:rPr>
            <w:color w:val="1155CC"/>
            <w:u w:val="single"/>
          </w:rPr>
          <w:t>10.1126/sciadv.aec3824</w:t>
        </w:r>
      </w:hyperlink>
    </w:p>
    <w:p>
      <w:pPr>
        <w:spacing w:before="0" w:after="120"/>
      </w:pPr>
      <w:r>
        <w:rPr>
          <w:b/>
        </w:rPr>
        <w:t xml:space="preserve">Notes: </w:t>
      </w:r>
      <w:r>
        <w:t>abstract_source=crossref</w:t>
      </w:r>
    </w:p>
    <w:p>
      <w:pPr>
        <w:spacing w:before="0" w:after="80" w:lineRule="auto" w:line="276"/>
      </w:pPr>
      <w:r>
        <w:rPr>
          <w:b/>
        </w:rPr>
        <w:t xml:space="preserve">摘要（ZH）: </w:t>
      </w:r>
      <w:r>
        <w:t>量子计算的快速增长是由以前所未有的速度执行复杂计算的承诺推动的。然而，当前的用例受到量子硬件和识别经典计算机无法轻易解决的问题的困难的限制。在这些限制下，包括药物发现、蛋白质折叠和精准医学在内的生物学问题为了解当前的量子硬件如何取得进步提供了机会。在免疫学中，癌症新抗原的准确预测仍然是一个重大挑战，受到小而嘈杂的数据集以及经典模型无法推广的限制。在解决这个问题时，我们探索了多种噪声缓解技术，包括泡利旋转和动态解耦，结合受控的基于镜头的采样，以稳定真实硬件上的训练和热启动混合方法。通过这些方法，我们演示了使用量子卷积神经网络 (QCNN) 进行 MHC 结合和免疫原性预测，包括涉及 46 个量子位的量子硬件实验，与传统方法相比，用更少的训练样本实现了 6% 的分类精度提高。在这些模型的基础上，我们引入了量子卷积 HLA 免疫原性肽预测 (Q-CHIPP)，这是一个集成 MHC 结合和 T 细胞识别的组合框架。它以 HLA-A*02:01 限制性 9 聚体肽为目标，更准确地识别那些已知具有免疫原性的肽，从而改善预测的新抗原负载的预后影响。在一起，</w:t>
      </w:r>
    </w:p>
    <w:p>
      <w:pPr>
        <w:spacing w:before="0" w:after="200" w:lineRule="auto" w:line="276"/>
      </w:pPr>
      <w:r>
        <w:rPr>
          <w:b/>
        </w:rPr>
        <w:t xml:space="preserve">Abstract (EN): </w:t>
      </w:r>
      <w:r>
        <w:t>The rapid growth of quantum computing is driven by promises of performing complex calculations with unprecedented speed; however, current use cases have been limited by quantum hardware and the difficulty of identifying problems that classical computers cannot easily address. Within these constraints, biological problems including drug discovery, protein folding, and precision medicine present an opportunity to understand how current quantum hardware can make advances. In immunology, accurate prediction of cancer neoantigens remains a major challenge, limited by small, noisy datasets and the inability of classical models to generalize. In approaching the problem, we explore multiple noise mitigation techniques, including Pauli twirling and dynamical decoupling, in conjunction with controlled shot-based sampling to stabilize training on real hardware and in a warm start hybrid approach. With these approaches, we demonstrate the use of Quantum Convolutional Neural Networks (QCNNs) for both MHC binding and immunogenicity prediction, including a quantum hardware experiment involving 46 qubits that achieved a 6% increase in classification accuracy with fewer training samples compared to classical approaches. Building on these models, we introduce Quantum Convolutional HLA Immunogenic Peptide Prediction (Q-CHIPP), a combinatorial framework integrating MHC binding and T-cell recognition. It targets HLA-A*02:01–restricted 9-mer peptides and, more accurately, identifies those peptides known to be immunogenic, improving the prognostic impact of predicted neoantigen load. Together, these represent a large-scale application of QCNNs in biomedical modeling, highlighting both the feasibility and promise of quantum machine learning for data-limited biological systems and establishing a scalable foundation for quantum-enhanced biomedical research.</w:t>
      </w:r>
    </w:p>
    <w:p>
      <w:pPr>
        <w:spacing w:before="120" w:after="120"/>
      </w:pPr>
      <w:r>
        <w:rPr>
          <w:sz w:val="18"/>
        </w:rPr>
        <w:t>——————————————————————————————————————————————————————————————————————</w:t>
      </w:r>
    </w:p>
    <w:p>
      <w:pPr>
        <w:spacing w:before="160" w:after="40" w:line="240" w:lineRule="auto"/>
      </w:pPr>
      <w:r>
        <w:rPr>
          <w:b/>
        </w:rPr>
        <w:t xml:space="preserve">[87] </w:t>
      </w:r>
      <w:hyperlink r:id="rId589">
        <w:r>
          <w:rPr>
            <w:color w:val="1155CC"/>
            <w:u w:val="single"/>
          </w:rPr>
          <w:t>拉达克的古代基因组揭示了藏人和南亚人 2800 年前的混血</w:t>
        </w:r>
      </w:hyperlink>
    </w:p>
    <w:p>
      <w:pPr>
        <w:spacing w:before="0" w:after="80"/>
      </w:pPr>
      <w:r>
        <w:rPr>
          <w:i/>
          <w:sz w:val="20"/>
        </w:rPr>
        <w:t>EN: Ancient genomes from Ladakh reveal 2800-year-old admixture between Tibetans and South Asians</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90">
        <w:r>
          <w:rPr>
            <w:color w:val="1155CC"/>
            <w:u w:val="single"/>
          </w:rPr>
          <w:t>10.1126/sciadv.aeb3636</w:t>
        </w:r>
      </w:hyperlink>
    </w:p>
    <w:p>
      <w:pPr>
        <w:spacing w:before="0" w:after="120"/>
      </w:pPr>
      <w:r>
        <w:rPr>
          <w:b/>
        </w:rPr>
        <w:t xml:space="preserve">Notes: </w:t>
      </w:r>
      <w:r>
        <w:t>abstract_source=crossref</w:t>
      </w:r>
    </w:p>
    <w:p>
      <w:pPr>
        <w:spacing w:before="0" w:after="80" w:lineRule="auto" w:line="276"/>
      </w:pPr>
      <w:r>
        <w:rPr>
          <w:b/>
        </w:rPr>
        <w:t xml:space="preserve">摘要（ZH）: </w:t>
      </w:r>
      <w:r>
        <w:t>由于缺乏古代 DNA，重建南亚的人口历史比世界许多其他地区更困难。我们报告了来自老妇蜘蛛洞 (Old Lady Spider Cave) 的 10 个个体的全基因组数据，该洞穴位于喜马拉雅拉达克地区海拔 4000 米，其历史可以追溯到距今 (B.P.) 约 1500 年。这些人在基因上是同质的，并且具有当今南亚人中罕见的血统特征：以当今北印度人为代表的人口与与古代藏族人基因相似的人口之间的混合比例约为 50-50%。通过分析从每个祖先群体继承的 DNA 片段的典型大小，我们发现这些群体的混合至少在个体出现之前 50 代就开始了，即大约 2800 B.P.</w:t>
      </w:r>
    </w:p>
    <w:p>
      <w:pPr>
        <w:spacing w:before="0" w:after="200" w:lineRule="auto" w:line="276"/>
      </w:pPr>
      <w:r>
        <w:rPr>
          <w:b/>
        </w:rPr>
        <w:t xml:space="preserve">Abstract (EN): </w:t>
      </w:r>
      <w:r>
        <w:t>Reconstructing population history is harder in South Asia than in many other world regions due to a paucity of ancient DNA. We report genome-wide data for 10 individuals from Old Lady Spider Cave, which lies 4000 meters above sea level in the Himalayan region of Ladakh and dates to around 1500 years before the present (B.P.). These individuals were genetically homogeneous and had an ancestry signature rare in South Asians today: admixed in roughly 50–50% proportions between a population well proxied by present-day North Indians and another genetically similar to ancient Tibetans. By analyzing the typical sizes of segments of DNA inherited from each of these ancestral populations, we find that admixture of these groups began at least 50 generations before the date of the individuals, that is, by around 2800 B.P.</w:t>
      </w:r>
    </w:p>
    <w:p>
      <w:pPr>
        <w:spacing w:before="120" w:after="120"/>
      </w:pPr>
      <w:r>
        <w:rPr>
          <w:sz w:val="18"/>
        </w:rPr>
        <w:t>——————————————————————————————————————————————————————————————————————</w:t>
      </w:r>
    </w:p>
    <w:p>
      <w:pPr>
        <w:spacing w:before="160" w:after="40" w:line="240" w:lineRule="auto"/>
      </w:pPr>
      <w:r>
        <w:rPr>
          <w:b/>
        </w:rPr>
        <w:t xml:space="preserve">[88] </w:t>
      </w:r>
      <w:hyperlink r:id="rId591">
        <w:r>
          <w:rPr>
            <w:color w:val="1155CC"/>
            <w:u w:val="single"/>
          </w:rPr>
          <w:t>用于液体从头开始多尺度建模的统一机器学习框架</w:t>
        </w:r>
      </w:hyperlink>
    </w:p>
    <w:p>
      <w:pPr>
        <w:spacing w:before="0" w:after="80"/>
      </w:pPr>
      <w:r>
        <w:rPr>
          <w:i/>
          <w:sz w:val="20"/>
        </w:rPr>
        <w:t>EN: A unified machine-learning framework for ab initio multiscale modeling of liquids</w:t>
      </w:r>
    </w:p>
    <w:p>
      <w:pPr>
        <w:spacing w:before="0" w:after="120"/>
      </w:pPr>
      <w:r>
        <w:rPr>
          <w:b/>
        </w:rPr>
        <w:t xml:space="preserve">Source: </w:t>
      </w:r>
      <w:r>
        <w:t>Proceedings of the National Academy of Sciences: Keyword search for query</w:t>
      </w:r>
      <w:r>
        <w:t xml:space="preserve">    </w:t>
      </w:r>
      <w:r>
        <w:rPr>
          <w:b/>
        </w:rPr>
        <w:t xml:space="preserve">Pub date: </w:t>
      </w:r>
      <w:r>
        <w:t>2026-07-24 07:00:00+00:00</w:t>
      </w:r>
      <w:r>
        <w:t xml:space="preserve">    </w:t>
      </w:r>
      <w:r>
        <w:rPr>
          <w:b/>
        </w:rPr>
        <w:t xml:space="preserve">DOI: </w:t>
      </w:r>
      <w:hyperlink r:id="rId592">
        <w:r>
          <w:rPr>
            <w:color w:val="1155CC"/>
            <w:u w:val="single"/>
          </w:rPr>
          <w:t>10.1073/pnas.2610049123</w:t>
        </w:r>
      </w:hyperlink>
    </w:p>
    <w:p>
      <w:pPr>
        <w:spacing w:before="0" w:after="120"/>
      </w:pPr>
      <w:r>
        <w:rPr>
          <w:b/>
        </w:rPr>
        <w:t xml:space="preserve">Notes: </w:t>
      </w:r>
      <w:r>
        <w:t>abstract_source=crossref</w:t>
      </w:r>
    </w:p>
    <w:p>
      <w:pPr>
        <w:spacing w:before="0" w:after="80" w:lineRule="auto" w:line="276"/>
      </w:pPr>
      <w:r>
        <w:rPr>
          <w:b/>
        </w:rPr>
        <w:t xml:space="preserve">摘要（ZH）: </w:t>
      </w:r>
      <w:r>
        <w:t>仅使用薛定谔方程中编码的微观相互作用来理解和预测液体物质在长度尺度上的行为仍然是物理科学的一个核心挑战。实现这一目标不仅需要准确有效地描述分子间力，还需要一个连接微观、介观和宏观尺度的一致框架。在这里，通过将机器学习原子间势（MLIP）与神经经典密度泛函理论（cDFT）相结合，我们提出了这样一个框架。在量子力学能量和力上训练的 MLIP 用于生成不均匀的密度分布，然后将其用作神经 cDFT 的训练数据。由此产生的从头算神经 cDFT 比分子模拟计算效率更高，并为均匀和平面非均匀系统的热力学提供了概念上透明的途径。我们使用几种交换相关函数演示了水和二氧化碳的方法。除了在底层近似电子结构的水平上准确再现体态方程和液-气相图之外，从头算神经 cDFT 还根据第一原理预测了限制如何改变水中的液-气共存。它还捕获超临界二氧化碳中的复杂行为，例如 Fisher-Widom 线和 Widom 线。虽然当前的应用仅限于散装流体和平面几何形状，但该方法通过统一两个独立的模型，建立了流体多尺度建模的通用第一原理路线</w:t>
      </w:r>
    </w:p>
    <w:p>
      <w:pPr>
        <w:spacing w:before="0" w:after="200" w:lineRule="auto" w:line="276"/>
      </w:pPr>
      <w:r>
        <w:rPr>
          <w:b/>
        </w:rPr>
        <w:t xml:space="preserve">Abstract (EN): </w:t>
      </w:r>
      <w:r>
        <w:t>Understanding and predicting the behavior of liquid matter across length scales—using only the microscopic interactions encoded in the Schrödinger equation—remains a central challenge in the physical sciences. Achieving this goal requires not only an accurate and efficient description of intermolecular forces but also a consistent framework that bridges the micro-, meso-, and macroscales. Here, by combining machine-learned interatomic potentials (MLIPs) with neural classical density functional theory (cDFT), we present such a framework. MLIPs trained on quantum-mechanical energies and forces are used to generate inhomogeneous density profiles, which then serve as the training data for neural cDFT. The resulting ab initio neural cDFT is more computationally efficient than molecular simulations and provides a conceptually transparent route to the thermodynamics of both homogeneous and planar inhomogeneous systems. We demonstrate the approach for both water and carbon dioxide using several exchange–correlation functionals. Beyond accurately reproducing—at the level of the underlying approximate electronic structure—bulk equations of state and liquid–vapor phase diagrams, ab initio neural cDFT predicts, from first principles, how confinement modifies liquid–vapor coexistence in water. It also captures complex behavior in supercritical carbon dioxide such as the Fisher–Widom and Widom lines. While current applications are limited to bulk fluids and planar geometries, this approach establishes a general first-principles route to multiscale modeling of fluids by unifying two independently developed machine-learning paradigms. This work represents an important step toward generalizing cDFT beyond simple empirical potentials to chemically complex systems.</w:t>
      </w:r>
    </w:p>
    <w:p>
      <w:pPr>
        <w:spacing w:before="120" w:after="120"/>
      </w:pPr>
      <w:r>
        <w:rPr>
          <w:sz w:val="18"/>
        </w:rPr>
        <w:t>——————————————————————————————————————————————————————————————————————</w:t>
      </w:r>
    </w:p>
    <w:p>
      <w:pPr>
        <w:spacing w:before="160" w:after="40" w:line="240" w:lineRule="auto"/>
      </w:pPr>
      <w:r>
        <w:rPr>
          <w:b/>
        </w:rPr>
        <w:t xml:space="preserve">[89] </w:t>
      </w:r>
      <w:hyperlink r:id="rId593">
        <w:r>
          <w:rPr>
            <w:color w:val="1155CC"/>
            <w:u w:val="single"/>
          </w:rPr>
          <w:t>扭转蔬菜生物多样性丧失，实现饮食多样化</w:t>
        </w:r>
      </w:hyperlink>
    </w:p>
    <w:p>
      <w:pPr>
        <w:spacing w:before="0" w:after="80"/>
      </w:pPr>
      <w:r>
        <w:rPr>
          <w:i/>
          <w:sz w:val="20"/>
        </w:rPr>
        <w:t>EN: Reversing vegetable biodiversity loss to diversify diets</w:t>
      </w:r>
    </w:p>
    <w:p>
      <w:pPr>
        <w:spacing w:before="0" w:after="120"/>
      </w:pPr>
      <w:r>
        <w:rPr>
          <w:b/>
        </w:rPr>
        <w:t xml:space="preserve">Source: </w:t>
      </w:r>
      <w:r>
        <w:t>Proceedings of the National Academy of Sciences: Keyword search for query</w:t>
      </w:r>
      <w:r>
        <w:t xml:space="preserve">    </w:t>
      </w:r>
      <w:r>
        <w:rPr>
          <w:b/>
        </w:rPr>
        <w:t xml:space="preserve">Pub date: </w:t>
      </w:r>
      <w:r>
        <w:t>2026-07-24 07:00:00+00:00</w:t>
      </w:r>
      <w:r>
        <w:t xml:space="preserve">    </w:t>
      </w:r>
      <w:r>
        <w:rPr>
          <w:b/>
        </w:rPr>
        <w:t xml:space="preserve">DOI: </w:t>
      </w:r>
      <w:hyperlink r:id="rId594">
        <w:r>
          <w:rPr>
            <w:color w:val="1155CC"/>
            <w:u w:val="single"/>
          </w:rPr>
          <w:t>10.1073/pnas.2532063123</w:t>
        </w:r>
      </w:hyperlink>
    </w:p>
    <w:p>
      <w:pPr>
        <w:spacing w:before="0" w:after="120"/>
      </w:pPr>
      <w:r>
        <w:rPr>
          <w:b/>
        </w:rPr>
        <w:t xml:space="preserve">Notes: </w:t>
      </w:r>
      <w:r>
        <w:t>abstract_source=crossref</w:t>
      </w:r>
    </w:p>
    <w:p>
      <w:pPr>
        <w:spacing w:before="0" w:after="80" w:lineRule="auto" w:line="276"/>
      </w:pPr>
      <w:r>
        <w:rPr>
          <w:b/>
        </w:rPr>
        <w:t xml:space="preserve">摘要（ZH）: </w:t>
      </w:r>
      <w:r>
        <w:t>蔬菜是饮食的重要组成部分，这一基本食物的摄入不足会导致饮食质量差和营养不良。粮食系统评估认为，生产不足、价格相对较高和社会文化障碍是蔬菜消费的主要制约因素。我们认为，蔬菜生物多样性，涵盖蔬菜物种及其品种，以及它们的野生近缘物种，是提高蔬菜消费的核心但未得到充分利用的杠杆。与任何其他植物源性食品相比，蔬菜的系统发育范围更广，为全球不同的气候、文化和市场提供了选择。然而，由于市场同质化、土地利用变化和其他威胁，蔬菜生物多样性正在下降。目前对其的保护不足，进而限制了研究、育种和创新对这种多样性的利用，并使得弥合当前蔬菜摄入量与推荐蔬菜摄入量之间的差距变得更加困难。要在全球范围内扭转这一趋势，需要通过四个互补的行动领域使保护与饮食目标保持一致： i) 通过收集、再生和保护生物多样性热点地区的当地作物品种和关键蔬菜物种的野生近缘种，确保蔬菜生物多样性； ii) 通过合作研究、育种和品种测试，利用蔬菜生物多样性来提供新品种； iii) 促进蔬菜生物多样性，使饮食多样化，特别是儿童和其他弱势群体，将营养丰富、适应气候变化的蔬菜纳入膳食中</w:t>
      </w:r>
    </w:p>
    <w:p>
      <w:pPr>
        <w:spacing w:before="0" w:after="200" w:lineRule="auto" w:line="276"/>
      </w:pPr>
      <w:r>
        <w:rPr>
          <w:b/>
        </w:rPr>
        <w:t xml:space="preserve">Abstract (EN): </w:t>
      </w:r>
      <w:r>
        <w:t>Vegetables are a critical component of diets, with inadequate intake of this essential food group leading to poor dietary quality and malnutrition. Food system assessments identify insufficient production, comparatively high prices, and sociocultural barriers as key constraints to vegetable consumption. We argue that vegetable biodiversity, spanning vegetable species and their varieties, as well as their wild relative species, is a central yet underutilized lever for enhancing vegetable consumption. Vegetables span a wider phylogenetic range than any other plant-derived food group, offering options for different climatic, cultural, and market niches worldwide. However, vegetable biodiversity is declining due to market homogenization, land-use change, and other threats. Its current conservation is insufficient, restricting in turn access to this diversity for research, breeding, and innovation, and making it more difficult to bridge the gap between current and recommended vegetable intake. Reversing this trend globally requires aligning conservation with dietary goals through four complementary action areas: i) Securing vegetable biodiversity by collecting, regenerating, and conserving local crop varieties and wild relatives of key vegetable species in biodiversity hotspots; ii) Harnessing vegetable biodiversity to deliver new varieties through collaborative research, breeding, and variety testing; iii) Promoting vegetable biodiversity to diversify diets, particularly among children and other vulnerable groups, by including nutrient-dense, climate-resilient vegetables into home and school meals; and iv) Integrating vegetable biodiversity into policy frameworks for long-term impact. Implementing this integrated approach in hotspots where vegetable biodiversity and malnutrition overlap can transform an overlooked opportunity into a cornerstone strategy for healthier diets.</w:t>
      </w:r>
    </w:p>
    <w:p>
      <w:pPr>
        <w:spacing w:before="120" w:after="120"/>
      </w:pPr>
      <w:r>
        <w:rPr>
          <w:sz w:val="18"/>
        </w:rPr>
        <w:t>——————————————————————————————————————————————————————————————————————</w:t>
      </w:r>
    </w:p>
    <w:p>
      <w:pPr>
        <w:spacing w:before="160" w:after="40" w:line="240" w:lineRule="auto"/>
      </w:pPr>
      <w:r>
        <w:rPr>
          <w:b/>
        </w:rPr>
        <w:t xml:space="preserve">[90] </w:t>
      </w:r>
      <w:hyperlink r:id="rId595">
        <w:r>
          <w:rPr>
            <w:color w:val="1155CC"/>
            <w:u w:val="single"/>
          </w:rPr>
          <w:t>谈判中的社会阶层差距：低阶层人士谈判较少，面临更多抵制</w:t>
        </w:r>
      </w:hyperlink>
    </w:p>
    <w:p>
      <w:pPr>
        <w:spacing w:before="0" w:after="80"/>
      </w:pPr>
      <w:r>
        <w:rPr>
          <w:i/>
          <w:sz w:val="20"/>
        </w:rPr>
        <w:t>EN: The social-class gap in negotiation: Lower-class individuals negotiate less and face more backlash</w:t>
      </w:r>
    </w:p>
    <w:p>
      <w:pPr>
        <w:spacing w:before="0" w:after="120"/>
      </w:pPr>
      <w:r>
        <w:rPr>
          <w:b/>
        </w:rPr>
        <w:t xml:space="preserve">Source: </w:t>
      </w:r>
      <w:r>
        <w:t>Proceedings of the National Academy of Sciences: Keyword search for query</w:t>
      </w:r>
      <w:r>
        <w:t xml:space="preserve">    </w:t>
      </w:r>
      <w:r>
        <w:rPr>
          <w:b/>
        </w:rPr>
        <w:t xml:space="preserve">Pub date: </w:t>
      </w:r>
      <w:r>
        <w:t>2026-07-24 07:00:00+00:00</w:t>
      </w:r>
      <w:r>
        <w:t xml:space="preserve">    </w:t>
      </w:r>
      <w:r>
        <w:rPr>
          <w:b/>
        </w:rPr>
        <w:t xml:space="preserve">DOI: </w:t>
      </w:r>
      <w:hyperlink r:id="rId596">
        <w:r>
          <w:rPr>
            <w:color w:val="1155CC"/>
            <w:u w:val="single"/>
          </w:rPr>
          <w:t>10.1073/pnas.2602128123</w:t>
        </w:r>
      </w:hyperlink>
    </w:p>
    <w:p>
      <w:pPr>
        <w:spacing w:before="0" w:after="120"/>
      </w:pPr>
      <w:r>
        <w:rPr>
          <w:b/>
        </w:rPr>
        <w:t xml:space="preserve">Notes: </w:t>
      </w:r>
      <w:r>
        <w:t>abstract_source=crossref</w:t>
      </w:r>
    </w:p>
    <w:p>
      <w:pPr>
        <w:spacing w:before="0" w:after="80" w:lineRule="auto" w:line="276"/>
      </w:pPr>
      <w:r>
        <w:rPr>
          <w:b/>
        </w:rPr>
        <w:t xml:space="preserve">摘要（ZH）: </w:t>
      </w:r>
      <w:r>
        <w:t>在美国和全球范围内，经济不平等现象已大幅扩大，引发了关于社会分层再现机制的紧迫问题。这种不平等的一个突出表现是组织中的“阶级上限”：来自较低社会阶层的个人比较高阶层的人收入更少，晋升也更慢，即使资历相当。我们确定了导致阶级上限的一个关键行为途径：谈判倾向的社会阶级差距。我们认为，与较高阶层的人相比，较低阶层的人发起谈判的可能性较小，随着时间的推移，这种模式可能会加剧经济劣势。四项研究（总计</w:t>
      </w:r>
      <w:r>
        <w:t xml:space="preserve"> </w:t>
      </w:r>
      <w:r>
        <w:t>氮</w:t>
      </w:r>
      <w:r>
        <w:t xml:space="preserve"> </w:t>
      </w:r>
      <w:r>
        <w:t>= 10,211）——包括具有全国代表性的员工样本（研究 1）、商学院学生样本（研究 2）、在线劳动力市场的实地研究（研究 3）以及工作场所谈判和职业成果的调查研究（研究 4）——我们发现了这一差距的一致证据。这种差距的部分原因是下层阶级的权力感减弱和对社会抵制的担忧加剧。此外，研究 5（</w:t>
      </w:r>
      <w:r>
        <w:t xml:space="preserve"> </w:t>
      </w:r>
      <w:r>
        <w:t>氮</w:t>
      </w:r>
      <w:r>
        <w:t xml:space="preserve"> </w:t>
      </w:r>
      <w:r>
        <w:t>= 1,133）发现这种担忧可能是有道理的：一项针对人力资源（HR）专业人员的实验表明，当由下层（相对于上层）个人提出相同的谈判请求时，会引起更强烈的社会反弹。总之，这些发现揭示了对下层阶级个体的有害双重束缚：继续存在</w:t>
      </w:r>
    </w:p>
    <w:p>
      <w:pPr>
        <w:spacing w:before="0" w:after="200" w:lineRule="auto" w:line="276"/>
      </w:pPr>
      <w:r>
        <w:rPr>
          <w:b/>
        </w:rPr>
        <w:t xml:space="preserve">Abstract (EN): </w:t>
      </w:r>
      <w:r>
        <w:t>Economic inequality has widened considerably in the United States and globally, raising pressing questions about the mechanisms that reproduce social stratification. One prominent manifestation of this inequality is the “class ceiling” in organizations: individuals from lower social classes earn less and advance more slowly than their higher-class counterparts, even with comparable credentials. We identify a crucial behavioral pathway contributing to this class ceiling: a social-class gap in the propensity to negotiate. We propose that lower-class individuals are less likely to initiate negotiations than their higher-class counterparts, a pattern that can compound economic disadvantage over time. Across four studies (total</w:t>
      </w:r>
      <w:r>
        <w:t xml:space="preserve"> </w:t>
      </w:r>
      <w:r>
        <w:t>N</w:t>
      </w:r>
      <w:r>
        <w:t xml:space="preserve"> </w:t>
      </w:r>
      <w:r>
        <w:t>= 10,211)—including a nationally representative sample of employees (Study 1), a sample of business school students (Study 2), a field study of an online labor market (Study 3), and a survey study of workplace negotiations and career outcomes (Study 4)—we find consistent evidence for this gap. This gap is partially explained by lower-class individuals’ reduced sense of power and heightened concerns about social backlash. Additionally, Study 5 (</w:t>
      </w:r>
      <w:r>
        <w:t xml:space="preserve"> </w:t>
      </w:r>
      <w:r>
        <w:t>N</w:t>
      </w:r>
      <w:r>
        <w:t xml:space="preserve"> </w:t>
      </w:r>
      <w:r>
        <w:t>= 1,133) finds that such concerns may be justified: an experiment with human resources (HR) professionals shows that identical negotiation requests elicit stronger social backlash when initiated by lower-class (vs. higher-class) individuals. Together, these findings reveal a pernicious double bind for lower-class individuals: remaining silent perpetuates economic disadvantage, yet initiating negotiation exposes them to greater social penalties. Addressing this double bind is critical for ensuring that negotiation serves as a vehicle for upward mobility rather than a gatekeeper of privilege.</w:t>
      </w:r>
    </w:p>
    <w:p>
      <w:pPr>
        <w:spacing w:before="120" w:after="120"/>
      </w:pPr>
      <w:r>
        <w:rPr>
          <w:sz w:val="18"/>
        </w:rPr>
        <w:t>——————————————————————————————————————————————————————————————————————</w:t>
      </w:r>
    </w:p>
    <w:p>
      <w:pPr>
        <w:spacing w:before="160" w:after="40" w:line="240" w:lineRule="auto"/>
      </w:pPr>
      <w:r>
        <w:rPr>
          <w:b/>
        </w:rPr>
        <w:t xml:space="preserve">[91] </w:t>
      </w:r>
      <w:hyperlink r:id="rId597">
        <w:r>
          <w:rPr>
            <w:color w:val="1155CC"/>
            <w:u w:val="single"/>
          </w:rPr>
          <w:t>使用稳定自充电钙钛矿量子棒的亚 1/10 激子阈值激光器</w:t>
        </w:r>
      </w:hyperlink>
    </w:p>
    <w:p>
      <w:pPr>
        <w:spacing w:before="0" w:after="80"/>
      </w:pPr>
      <w:r>
        <w:rPr>
          <w:i/>
          <w:sz w:val="20"/>
        </w:rPr>
        <w:t>EN: Sub-1/10 exciton threshold lasers using stable self-charged perovskite quantum rods</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598">
        <w:r>
          <w:rPr>
            <w:color w:val="1155CC"/>
            <w:u w:val="single"/>
          </w:rPr>
          <w:t>10.1126/sciadv.aeb6386</w:t>
        </w:r>
      </w:hyperlink>
    </w:p>
    <w:p>
      <w:pPr>
        <w:spacing w:before="0" w:after="120"/>
      </w:pPr>
      <w:r>
        <w:rPr>
          <w:b/>
        </w:rPr>
        <w:t xml:space="preserve">Notes: </w:t>
      </w:r>
      <w:r>
        <w:t>abstract_source=crossref</w:t>
      </w:r>
    </w:p>
    <w:p>
      <w:pPr>
        <w:spacing w:before="0" w:after="80" w:lineRule="auto" w:line="276"/>
      </w:pPr>
      <w:r>
        <w:rPr>
          <w:b/>
        </w:rPr>
        <w:t xml:space="preserve">摘要（ZH）: </w:t>
      </w:r>
      <w:r>
        <w:t>胶体量子点 (QD) 是一种很有前途的光学增益材料，需要降低阈值才能充分发挥其潜力。虽然 QD 充电理论上将阈值降低到零，但其有效性受到强俄歇复合和不稳定充电的限制。在本研究中，我们从理论上确定了充电次数和俄歇复合的最佳组合，以最小化激光阈值。在实验上，我们通过状态工程和锰（Mn）掺杂策略开发了稳定的自充电钙钛矿量子棒（QR）作为量子点的替代品。非辐射俄歇复合减少了两个数量级，使 QR 能够支持高达 6 的充电数量。然后，我们通过子实现 QR 液体激光发射。</w:t>
      </w:r>
      <w:r>
        <w:rPr>
          <w:vertAlign w:val="subscript"/>
        </w:rPr>
        <w:t>1</w:t>
      </w:r>
      <w:r>
        <w:t>/</w:t>
      </w:r>
      <w:r>
        <w:rPr>
          <w:vertAlign w:val="subscript"/>
        </w:rPr>
        <w:t>10</w:t>
      </w:r>
      <w:r>
        <w:t>使用 5 纳秒脉冲泵浦的激子阈值（每个 QR 平均 0.098 个激子）。在所有报道的 QD 激光器中，这个阈值非常低。这些成就证明了专门设计的 QR 作为优秀增益介质的潜力，并为其应用铺平了道路。</w:t>
      </w:r>
    </w:p>
    <w:p>
      <w:pPr>
        <w:spacing w:before="0" w:after="200" w:lineRule="auto" w:line="276"/>
      </w:pPr>
      <w:r>
        <w:rPr>
          <w:b/>
        </w:rPr>
        <w:t xml:space="preserve">Abstract (EN): </w:t>
      </w:r>
      <w:r>
        <w:t>Colloidal quantum dots (QDs) are promising optical gain materials that require a reduction in the threshold to reach their full potential. While QD charging theoretically reduces the threshold to zero, its effectiveness has been limited by strong Auger recombination and unstable charging. In this study, we theoretically determine the optimal combination of charging number and Auger recombination to minimize the lasing threshold. Experimentally, we develop stable, self-charged perovskite quantum rods (QRs) as an alternative to QDs via the state engineering and Mn (manganese) doping strategy. A two-order-of-magnitude reduction in nonradiative Auger recombination enables QRs to support a charging number of up to 6. We then achieve QR liquid lasing with a sub-</w:t>
      </w:r>
      <w:r>
        <w:rPr>
          <w:vertAlign w:val="subscript"/>
        </w:rPr>
        <w:t>1</w:t>
      </w:r>
      <w:r>
        <w:t>/</w:t>
      </w:r>
      <w:r>
        <w:rPr>
          <w:vertAlign w:val="subscript"/>
        </w:rPr>
        <w:t>10</w:t>
      </w:r>
      <w:r>
        <w:t>exciton threshold (an average of 0.098 excitons per QR) using 5-nanosecond pulse pumping. This threshold is exceptionally low among all reported QD lasers. These achievements demonstrate the potential of specially engineered QRs as excellent gain media and pave the way for their applications.</w:t>
      </w:r>
    </w:p>
    <w:p>
      <w:pPr>
        <w:spacing w:before="120" w:after="120"/>
      </w:pPr>
      <w:r>
        <w:rPr>
          <w:sz w:val="18"/>
        </w:rPr>
        <w:t>——————————————————————————————————————————————————————————————————————</w:t>
      </w:r>
    </w:p>
    <w:p>
      <w:pPr>
        <w:spacing w:before="160" w:after="40" w:line="240" w:lineRule="auto"/>
      </w:pPr>
      <w:r>
        <w:rPr>
          <w:b/>
        </w:rPr>
        <w:t xml:space="preserve">[92] </w:t>
      </w:r>
      <w:hyperlink r:id="rId599">
        <w:r>
          <w:rPr>
            <w:color w:val="1155CC"/>
            <w:u w:val="single"/>
          </w:rPr>
          <w:t>VAMP7依赖性线粒体-溶酶体接触有助于神经胶质线粒体动力学和多巴胺能神经元存活</w:t>
        </w:r>
      </w:hyperlink>
    </w:p>
    <w:p>
      <w:pPr>
        <w:spacing w:before="0" w:after="80"/>
      </w:pPr>
      <w:r>
        <w:rPr>
          <w:i/>
          <w:sz w:val="20"/>
        </w:rPr>
        <w:t>EN: VAMP7-dependent mitochondria–lysosome contacts contribute to glial mitochondrial dynamics and dopaminergic neuron survival</w:t>
      </w:r>
    </w:p>
    <w:p>
      <w:pPr>
        <w:spacing w:before="0" w:after="120"/>
      </w:pPr>
      <w:r>
        <w:rPr>
          <w:b/>
        </w:rPr>
        <w:t xml:space="preserve">Source: </w:t>
      </w:r>
      <w:r>
        <w:t>Proceedings of the National Academy of Sciences: Keyword search for query</w:t>
      </w:r>
      <w:r>
        <w:t xml:space="preserve">    </w:t>
      </w:r>
      <w:r>
        <w:rPr>
          <w:b/>
        </w:rPr>
        <w:t xml:space="preserve">Pub date: </w:t>
      </w:r>
      <w:r>
        <w:t>2026-07-24 07:00:00+00:00</w:t>
      </w:r>
      <w:r>
        <w:t xml:space="preserve">    </w:t>
      </w:r>
      <w:r>
        <w:rPr>
          <w:b/>
        </w:rPr>
        <w:t xml:space="preserve">DOI: </w:t>
      </w:r>
      <w:hyperlink r:id="rId600">
        <w:r>
          <w:rPr>
            <w:color w:val="1155CC"/>
            <w:u w:val="single"/>
          </w:rPr>
          <w:t>10.1073/pnas.2603069123</w:t>
        </w:r>
      </w:hyperlink>
    </w:p>
    <w:p>
      <w:pPr>
        <w:spacing w:before="0" w:after="120"/>
      </w:pPr>
      <w:r>
        <w:rPr>
          <w:b/>
        </w:rPr>
        <w:t xml:space="preserve">Notes: </w:t>
      </w:r>
      <w:r>
        <w:t>abstract_source=crossref</w:t>
      </w:r>
    </w:p>
    <w:p>
      <w:pPr>
        <w:spacing w:before="0" w:after="80" w:lineRule="auto" w:line="276"/>
      </w:pPr>
      <w:r>
        <w:rPr>
          <w:b/>
        </w:rPr>
        <w:t xml:space="preserve">摘要（ZH）: </w:t>
      </w:r>
      <w:r>
        <w:t>尽管神经元中线粒体动力学紊乱与神经退行性疾病密切相关，但人们对神经胶质细胞中线粒体动力学如何调节或神经胶质细胞线粒体功能障碍是否会导致神经退行性疾病知之甚少。在这里，我们发现 R-SNARE 蛋白 VAMP7 调节成年果蝇神经胶质细胞中线粒体-溶酶体接触（MLC）的解链。神经胶质细胞特异性敲除 VAMP7 会导致 MLC 延长和线粒体伸长，并与裂变/融合动力学改变相关。这些 VAMP7 缺陷的线粒体表现出超极化膜电位，导致活性氧产生增加、脂滴积累和多巴胺能神经变性。从机制上讲，VAMP7 与 GTP 酶激活蛋白 TBC1D15-17 相互作用，促进 Rab7 GTP 水解。如果没有 VAMP7，TBC1D15-17 仍与 Rab7 结合，但无法激活其水解，导致 GTP 结合的 Rab7 升高，并且 MLC 不受束缚。一致地，GTP 锁定的 Rab7 的表达</w:t>
      </w:r>
      <w:r>
        <w:t xml:space="preserve"> </w:t>
      </w:r>
      <w:r>
        <w:t>Q67L</w:t>
      </w:r>
      <w:r>
        <w:t xml:space="preserve"> </w:t>
      </w:r>
      <w:r>
        <w:t>或 GTP 酶激活蛋白死亡的 TBC1D15-17</w:t>
      </w:r>
      <w:r>
        <w:t xml:space="preserve"> </w:t>
      </w:r>
      <w:r>
        <w:t>Δ间隙</w:t>
      </w:r>
      <w:r>
        <w:t xml:space="preserve"> </w:t>
      </w:r>
      <w:r>
        <w:t>表型复制线粒体缺陷，而GDP结合的Rab7</w:t>
      </w:r>
      <w:r>
        <w:t xml:space="preserve"> </w:t>
      </w:r>
      <w:r>
        <w:t>T22N</w:t>
      </w:r>
      <w:r>
        <w:t xml:space="preserve"> </w:t>
      </w:r>
      <w:r>
        <w:t>或野生型 TBC1D15-17 恢复 MLC 动态。考虑到 SNARE 蛋白介导膜融合，我们的结果表明 VAMP7 通过细胞器接触在神经胶质线粒体动力学中发挥作用，以非细胞自主方式影响神经元存活。</w:t>
      </w:r>
    </w:p>
    <w:p>
      <w:pPr>
        <w:spacing w:before="0" w:after="200" w:lineRule="auto" w:line="276"/>
      </w:pPr>
      <w:r>
        <w:rPr>
          <w:b/>
        </w:rPr>
        <w:t xml:space="preserve">Abstract (EN): </w:t>
      </w:r>
      <w:r>
        <w:t>Although disrupted mitochondrial dynamics in neurons are closely linked to neurodegenerative diseases, far less is known about how mitochondrial dynamics are regulated in glia or whether glial mitochondrial dysfunction contributes to neurodegeneration. Here, we show that the R-SNARE protein VAMP7 regulates the untethering of mitochondria–lysosome contacts (MLCs) in adult fly glia. Glial-specific knockdown of VAMP7 leads to prolonged MLCs and mitochondrial elongation associated with altered fission/fusion dynamics. These VAMP7-deficient mitochondria exhibit hyperpolarized membrane potential, leading to increased reactive oxygen species production, lipid droplet accumulation, and dopaminergic neurodegeneration. Mechanistically, VAMP7 interacts with the GTPase-activating protein TBC1D15-17 to promote Rab7 GTP hydrolysis. Without VAMP7, TBC1D15-17 remains bound to Rab7 but fails to activate its hydrolysis, resulting in elevated GTP-bound Rab7 and impaired MLCs untethering. Consistently, expression of GTP-locked Rab7</w:t>
      </w:r>
      <w:r>
        <w:t xml:space="preserve"> </w:t>
      </w:r>
      <w:r>
        <w:t>Q67L</w:t>
      </w:r>
      <w:r>
        <w:t xml:space="preserve"> </w:t>
      </w:r>
      <w:r>
        <w:t>or GTPase-activating protein-dead TBC1D15-17</w:t>
      </w:r>
      <w:r>
        <w:t xml:space="preserve"> </w:t>
      </w:r>
      <w:r>
        <w:t>ΔGAP</w:t>
      </w:r>
      <w:r>
        <w:t xml:space="preserve"> </w:t>
      </w:r>
      <w:r>
        <w:t>phenocopies the mitochondrial defects, while GDP-bound Rab7</w:t>
      </w:r>
      <w:r>
        <w:t xml:space="preserve"> </w:t>
      </w:r>
      <w:r>
        <w:t>T22N</w:t>
      </w:r>
      <w:r>
        <w:t xml:space="preserve"> </w:t>
      </w:r>
      <w:r>
        <w:t>or wild-type TBC1D15-17 restores the MLC dynamics. Considering that SNARE proteins mediate membrane fusion, our results demonstrate a role for VAMP7 in glial mitochondrial dynamics via organelle contacts, impacting neuron survival in a non-cell-autonomous manner.</w:t>
      </w:r>
    </w:p>
    <w:p>
      <w:pPr>
        <w:spacing w:before="120" w:after="120"/>
      </w:pPr>
      <w:r>
        <w:rPr>
          <w:sz w:val="18"/>
        </w:rPr>
        <w:t>——————————————————————————————————————————————————————————————————————</w:t>
      </w:r>
    </w:p>
    <w:p>
      <w:pPr>
        <w:spacing w:before="160" w:after="40" w:line="240" w:lineRule="auto"/>
      </w:pPr>
      <w:r>
        <w:rPr>
          <w:b/>
        </w:rPr>
        <w:t xml:space="preserve">[93] </w:t>
      </w:r>
      <w:hyperlink r:id="rId601">
        <w:r>
          <w:rPr>
            <w:color w:val="1155CC"/>
            <w:u w:val="single"/>
          </w:rPr>
          <w:t>通过时域太赫兹发射光谱解决倾斜反铁磁体中的弱矩</w:t>
        </w:r>
      </w:hyperlink>
    </w:p>
    <w:p>
      <w:pPr>
        <w:spacing w:before="0" w:after="80"/>
      </w:pPr>
      <w:r>
        <w:rPr>
          <w:i/>
          <w:sz w:val="20"/>
        </w:rPr>
        <w:t>EN: Resolving weak moments in canted antiferromagnets via time-domain terahertz emission spectroscopy</w:t>
      </w:r>
    </w:p>
    <w:p>
      <w:pPr>
        <w:spacing w:before="0" w:after="120"/>
      </w:pPr>
      <w:r>
        <w:rPr>
          <w:b/>
        </w:rPr>
        <w:t xml:space="preserve">Source: </w:t>
      </w:r>
      <w:r>
        <w:t>Proceedings of the National Academy of Sciences: Keyword search for query</w:t>
      </w:r>
      <w:r>
        <w:t xml:space="preserve">    </w:t>
      </w:r>
      <w:r>
        <w:rPr>
          <w:b/>
        </w:rPr>
        <w:t xml:space="preserve">Pub date: </w:t>
      </w:r>
      <w:r>
        <w:t>2026-07-24 07:00:00+00:00</w:t>
      </w:r>
      <w:r>
        <w:t xml:space="preserve">    </w:t>
      </w:r>
      <w:r>
        <w:rPr>
          <w:b/>
        </w:rPr>
        <w:t xml:space="preserve">DOI: </w:t>
      </w:r>
      <w:hyperlink r:id="rId602">
        <w:r>
          <w:rPr>
            <w:color w:val="1155CC"/>
            <w:u w:val="single"/>
          </w:rPr>
          <w:t>10.1073/pnas.2603194123</w:t>
        </w:r>
      </w:hyperlink>
    </w:p>
    <w:p>
      <w:pPr>
        <w:spacing w:before="0" w:after="120"/>
      </w:pPr>
      <w:r>
        <w:rPr>
          <w:b/>
        </w:rPr>
        <w:t xml:space="preserve">Notes: </w:t>
      </w:r>
      <w:r>
        <w:t>abstract_source=crossref</w:t>
      </w:r>
    </w:p>
    <w:p>
      <w:pPr>
        <w:spacing w:before="0" w:after="80" w:lineRule="auto" w:line="276"/>
      </w:pPr>
      <w:r>
        <w:rPr>
          <w:b/>
        </w:rPr>
        <w:t xml:space="preserve">摘要（ZH）: </w:t>
      </w:r>
      <w:r>
        <w:t>倾斜的反铁磁体具有由自旋倾斜产生的弱净磁化强度，同时保持反铁磁有序的超快响应。探测如此微小的力矩（尤其是薄膜中的力矩）仍然具有挑战性，因为传统的磁光和电技术缺乏足够的灵敏度。在这里，我们采用时域太赫兹发射光谱作为这种弱磁性的非接触式探针。使用外延 TmFeO</w:t>
      </w:r>
      <w:r>
        <w:rPr>
          <w:vertAlign w:val="subscript"/>
        </w:rPr>
        <w:t>3</w:t>
      </w:r>
      <w:r>
        <w:t>/Pt 异质结构作为模型系统，发射的太赫兹信号直接遵循倾斜 Fe 的方向</w:t>
      </w:r>
      <w:r>
        <w:t xml:space="preserve"> </w:t>
      </w:r>
      <w:r>
        <w:t>3+</w:t>
      </w:r>
      <w:r>
        <w:t xml:space="preserve"> </w:t>
      </w:r>
      <w:r>
        <w:t>时刻，允许通过自旋重定向过渡实时跟踪其连续旋转。此外，与传统的铁磁体/Pt系统相比，太赫兹磁滞极性是相反的，表明非常规的界面磁配置。我们的研究结果表明太赫兹发射光谱是解决倾斜反铁磁薄膜和超薄膜中超快太赫兹发射响应的强大工具。</w:t>
      </w:r>
    </w:p>
    <w:p>
      <w:pPr>
        <w:spacing w:before="0" w:after="200" w:lineRule="auto" w:line="276"/>
      </w:pPr>
      <w:r>
        <w:rPr>
          <w:b/>
        </w:rPr>
        <w:t xml:space="preserve">Abstract (EN): </w:t>
      </w:r>
      <w:r>
        <w:t>Canted antiferromagnets host weak net magnetization arising from spin canting while preserving the ultrafast response of antiferromagnetic order. Probing such minute moments—especially in thin films—remains challenging, as conventional magneto-optical and electrical techniques lack sufficient sensitivity. Here, we employ time-domain terahertz emission spectroscopy as a contact-free probe of such weak magnetism. Using epitaxial TmFeO</w:t>
      </w:r>
      <w:r>
        <w:rPr>
          <w:vertAlign w:val="subscript"/>
        </w:rPr>
        <w:t>3</w:t>
      </w:r>
      <w:r>
        <w:t>/Pt heterostructures as a model system, the emitted THz signal directly follows the orientation of the canted Fe</w:t>
      </w:r>
      <w:r>
        <w:t xml:space="preserve"> </w:t>
      </w:r>
      <w:r>
        <w:t>3+</w:t>
      </w:r>
      <w:r>
        <w:t xml:space="preserve"> </w:t>
      </w:r>
      <w:r>
        <w:t>moment, allowing real-time tracking of its continuous rotation through the spin reorientation transition. Moreover, the THz hysteresis polarity is reversed compared with conventional ferromagnet/Pt systems, indicating an unconventional interfacial magnetic configuration. Our findings establish THz emission spectroscopy as a powerful tool for resolving ultrafast THz emission response in canted antiferromagnetic thin and ultrathin films.</w:t>
      </w:r>
    </w:p>
    <w:p>
      <w:pPr>
        <w:spacing w:before="120" w:after="120"/>
      </w:pPr>
      <w:r>
        <w:rPr>
          <w:sz w:val="18"/>
        </w:rPr>
        <w:t>——————————————————————————————————————————————————————————————————————</w:t>
      </w:r>
    </w:p>
    <w:p>
      <w:pPr>
        <w:spacing w:before="160" w:after="40" w:line="240" w:lineRule="auto"/>
      </w:pPr>
      <w:r>
        <w:rPr>
          <w:b/>
        </w:rPr>
        <w:t xml:space="preserve">[94] </w:t>
      </w:r>
      <w:hyperlink r:id="rId603">
        <w:r>
          <w:rPr>
            <w:color w:val="1155CC"/>
            <w:u w:val="single"/>
          </w:rPr>
          <w:t>聚合物机械性能的机械立体化学调节</w:t>
        </w:r>
      </w:hyperlink>
    </w:p>
    <w:p>
      <w:pPr>
        <w:spacing w:before="0" w:after="80"/>
      </w:pPr>
      <w:r>
        <w:rPr>
          <w:i/>
          <w:sz w:val="20"/>
        </w:rPr>
        <w:t>EN: Mechanostereochemical modulation of polymer mechanical properties</w:t>
      </w:r>
    </w:p>
    <w:p>
      <w:pPr>
        <w:spacing w:before="0" w:after="120"/>
      </w:pPr>
      <w:r>
        <w:rPr>
          <w:b/>
        </w:rPr>
        <w:t xml:space="preserve">Source: </w:t>
      </w:r>
      <w:r>
        <w:t>Proceedings of the National Academy of Sciences: Keyword search for query</w:t>
      </w:r>
      <w:r>
        <w:t xml:space="preserve">    </w:t>
      </w:r>
      <w:r>
        <w:rPr>
          <w:b/>
        </w:rPr>
        <w:t xml:space="preserve">Pub date: </w:t>
      </w:r>
      <w:r>
        <w:t>2026-07-24 07:00:00+00:00</w:t>
      </w:r>
      <w:r>
        <w:t xml:space="preserve">    </w:t>
      </w:r>
      <w:r>
        <w:rPr>
          <w:b/>
        </w:rPr>
        <w:t xml:space="preserve">DOI: </w:t>
      </w:r>
      <w:hyperlink r:id="rId604">
        <w:r>
          <w:rPr>
            <w:color w:val="1155CC"/>
            <w:u w:val="single"/>
          </w:rPr>
          <w:t>10.1073/pnas.2607437123</w:t>
        </w:r>
      </w:hyperlink>
    </w:p>
    <w:p>
      <w:pPr>
        <w:spacing w:before="0" w:after="120"/>
      </w:pPr>
      <w:r>
        <w:rPr>
          <w:b/>
        </w:rPr>
        <w:t xml:space="preserve">Notes: </w:t>
      </w:r>
      <w:r>
        <w:t>abstract_source=crossref</w:t>
      </w:r>
    </w:p>
    <w:p>
      <w:pPr>
        <w:spacing w:before="0" w:after="80" w:lineRule="auto" w:line="276"/>
      </w:pPr>
      <w:r>
        <w:rPr>
          <w:b/>
        </w:rPr>
        <w:t xml:space="preserve">摘要（ZH）: </w:t>
      </w:r>
      <w:r>
        <w:t>立体化学深刻影响聚合物的物理和机械性能，弹性天然橡胶（</w:t>
      </w:r>
      <w:r>
        <w:t xml:space="preserve"> </w:t>
      </w:r>
      <w:r>
        <w:t>顺式</w:t>
      </w:r>
      <w:r>
        <w:t xml:space="preserve"> </w:t>
      </w:r>
      <w:r>
        <w:t>-聚异戊二烯）和较硬、延展性较差的古塔胶（</w:t>
      </w:r>
      <w:r>
        <w:t xml:space="preserve"> </w:t>
      </w:r>
      <w:r>
        <w:t>反式</w:t>
      </w:r>
      <w:r>
        <w:t xml:space="preserve"> </w:t>
      </w:r>
      <w:r>
        <w:t>-异构体）。传统的立体化学，如立构规整度和</w:t>
      </w:r>
      <w:r>
        <w:t xml:space="preserve"> </w:t>
      </w:r>
      <w:r>
        <w:t>顺式</w:t>
      </w:r>
      <w:r>
        <w:t xml:space="preserve"> </w:t>
      </w:r>
      <w:r>
        <w:t>/</w:t>
      </w:r>
      <w:r>
        <w:t>反式</w:t>
      </w:r>
      <w:r>
        <w:t xml:space="preserve"> </w:t>
      </w:r>
      <w:r>
        <w:t>异构现象主要控制基于固定结构或构象因素的聚合物特性。在这里，通过将机械立体化学概念融入聚合物中，我们展示了一种立体化学范式，其中动态异构体决定材料特性，从而定义了前所未有的瞬态立体结构功效机制。具体来说，我们设计了两个基于[</w:t>
      </w:r>
      <w:r>
        <w:t xml:space="preserve"> </w:t>
      </w:r>
      <w:r>
        <w:t>c</w:t>
      </w:r>
      <w:r>
        <w:t xml:space="preserve"> </w:t>
      </w:r>
      <w:r>
        <w:t>2]菊花链，其中力触发的分子内运动产生具有不同几何构型的机械立体异构体：[</w:t>
      </w:r>
      <w:r>
        <w:t xml:space="preserve"> </w:t>
      </w:r>
      <w:r>
        <w:t>c</w:t>
      </w:r>
      <w:r>
        <w:t xml:space="preserve"> </w:t>
      </w:r>
      <w:r>
        <w:t>2]菊花链</w:t>
      </w:r>
      <w:r>
        <w:rPr>
          <w:vertAlign w:val="subscript"/>
        </w:rPr>
        <w:t>1</w:t>
      </w:r>
      <w:r>
        <w:t>在分钟-</w:t>
      </w:r>
      <w:r>
        <w:rPr>
          <w:vertAlign w:val="subscript"/>
        </w:rPr>
        <w:t>1</w:t>
      </w:r>
      <w:r>
        <w:t>收缩成渔夫结，而[</w:t>
      </w:r>
      <w:r>
        <w:t xml:space="preserve"> </w:t>
      </w:r>
      <w:r>
        <w:t>c</w:t>
      </w:r>
      <w:r>
        <w:t xml:space="preserve"> </w:t>
      </w:r>
      <w:r>
        <w:t>2]菊花链</w:t>
      </w:r>
      <w:r>
        <w:rPr>
          <w:vertAlign w:val="subscript"/>
        </w:rPr>
        <w:t>2</w:t>
      </w:r>
      <w:r>
        <w:t>在分钟-</w:t>
      </w:r>
      <w:r>
        <w:rPr>
          <w:vertAlign w:val="subscript"/>
        </w:rPr>
        <w:t>2</w:t>
      </w:r>
      <w:r>
        <w:t>延伸成一个循环。由于环路结构降低了网络弹性，MIN-</w:t>
      </w:r>
      <w:r>
        <w:rPr>
          <w:vertAlign w:val="subscript"/>
        </w:rPr>
        <w:t>2</w:t>
      </w:r>
      <w:r>
        <w:t>在大应变剪切测量中表现出较低的模量并且不太明显</w:t>
      </w:r>
    </w:p>
    <w:p>
      <w:pPr>
        <w:spacing w:before="0" w:after="200" w:lineRule="auto" w:line="276"/>
      </w:pPr>
      <w:r>
        <w:rPr>
          <w:b/>
        </w:rPr>
        <w:t xml:space="preserve">Abstract (EN): </w:t>
      </w:r>
      <w:r>
        <w:t>Stereochemistry profoundly affects the physical and mechanical properties of polymers, illustrated by the contrast between elastic natural rubber (</w:t>
      </w:r>
      <w:r>
        <w:t xml:space="preserve"> </w:t>
      </w:r>
      <w:r>
        <w:t>cis</w:t>
      </w:r>
      <w:r>
        <w:t xml:space="preserve"> </w:t>
      </w:r>
      <w:r>
        <w:t>-polyisoprene) and the stiffer, less extensible gutta-percha (</w:t>
      </w:r>
      <w:r>
        <w:t xml:space="preserve"> </w:t>
      </w:r>
      <w:r>
        <w:t>trans</w:t>
      </w:r>
      <w:r>
        <w:t xml:space="preserve"> </w:t>
      </w:r>
      <w:r>
        <w:t>-isomer). Traditional stereochemistry such as tacticity and</w:t>
      </w:r>
      <w:r>
        <w:t xml:space="preserve"> </w:t>
      </w:r>
      <w:r>
        <w:t>cis</w:t>
      </w:r>
      <w:r>
        <w:t xml:space="preserve"> </w:t>
      </w:r>
      <w:r>
        <w:t>/</w:t>
      </w:r>
      <w:r>
        <w:t>trans</w:t>
      </w:r>
      <w:r>
        <w:t xml:space="preserve"> </w:t>
      </w:r>
      <w:r>
        <w:t>isomerism primarily governs polymer properties based on fixed structural or conformational factors. Herein, by incorporating the mechanostereochemistry concept into polymers, we demonstrate a stereochemistry paradigm wherein dynamic isomers dictate material properties, thereby defining the unprecedented transient-stereostructure-efficacy mechanism. Specifically, we engineer two mechanically interlocked networks based on [</w:t>
      </w:r>
      <w:r>
        <w:t xml:space="preserve"> </w:t>
      </w:r>
      <w:r>
        <w:t>c</w:t>
      </w:r>
      <w:r>
        <w:t xml:space="preserve"> </w:t>
      </w:r>
      <w:r>
        <w:t>2]daisy chains, where force-triggered intramolecular motion generates mechanostereoisomers with distinct geometric configurations: [</w:t>
      </w:r>
      <w:r>
        <w:t xml:space="preserve"> </w:t>
      </w:r>
      <w:r>
        <w:t>c</w:t>
      </w:r>
      <w:r>
        <w:t xml:space="preserve"> </w:t>
      </w:r>
      <w:r>
        <w:t>2]Daisy chain</w:t>
      </w:r>
      <w:r>
        <w:rPr>
          <w:vertAlign w:val="subscript"/>
        </w:rPr>
        <w:t>1</w:t>
      </w:r>
      <w:r>
        <w:t>in MIN-</w:t>
      </w:r>
      <w:r>
        <w:rPr>
          <w:vertAlign w:val="subscript"/>
        </w:rPr>
        <w:t>1</w:t>
      </w:r>
      <w:r>
        <w:t>contracts into a fisherman’s knot, whereas [</w:t>
      </w:r>
      <w:r>
        <w:t xml:space="preserve"> </w:t>
      </w:r>
      <w:r>
        <w:t>c</w:t>
      </w:r>
      <w:r>
        <w:t xml:space="preserve"> </w:t>
      </w:r>
      <w:r>
        <w:t>2]daisy chain</w:t>
      </w:r>
      <w:r>
        <w:rPr>
          <w:vertAlign w:val="subscript"/>
        </w:rPr>
        <w:t>2</w:t>
      </w:r>
      <w:r>
        <w:t>in MIN-</w:t>
      </w:r>
      <w:r>
        <w:rPr>
          <w:vertAlign w:val="subscript"/>
        </w:rPr>
        <w:t>2</w:t>
      </w:r>
      <w:r>
        <w:t>extends into a loop. Due to reduced network elasticity from the loop structure, MIN-</w:t>
      </w:r>
      <w:r>
        <w:rPr>
          <w:vertAlign w:val="subscript"/>
        </w:rPr>
        <w:t>2</w:t>
      </w:r>
      <w:r>
        <w:t>exhibits a lower modulus in large-strain shear measurements and less pronounced strain hardening in tensile tests compared to MIN-</w:t>
      </w:r>
      <w:r>
        <w:rPr>
          <w:vertAlign w:val="subscript"/>
        </w:rPr>
        <w:t>1</w:t>
      </w:r>
      <w:r>
        <w:t>. Since these mechanostereoisomers are induced by force, material properties show strain-dependent character: both networks perform similarly under small or no strain, but diverge significantly at large strains. Our work expands the conceptual boundaries of polymer stereochemistry and provides insights for designing high-performance materials through stereochemical control.</w:t>
      </w:r>
    </w:p>
    <w:p>
      <w:pPr>
        <w:spacing w:before="120" w:after="120"/>
      </w:pPr>
      <w:r>
        <w:rPr>
          <w:sz w:val="18"/>
        </w:rPr>
        <w:t>——————————————————————————————————————————————————————————————————————</w:t>
      </w:r>
    </w:p>
    <w:p>
      <w:pPr>
        <w:spacing w:before="160" w:after="40" w:line="240" w:lineRule="auto"/>
      </w:pPr>
      <w:r>
        <w:rPr>
          <w:b/>
        </w:rPr>
        <w:t xml:space="preserve">[95] </w:t>
      </w:r>
      <w:hyperlink r:id="rId605">
        <w:r>
          <w:rPr>
            <w:color w:val="1155CC"/>
            <w:u w:val="single"/>
          </w:rPr>
          <w:t>高分辨率模拟揭示了太平洋低云对全球变暖的积极反馈</w:t>
        </w:r>
      </w:hyperlink>
    </w:p>
    <w:p>
      <w:pPr>
        <w:spacing w:before="0" w:after="80"/>
      </w:pPr>
      <w:r>
        <w:rPr>
          <w:i/>
          <w:sz w:val="20"/>
        </w:rPr>
        <w:t>EN: High-resolution simulations reveal positive global warming feedback from Pacific low clouds</w:t>
      </w:r>
    </w:p>
    <w:p>
      <w:pPr>
        <w:spacing w:before="0" w:after="120"/>
      </w:pPr>
      <w:r>
        <w:rPr>
          <w:b/>
        </w:rPr>
        <w:t xml:space="preserve">Source: </w:t>
      </w:r>
      <w:r>
        <w:t>AAAS: Science Advances: Table of Contents</w:t>
      </w:r>
      <w:r>
        <w:t xml:space="preserve">    </w:t>
      </w:r>
      <w:r>
        <w:rPr>
          <w:b/>
        </w:rPr>
        <w:t xml:space="preserve">Pub date: </w:t>
      </w:r>
      <w:r>
        <w:t>2026-07-24 07:00:00+00:00</w:t>
      </w:r>
      <w:r>
        <w:t xml:space="preserve">    </w:t>
      </w:r>
      <w:r>
        <w:rPr>
          <w:b/>
        </w:rPr>
        <w:t xml:space="preserve">DOI: </w:t>
      </w:r>
      <w:hyperlink r:id="rId606">
        <w:r>
          <w:rPr>
            <w:color w:val="1155CC"/>
            <w:u w:val="single"/>
          </w:rPr>
          <w:t>10.1126/sciadv.aec8488</w:t>
        </w:r>
      </w:hyperlink>
    </w:p>
    <w:p>
      <w:pPr>
        <w:spacing w:before="0" w:after="120"/>
      </w:pPr>
      <w:r>
        <w:rPr>
          <w:b/>
        </w:rPr>
        <w:t xml:space="preserve">Notes: </w:t>
      </w:r>
      <w:r>
        <w:t>abstract_source=crossref</w:t>
      </w:r>
    </w:p>
    <w:p>
      <w:pPr>
        <w:spacing w:before="0" w:after="80" w:lineRule="auto" w:line="276"/>
      </w:pPr>
      <w:r>
        <w:rPr>
          <w:b/>
        </w:rPr>
        <w:t xml:space="preserve">摘要（ZH）: </w:t>
      </w:r>
      <w:r>
        <w:t>海洋低层云反馈的不确定性限制了准确的气候预测。使用热带太平洋低云的 7083 个高分辨率模拟，我们将海面变暖的影响与直接二氧化碳 (CO</w:t>
      </w:r>
      <w:r>
        <w:rPr>
          <w:vertAlign w:val="subscript"/>
        </w:rPr>
        <w:t>2</w:t>
      </w:r>
      <w:r>
        <w:t>）的影响。仅地表变暖就可以驱动低云的积极反馈</w:t>
      </w:r>
      <w:r>
        <w:t xml:space="preserve"> </w:t>
      </w:r>
      <w:r>
        <w:t>0.14瓦米</w:t>
      </w:r>
      <w:r>
        <w:t xml:space="preserve"> </w:t>
      </w:r>
      <w:r>
        <w:t>-</w:t>
      </w:r>
      <w:r>
        <w:rPr>
          <w:vertAlign w:val="subscript"/>
        </w:rPr>
        <w:t>2</w:t>
      </w:r>
      <w:r>
        <w:t xml:space="preserve"> </w:t>
      </w:r>
      <w:r>
        <w:t>K</w:t>
      </w:r>
      <w:r>
        <w:t xml:space="preserve"> </w:t>
      </w:r>
      <w:r>
        <w:t>-</w:t>
      </w:r>
      <w:r>
        <w:rPr>
          <w:vertAlign w:val="subscript"/>
        </w:rPr>
        <w:t>1</w:t>
      </w:r>
      <w:r>
        <w:t xml:space="preserve"> </w:t>
      </w:r>
      <w:r>
        <w:t>。虽然 CO 加倍后变化不大</w:t>
      </w:r>
      <w:r>
        <w:rPr>
          <w:vertAlign w:val="subscript"/>
        </w:rPr>
        <w:t>2</w:t>
      </w:r>
      <w:r>
        <w:t>，总云辐射响应显着增强至</w:t>
      </w:r>
      <w:r>
        <w:t xml:space="preserve"> </w:t>
      </w:r>
      <w:r>
        <w:t>0.43瓦米</w:t>
      </w:r>
      <w:r>
        <w:t xml:space="preserve"> </w:t>
      </w:r>
      <w:r>
        <w:t>-</w:t>
      </w:r>
      <w:r>
        <w:rPr>
          <w:vertAlign w:val="subscript"/>
        </w:rPr>
        <w:t>2</w:t>
      </w:r>
      <w:r>
        <w:t xml:space="preserve"> </w:t>
      </w:r>
      <w:r>
        <w:t>K</w:t>
      </w:r>
      <w:r>
        <w:t xml:space="preserve"> </w:t>
      </w:r>
      <w:r>
        <w:t>-</w:t>
      </w:r>
      <w:r>
        <w:rPr>
          <w:vertAlign w:val="subscript"/>
        </w:rPr>
        <w:t>1</w:t>
      </w:r>
      <w:r>
        <w:t xml:space="preserve"> </w:t>
      </w:r>
      <w:r>
        <w:t>在四倍二氧化碳浓度下</w:t>
      </w:r>
      <w:r>
        <w:rPr>
          <w:vertAlign w:val="subscript"/>
        </w:rPr>
        <w:t>2</w:t>
      </w:r>
      <w:r>
        <w:t>，揭示了强烈的非线性相互作用</w:t>
      </w:r>
    </w:p>
    <w:p>
      <w:pPr>
        <w:spacing w:before="0" w:after="200" w:lineRule="auto" w:line="276"/>
      </w:pPr>
      <w:r>
        <w:rPr>
          <w:b/>
        </w:rPr>
        <w:t xml:space="preserve">Abstract (EN): </w:t>
      </w:r>
      <w:r>
        <w:t>Uncertainty in marine low-level cloud feedbacks limits accurate climate projections. Using 7083 high-resolution simulations of tropical Pacific low clouds, we separated the impacts of sea surface warming from direct carbon dioxide (CO</w:t>
      </w:r>
      <w:r>
        <w:rPr>
          <w:vertAlign w:val="subscript"/>
        </w:rPr>
        <w:t>2</w:t>
      </w:r>
      <w:r>
        <w:t>) effects. Surface warming alone drives a positive low-cloud feedback of</w:t>
      </w:r>
      <w:r>
        <w:t xml:space="preserve"> </w:t>
      </w:r>
      <w:r>
        <w:t>0.14 W m</w:t>
      </w:r>
      <w:r>
        <w:t xml:space="preserve"> </w:t>
      </w:r>
      <w:r>
        <w:t>−</w:t>
      </w:r>
      <w:r>
        <w:rPr>
          <w:vertAlign w:val="subscript"/>
        </w:rPr>
        <w:t>2</w:t>
      </w:r>
      <w:r>
        <w:t xml:space="preserve"> </w:t>
      </w:r>
      <w:r>
        <w:t>K</w:t>
      </w:r>
      <w:r>
        <w:t xml:space="preserve"> </w:t>
      </w:r>
      <w:r>
        <w:t>−</w:t>
      </w:r>
      <w:r>
        <w:rPr>
          <w:vertAlign w:val="subscript"/>
        </w:rPr>
        <w:t>1</w:t>
      </w:r>
      <w:r>
        <w:t xml:space="preserve"> </w:t>
      </w:r>
      <w:r>
        <w:t>. While this changes little with doubled CO</w:t>
      </w:r>
      <w:r>
        <w:rPr>
          <w:vertAlign w:val="subscript"/>
        </w:rPr>
        <w:t>2</w:t>
      </w:r>
      <w:r>
        <w:t>, the total cloud radiative response strengthens markedly to</w:t>
      </w:r>
      <w:r>
        <w:t xml:space="preserve"> </w:t>
      </w:r>
      <w:r>
        <w:t>0.43 W m</w:t>
      </w:r>
      <w:r>
        <w:t xml:space="preserve"> </w:t>
      </w:r>
      <w:r>
        <w:t>−</w:t>
      </w:r>
      <w:r>
        <w:rPr>
          <w:vertAlign w:val="subscript"/>
        </w:rPr>
        <w:t>2</w:t>
      </w:r>
      <w:r>
        <w:t xml:space="preserve"> </w:t>
      </w:r>
      <w:r>
        <w:t>K</w:t>
      </w:r>
      <w:r>
        <w:t xml:space="preserve"> </w:t>
      </w:r>
      <w:r>
        <w:t>−</w:t>
      </w:r>
      <w:r>
        <w:rPr>
          <w:vertAlign w:val="subscript"/>
        </w:rPr>
        <w:t>1</w:t>
      </w:r>
      <w:r>
        <w:t xml:space="preserve"> </w:t>
      </w:r>
      <w:r>
        <w:t>under quadrupled CO</w:t>
      </w:r>
      <w:r>
        <w:rPr>
          <w:vertAlign w:val="subscript"/>
        </w:rPr>
        <w:t>2</w:t>
      </w:r>
      <w:r>
        <w:t>, revealing a strong nonlinear interaction. Surface warming alone modifies the boundary layer through increased inversion strength and weakened subsidence, which buffers clouds by promoting higher liquid water content while cloud fraction decreases. Rapid adjustments to high CO</w:t>
      </w:r>
      <w:r>
        <w:rPr>
          <w:vertAlign w:val="subscript"/>
        </w:rPr>
        <w:t>2</w:t>
      </w:r>
      <w:r>
        <w:t>concentrations counteract this protective cloud thickening. Consequently, a pronounced reduction in cloud fraction is no longer offset by an increase in cloud brightness, markedly strengthening the total radiative response under quadrupled CO</w:t>
      </w:r>
      <w:r>
        <w:rPr>
          <w:vertAlign w:val="subscript"/>
        </w:rPr>
        <w:t>2</w:t>
      </w:r>
      <w:r>
        <w:t>. Ultimately, our results suggest that climate sensitivity is more state-dependent than often assumed.</w:t>
      </w:r>
    </w:p>
    <w:p>
      <w:pPr>
        <w:spacing w:before="120" w:after="120"/>
      </w:pPr>
      <w:r>
        <w:rPr>
          <w:sz w:val="18"/>
        </w:rPr>
        <w:t>——————————————————————————————————————————————————————————————————————</w:t>
      </w:r>
    </w:p>
    <w:p>
      <w:pPr>
        <w:spacing w:before="160" w:after="40" w:line="240" w:lineRule="auto"/>
      </w:pPr>
      <w:r>
        <w:rPr>
          <w:b/>
        </w:rPr>
        <w:t xml:space="preserve">[96] </w:t>
      </w:r>
      <w:hyperlink r:id="rId607">
        <w:r>
          <w:rPr>
            <w:color w:val="1155CC"/>
            <w:u w:val="single"/>
          </w:rPr>
          <w:t>线性Regge轨迹的兴起</w:t>
        </w:r>
      </w:hyperlink>
    </w:p>
    <w:p>
      <w:pPr>
        <w:spacing w:before="0" w:after="80"/>
      </w:pPr>
      <w:r>
        <w:rPr>
          <w:i/>
          <w:sz w:val="20"/>
        </w:rPr>
        <w:t>EN: Rise of Linear Regge Trajectories</w:t>
      </w:r>
    </w:p>
    <w:p>
      <w:pPr>
        <w:spacing w:before="0" w:after="120"/>
      </w:pPr>
      <w:r>
        <w:rPr>
          <w:b/>
        </w:rPr>
        <w:t xml:space="preserve">Source: </w:t>
      </w:r>
      <w:r>
        <w:t>Recent Articles in Phys. Rev. Lett.</w:t>
      </w:r>
      <w:r>
        <w:t xml:space="preserve">    </w:t>
      </w:r>
      <w:r>
        <w:rPr>
          <w:b/>
        </w:rPr>
        <w:t xml:space="preserve">Pub date: </w:t>
      </w:r>
      <w:r>
        <w:t>2026-07-24 10:00:00+00:00</w:t>
      </w:r>
      <w:r>
        <w:t xml:space="preserve">    </w:t>
      </w:r>
      <w:r>
        <w:rPr>
          <w:b/>
        </w:rPr>
        <w:t xml:space="preserve">DOI: </w:t>
      </w:r>
      <w:hyperlink r:id="rId608">
        <w:r>
          <w:rPr>
            <w:color w:val="1155CC"/>
            <w:u w:val="single"/>
          </w:rPr>
          <w:t>10.1103/byzm-k9lw</w:t>
        </w:r>
      </w:hyperlink>
    </w:p>
    <w:p>
      <w:pPr>
        <w:spacing w:before="0" w:after="120"/>
      </w:pPr>
      <w:r>
        <w:rPr>
          <w:b/>
        </w:rPr>
        <w:t xml:space="preserve">Notes: </w:t>
      </w:r>
      <w:r>
        <w:t>abstract_source=rss_description</w:t>
      </w:r>
    </w:p>
    <w:p>
      <w:pPr>
        <w:spacing w:before="0" w:after="80" w:lineRule="auto" w:line="276"/>
      </w:pPr>
      <w:r>
        <w:rPr>
          <w:b/>
        </w:rPr>
        <w:t xml:space="preserve">摘要（ZH）: </w:t>
      </w:r>
      <w:r>
        <w:t>作者：Yu-tin Huang、Sara Ricossa、Francesco Riva 和 Jie-Da Tsai 自举极值原理选择线性 Regge 谱，引力子极唯一地固定了引力理论中的轨迹。莱特牧师。 137, 041603] 发表于 2026 年 7 月 24 日星期五</w:t>
      </w:r>
    </w:p>
    <w:p>
      <w:pPr>
        <w:spacing w:before="0" w:after="200" w:lineRule="auto" w:line="276"/>
      </w:pPr>
      <w:r>
        <w:rPr>
          <w:b/>
        </w:rPr>
        <w:t xml:space="preserve">Abstract (EN): </w:t>
      </w:r>
      <w:r>
        <w:t>Author(s): Yu-tin Huang, Sara Ricossa, Francesco Riva, and Jie-Da TsaiA bootstrap extremization principle selects the linear Regge spectrum, with the graviton pole uniquely fixing the trajectory in gravitational theories.[Phys. Rev. Lett. 137, 041603] Published Fri Jul 24, 2026</w:t>
      </w:r>
    </w:p>
    <w:p>
      <w:pPr>
        <w:spacing w:before="120" w:after="120"/>
      </w:pPr>
      <w:r>
        <w:rPr>
          <w:sz w:val="18"/>
        </w:rPr>
        <w:t>——————————————————————————————————————————————————————————————————————</w:t>
      </w:r>
    </w:p>
    <w:p>
      <w:pPr>
        <w:spacing w:before="160" w:after="40" w:line="240" w:lineRule="auto"/>
      </w:pPr>
      <w:r>
        <w:rPr>
          <w:b/>
        </w:rPr>
        <w:t xml:space="preserve">[97] </w:t>
      </w:r>
      <w:hyperlink r:id="rId609">
        <w:r>
          <w:rPr>
            <w:color w:val="1155CC"/>
            <w:u w:val="single"/>
          </w:rPr>
          <w:t>超导体中贝里曲率的固有能斯特效应</w:t>
        </w:r>
      </w:hyperlink>
    </w:p>
    <w:p>
      <w:pPr>
        <w:spacing w:before="0" w:after="80"/>
      </w:pPr>
      <w:r>
        <w:rPr>
          <w:i/>
          <w:sz w:val="20"/>
        </w:rPr>
        <w:t>EN: Intrinsic Nernst Effect from Berry Curvature in Superconductors</w:t>
      </w:r>
    </w:p>
    <w:p>
      <w:pPr>
        <w:spacing w:before="0" w:after="120"/>
      </w:pPr>
      <w:r>
        <w:rPr>
          <w:b/>
        </w:rPr>
        <w:t xml:space="preserve">Source: </w:t>
      </w:r>
      <w:r>
        <w:t>Recent Articles in Phys. Rev. Lett.</w:t>
      </w:r>
      <w:r>
        <w:t xml:space="preserve">    </w:t>
      </w:r>
      <w:r>
        <w:rPr>
          <w:b/>
        </w:rPr>
        <w:t xml:space="preserve">Pub date: </w:t>
      </w:r>
      <w:r>
        <w:t>2026-07-24 10:00:00+00:00</w:t>
      </w:r>
      <w:r>
        <w:t xml:space="preserve">    </w:t>
      </w:r>
      <w:r>
        <w:rPr>
          <w:b/>
        </w:rPr>
        <w:t xml:space="preserve">DOI: </w:t>
      </w:r>
      <w:hyperlink r:id="rId610">
        <w:r>
          <w:rPr>
            <w:color w:val="1155CC"/>
            <w:u w:val="single"/>
          </w:rPr>
          <w:t>10.1103/jhgx-c8f1</w:t>
        </w:r>
      </w:hyperlink>
    </w:p>
    <w:p>
      <w:pPr>
        <w:spacing w:before="0" w:after="120"/>
      </w:pPr>
      <w:r>
        <w:rPr>
          <w:b/>
        </w:rPr>
        <w:t xml:space="preserve">Notes: </w:t>
      </w:r>
      <w:r>
        <w:t>abstract_source=rss_description</w:t>
      </w:r>
    </w:p>
    <w:p>
      <w:pPr>
        <w:spacing w:before="0" w:after="80" w:lineRule="auto" w:line="276"/>
      </w:pPr>
      <w:r>
        <w:rPr>
          <w:b/>
        </w:rPr>
        <w:t xml:space="preserve">摘要（ZH）: </w:t>
      </w:r>
      <w:r>
        <w:t>作者：Tzu-Chi Hsieh、Cong Shaw 和 Yi-Ting Hsu 能斯特效应可作为贝里曲率的直接探针，通过自旋轨道耦合测试二维材料中的拓扑超导性。莱特牧师。 137, 046002] 发表于 2026 年 7 月 24 日星期五</w:t>
      </w:r>
    </w:p>
    <w:p>
      <w:pPr>
        <w:spacing w:before="0" w:after="200" w:lineRule="auto" w:line="276"/>
      </w:pPr>
      <w:r>
        <w:rPr>
          <w:b/>
        </w:rPr>
        <w:t xml:space="preserve">Abstract (EN): </w:t>
      </w:r>
      <w:r>
        <w:t>Author(s): Tzu-Chi Hsieh, Cong Xiao, and Yi-Ting HsuThe Nernst effect acts as direct probe of Berry curvature to test topological superconductivity in 2D material with spin-orbit coupling.[Phys. Rev. Lett. 137, 046002] Published Fri Jul 24, 2026</w:t>
      </w:r>
    </w:p>
    <w:p>
      <w:pPr>
        <w:spacing w:before="120" w:after="120"/>
      </w:pPr>
      <w:r>
        <w:rPr>
          <w:sz w:val="18"/>
        </w:rPr>
        <w:t>——————————————————————————————————————————————————————————————————————</w:t>
      </w:r>
    </w:p>
    <w:p>
      <w:pPr>
        <w:spacing w:before="160" w:after="40" w:line="240" w:lineRule="auto"/>
      </w:pPr>
      <w:r>
        <w:rPr>
          <w:b/>
        </w:rPr>
        <w:t xml:space="preserve">[98] </w:t>
      </w:r>
      <w:hyperlink r:id="rId611">
        <w:r>
          <w:rPr>
            <w:color w:val="1155CC"/>
            <w:u w:val="single"/>
          </w:rPr>
          <w:t>范德瓦尔斯半导体微腔中的谷工程朗道极化子</w:t>
        </w:r>
      </w:hyperlink>
    </w:p>
    <w:p>
      <w:pPr>
        <w:spacing w:before="0" w:after="80"/>
      </w:pPr>
      <w:r>
        <w:rPr>
          <w:i/>
          <w:sz w:val="20"/>
        </w:rPr>
        <w:t>EN: Valley-Engineered Landau Polaritons in a van der Waals Semiconductor Microcavity</w:t>
      </w:r>
    </w:p>
    <w:p>
      <w:pPr>
        <w:spacing w:before="0" w:after="120"/>
      </w:pPr>
      <w:r>
        <w:rPr>
          <w:b/>
        </w:rPr>
        <w:t xml:space="preserve">Source: </w:t>
      </w:r>
      <w:r>
        <w:t>Recent Articles in Phys. Rev. Lett.</w:t>
      </w:r>
      <w:r>
        <w:t xml:space="preserve">    </w:t>
      </w:r>
      <w:r>
        <w:rPr>
          <w:b/>
        </w:rPr>
        <w:t xml:space="preserve">Pub date: </w:t>
      </w:r>
      <w:r>
        <w:t>2026-07-24 10:00:00+00:00</w:t>
      </w:r>
      <w:r>
        <w:t xml:space="preserve">    </w:t>
      </w:r>
      <w:r>
        <w:rPr>
          <w:b/>
        </w:rPr>
        <w:t xml:space="preserve">DOI: </w:t>
      </w:r>
      <w:hyperlink r:id="rId612">
        <w:r>
          <w:rPr>
            <w:color w:val="1155CC"/>
            <w:u w:val="single"/>
          </w:rPr>
          <w:t>10.1103/dldv-n4f2</w:t>
        </w:r>
      </w:hyperlink>
    </w:p>
    <w:p>
      <w:pPr>
        <w:spacing w:before="0" w:after="120"/>
      </w:pPr>
      <w:r>
        <w:rPr>
          <w:b/>
        </w:rPr>
        <w:t xml:space="preserve">Notes: </w:t>
      </w:r>
      <w:r>
        <w:t>abstract_source=rss_description</w:t>
      </w:r>
    </w:p>
    <w:p>
      <w:pPr>
        <w:spacing w:before="0" w:after="80" w:lineRule="auto" w:line="276"/>
      </w:pPr>
      <w:r>
        <w:rPr>
          <w:b/>
        </w:rPr>
        <w:t xml:space="preserve">摘要（ZH）: </w:t>
      </w:r>
      <w:r>
        <w:t>Author(s): Xinyue Zhang, Hongming Zhang, Yaofeng Zhu, Hang Zhou, Song Luo, Long Xu, Xin Li, Yuquan Zhou, Yan Liu, Zheng Lv, Yuxin Duan, Zhao Xu, Haodong Cheng, Long Zhang, and Zhanghai ChenIntegrating a WSe2 monolayer into an optical microcavity generates valley-engineered Landau polaritons, enabling light-mediated valley control of quantum many-body states.[Phys. Rev. Lett. 137, 046904] Published Fri Jul 24, 2026</w:t>
      </w:r>
    </w:p>
    <w:p>
      <w:pPr>
        <w:spacing w:before="0" w:after="200" w:lineRule="auto" w:line="276"/>
      </w:pPr>
      <w:r>
        <w:rPr>
          <w:b/>
        </w:rPr>
        <w:t xml:space="preserve">Abstract (EN): </w:t>
      </w:r>
      <w:r>
        <w:t>Author(s): Xinyue Zhang, Hongming Zhang, Yaofeng Zhu, Hang Zhou, Song Luo, Long Xu, Xin Li, Yuquan Zhou, Yan Liu, Zheng Lv, Yuxin Duan, Zhao Xu, Haodong Cheng, Long Zhang, and Zhanghai ChenIntegrating a WSe2 monolayer into an optical microcavity generates valley-engineered Landau polaritons, enabling light-mediated valley control of quantum many-body states.[Phys. Rev. Lett. 137, 046904] Published Fri Jul 24, 2026</w:t>
      </w:r>
    </w:p>
    <w:p>
      <w:pPr>
        <w:spacing w:before="120" w:after="120"/>
      </w:pPr>
      <w:r>
        <w:rPr>
          <w:sz w:val="18"/>
        </w:rPr>
        <w:t>——————————————————————————————————————————————————————————————————————</w:t>
      </w:r>
    </w:p>
    <w:p>
      <w:pPr>
        <w:spacing w:before="160" w:after="40" w:line="240" w:lineRule="auto"/>
      </w:pPr>
      <w:r>
        <w:rPr>
          <w:b/>
        </w:rPr>
        <w:t xml:space="preserve">[99] </w:t>
      </w:r>
      <w:hyperlink r:id="rId613">
        <w:r>
          <w:rPr>
            <w:color w:val="1155CC"/>
            <w:u w:val="single"/>
          </w:rPr>
          <w:t>分子共价键对轻核中$α$簇结构的影响</w:t>
        </w:r>
      </w:hyperlink>
    </w:p>
    <w:p>
      <w:pPr>
        <w:spacing w:before="0" w:after="80"/>
      </w:pPr>
      <w:r>
        <w:rPr>
          <w:i/>
          <w:sz w:val="20"/>
        </w:rPr>
        <w:t>EN: Effect of molecular covalent bonds on the $α$ cluster structure in light nuclei</w:t>
      </w:r>
    </w:p>
    <w:p>
      <w:pPr>
        <w:spacing w:before="0" w:after="120"/>
      </w:pPr>
      <w:r>
        <w:rPr>
          <w:b/>
        </w:rPr>
        <w:t xml:space="preserve">Source: </w:t>
      </w:r>
      <w:r>
        <w:t>Recent Articles in Phys. Rev. C</w:t>
      </w:r>
      <w:r>
        <w:t xml:space="preserve">    </w:t>
      </w:r>
      <w:r>
        <w:rPr>
          <w:b/>
        </w:rPr>
        <w:t xml:space="preserve">Pub date: </w:t>
      </w:r>
      <w:r>
        <w:t>2026-07-24 10:00:00+00:00</w:t>
      </w:r>
      <w:r>
        <w:t xml:space="preserve">    </w:t>
      </w:r>
      <w:r>
        <w:rPr>
          <w:b/>
        </w:rPr>
        <w:t xml:space="preserve">DOI: </w:t>
      </w:r>
      <w:hyperlink r:id="rId614">
        <w:r>
          <w:rPr>
            <w:color w:val="1155CC"/>
            <w:u w:val="single"/>
          </w:rPr>
          <w:t>10.1103/wsyy-p1ly</w:t>
        </w:r>
      </w:hyperlink>
    </w:p>
    <w:p>
      <w:pPr>
        <w:spacing w:before="0" w:after="120"/>
      </w:pPr>
      <w:r>
        <w:rPr>
          <w:b/>
        </w:rPr>
        <w:t xml:space="preserve">Notes: </w:t>
      </w:r>
      <w:r>
        <w:t>abstract_source=rss_description</w:t>
      </w:r>
    </w:p>
    <w:p>
      <w:pPr>
        <w:spacing w:before="0" w:after="80" w:lineRule="auto" w:line="276"/>
      </w:pPr>
      <w:r>
        <w:rPr>
          <w:b/>
        </w:rPr>
        <w:t xml:space="preserve">摘要（ZH）: </w:t>
      </w:r>
      <w:r>
        <w:t>作者：狄新平、方大庆、何伟波、周波、马永光利用扩展量子分子动力学模型研究了轻原子核中的团簇结构。研究发现，Be、B、C、N、O、F同位素中$α$簇的有效数量普遍随着同位旋不对称性的增加而减少，非$α$中存在链状分子结构……[Phys. Rev. C 114, 014329] 2026 年 7 月 24 日星期五发布</w:t>
      </w:r>
    </w:p>
    <w:p>
      <w:pPr>
        <w:spacing w:before="0" w:after="200" w:lineRule="auto" w:line="276"/>
      </w:pPr>
      <w:r>
        <w:rPr>
          <w:b/>
        </w:rPr>
        <w:t xml:space="preserve">Abstract (EN): </w:t>
      </w:r>
      <w:r>
        <w:t>Author(s): X. P. Di, D. Q. Fang, W. B. He, B. Zhou, and Y. G. MaThe cluster structure in light nuclei has been studied by using the extended quantum molecular dynamics model. It is found that the effective number of $α$ clusters in Be, B, C, N, O, and F isotope generally decreases with increasing isospin asymmetry and chain molecular structure exists in non-$α$ …[Phys. Rev. C 114, 014329] Published Fri Jul 24, 2026</w:t>
      </w:r>
    </w:p>
    <w:p>
      <w:pPr>
        <w:spacing w:before="120" w:after="120"/>
      </w:pPr>
      <w:r>
        <w:rPr>
          <w:sz w:val="18"/>
        </w:rPr>
        <w:t>——————————————————————————————————————————————————————————————————————</w:t>
      </w:r>
    </w:p>
    <w:p>
      <w:pPr>
        <w:spacing w:before="160" w:after="40" w:line="240" w:lineRule="auto"/>
      </w:pPr>
      <w:r>
        <w:rPr>
          <w:b/>
        </w:rPr>
        <w:t xml:space="preserve">[100] </w:t>
      </w:r>
      <w:hyperlink r:id="rId615">
        <w:r>
          <w:rPr>
            <w:color w:val="1155CC"/>
            <w:u w:val="single"/>
          </w:rPr>
          <w:t>中子皮厚度及其在锫同位素中的体积和表面贡献</w:t>
        </w:r>
      </w:hyperlink>
    </w:p>
    <w:p>
      <w:pPr>
        <w:spacing w:before="0" w:after="80"/>
      </w:pPr>
      <w:r>
        <w:rPr>
          <w:i/>
          <w:sz w:val="20"/>
        </w:rPr>
        <w:t>EN: Neutron skin thickness and its volume and surface contributions in berkelium isotopes</w:t>
      </w:r>
    </w:p>
    <w:p>
      <w:pPr>
        <w:spacing w:before="0" w:after="120"/>
      </w:pPr>
      <w:r>
        <w:rPr>
          <w:b/>
        </w:rPr>
        <w:t xml:space="preserve">Source: </w:t>
      </w:r>
      <w:r>
        <w:t>Recent Articles in Phys. Rev. C</w:t>
      </w:r>
      <w:r>
        <w:t xml:space="preserve">    </w:t>
      </w:r>
      <w:r>
        <w:rPr>
          <w:b/>
        </w:rPr>
        <w:t xml:space="preserve">Pub date: </w:t>
      </w:r>
      <w:r>
        <w:t>2026-07-24 10:00:00+00:00</w:t>
      </w:r>
      <w:r>
        <w:t xml:space="preserve">    </w:t>
      </w:r>
      <w:r>
        <w:rPr>
          <w:b/>
        </w:rPr>
        <w:t xml:space="preserve">DOI: </w:t>
      </w:r>
      <w:hyperlink r:id="rId616">
        <w:r>
          <w:rPr>
            <w:color w:val="1155CC"/>
            <w:u w:val="single"/>
          </w:rPr>
          <w:t>10.1103/yb8k-7tpg</w:t>
        </w:r>
      </w:hyperlink>
    </w:p>
    <w:p>
      <w:pPr>
        <w:spacing w:before="0" w:after="120"/>
      </w:pPr>
      <w:r>
        <w:rPr>
          <w:b/>
        </w:rPr>
        <w:t xml:space="preserve">Notes: </w:t>
      </w:r>
      <w:r>
        <w:t>abstract_source=rss_description</w:t>
      </w:r>
    </w:p>
    <w:p>
      <w:pPr>
        <w:spacing w:before="0" w:after="80" w:lineRule="auto" w:line="276"/>
      </w:pPr>
      <w:r>
        <w:rPr>
          <w:b/>
        </w:rPr>
        <w:t xml:space="preserve">摘要（ZH）: </w:t>
      </w:r>
      <w:r>
        <w:t>作者：王鹏、黄子丹、张双全、孙婷婷有限核中中子皮厚度$(\mathrm{Δ}{R}_{\mathrm{np}})$的精确测定对于约束核对称能的密度依赖性至关重要。这项工作对超铀锫的 $\mathrm{Δ}{R}_{\mathrm{np}}$ 进行了系统研究（Bk…[Phys. Rev. C 114, 014328] 于 2026 年 7 月 24 日星期五发布</w:t>
      </w:r>
    </w:p>
    <w:p>
      <w:pPr>
        <w:spacing w:before="0" w:after="200" w:lineRule="auto" w:line="276"/>
      </w:pPr>
      <w:r>
        <w:rPr>
          <w:b/>
        </w:rPr>
        <w:t xml:space="preserve">Abstract (EN): </w:t>
      </w:r>
      <w:r>
        <w:t>Author(s): Peng Wang, Zi-Dan Huang, Shuang-Quan Zhang, and Ting-Ting SunAccurate determination of the neutron skin thickness $(\mathrm{Δ}{R}_{\mathrm{np}})$ in finite nuclei is essential for constraining the density dependence of the nuclear symmetry energy. This work presents a systematic investigation of $\mathrm{Δ}{R}_{\mathrm{np}}$ for the transuranium berkelium (Bk…[Phys. Rev. C 114, 014328] Published Fri Jul 24, 2026</w:t>
      </w:r>
    </w:p>
    <w:p>
      <w:pPr>
        <w:spacing w:before="120" w:after="120"/>
      </w:pPr>
      <w:r>
        <w:rPr>
          <w:sz w:val="18"/>
        </w:rPr>
        <w:t>——————————————————————————————————————————————————————————————————————</w:t>
      </w:r>
    </w:p>
    <w:p>
      <w:pPr>
        <w:spacing w:before="160" w:after="40" w:line="240" w:lineRule="auto"/>
      </w:pPr>
      <w:r>
        <w:rPr>
          <w:b/>
        </w:rPr>
        <w:t xml:space="preserve">[101] </w:t>
      </w:r>
      <w:hyperlink r:id="rId617">
        <w:r>
          <w:rPr>
            <w:color w:val="1155CC"/>
            <w:u w:val="single"/>
          </w:rPr>
          <w:t>用于可编程细胞识别的共定位门控多价 DNA 逻辑门</w:t>
        </w:r>
      </w:hyperlink>
    </w:p>
    <w:p>
      <w:pPr>
        <w:spacing w:before="0" w:after="80"/>
      </w:pPr>
      <w:r>
        <w:rPr>
          <w:i/>
          <w:sz w:val="20"/>
        </w:rPr>
        <w:t>EN: Co‐Localization‐Gated Multivalent DNA Logic Gate for Programmable Cell Recognition</w:t>
      </w:r>
    </w:p>
    <w:p>
      <w:pPr>
        <w:spacing w:before="0" w:after="120"/>
      </w:pPr>
      <w:r>
        <w:rPr>
          <w:b/>
        </w:rPr>
        <w:t xml:space="preserve">Source: </w:t>
      </w:r>
      <w:r>
        <w:t>Wiley: Angewandte Chemie International Edition: Table of Contents</w:t>
      </w:r>
      <w:r>
        <w:t xml:space="preserve">    </w:t>
      </w:r>
      <w:r>
        <w:rPr>
          <w:b/>
        </w:rPr>
        <w:t xml:space="preserve">Pub date: </w:t>
      </w:r>
      <w:r>
        <w:t>2026-07-24 10:21:32+00:00</w:t>
      </w:r>
      <w:r>
        <w:t xml:space="preserve">    </w:t>
      </w:r>
      <w:r>
        <w:rPr>
          <w:b/>
        </w:rPr>
        <w:t xml:space="preserve">DOI: </w:t>
      </w:r>
      <w:hyperlink r:id="rId618">
        <w:r>
          <w:rPr>
            <w:color w:val="1155CC"/>
            <w:u w:val="single"/>
          </w:rPr>
          <w:t>10.1002/anie.5650963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亲和力、特异性和脱靶结合之间固有的权衡，在复杂的生物环境中实现精确和稳健的细胞表面识别具有挑战性。在这里，我们提出了一种可编程分子设备，它将布尔逻辑计算与空间限制相结合，以克服这些限制。我们的系统采用组装在四面体 DNA 纳米结构 (TDN) 上的价态可控的分裂 DNAzyme 模块。过氧化物酶模拟活性受到细胞表面 AND 逻辑的严格门控，需要将两个相邻模块共定位在目标蛋白簇上才能激活。这种空间限制有效地消除了源自溶液相反应或非目标细胞的随机或意外信号泄漏。激活后，DNAzyme 催化邻近膜蛋白簇的生物素化，产生稳定的多价粘附位点。定量解离动力学表明，DNAzyme 模块的三价设计促进了高度协作的结合，从而在靶细胞上形成均匀、长寿命的复合物。我们证明，这种方法能够从混合细胞群和临床样本中特异性识别和高效分离靶细胞，展示了在感兴趣的细胞表面上编程高保真分子相互作用的策略。</w:t>
      </w:r>
    </w:p>
    <w:p>
      <w:pPr>
        <w:spacing w:before="0" w:after="200" w:lineRule="auto" w:line="276"/>
      </w:pPr>
      <w:r>
        <w:rPr>
          <w:b/>
        </w:rPr>
        <w:t xml:space="preserve">Abstract (EN): </w:t>
      </w:r>
      <w:r>
        <w:t>Achieving precise and robust cell‐surface recognition in complex biological environments is challenging due to inherent trade‐offs in affinity, specificity, and off‐target binding. Herein, we present a programmable molecular device that integrates Boolean logic computation with spatial confinement to overcome these limitations. Our system employs valence‐controllable, split DNAzyme modules assembled on a tetrahedral DNA nanostructure (TDN). The peroxidase‐mimicking activity is stringently gated by a cell‐surface AND logic, requiring the co‐localization of two adjacent modules on target protein clusters for activation. This spatial constraint effectively eliminates stochastic or unintended signal leakage originating from solution‐phase reactions or nontarget cells. Upon activation, the DNAzyme catalyzes the biotinylation of neighboring membrane protein clusters, generating stable multivalent adhesion sites. Quantitative dissociation kinetics reveal that the trivalent design of the DNAzyme modules promotes highly cooperative binding, resulting in uniform, long‐lived complexes on target cells. We demonstrate that this approach enables specific recognition and highly efficient isolation of target cells from mixed cell populations and clinical samples, showcasing a strategy for programming high‐fidelity molecular interactions on interested cell surfaces.</w:t>
      </w:r>
    </w:p>
    <w:p>
      <w:pPr>
        <w:spacing w:before="120" w:after="120"/>
      </w:pPr>
      <w:r>
        <w:rPr>
          <w:sz w:val="18"/>
        </w:rPr>
        <w:t>——————————————————————————————————————————————————————————————————————</w:t>
      </w:r>
    </w:p>
    <w:p>
      <w:pPr>
        <w:spacing w:before="160" w:after="40" w:line="240" w:lineRule="auto"/>
      </w:pPr>
      <w:r>
        <w:rPr>
          <w:b/>
        </w:rPr>
        <w:t xml:space="preserve">[102] </w:t>
      </w:r>
      <w:hyperlink r:id="rId619">
        <w:r>
          <w:rPr>
            <w:color w:val="1155CC"/>
            <w:u w:val="single"/>
          </w:rPr>
          <w:t>二氧化碳作为氧化还原梭能够将生物质衍生的醇光催化脱氢脱羰生成轻质烷烃</w:t>
        </w:r>
      </w:hyperlink>
    </w:p>
    <w:p>
      <w:pPr>
        <w:spacing w:before="0" w:after="80"/>
      </w:pPr>
      <w:r>
        <w:rPr>
          <w:i/>
          <w:sz w:val="20"/>
        </w:rPr>
        <w:t>EN: CO2 as a Redox Shuttle Enables Photocatalytic Dehydrogenative Decarbonylation of Biomass‐Derived Alcohols to Light Alkanes</w:t>
      </w:r>
    </w:p>
    <w:p>
      <w:pPr>
        <w:spacing w:before="0" w:after="120"/>
      </w:pPr>
      <w:r>
        <w:rPr>
          <w:b/>
        </w:rPr>
        <w:t xml:space="preserve">Source: </w:t>
      </w:r>
      <w:r>
        <w:t>Wiley: Angewandte Chemie International Edition: Table of Contents</w:t>
      </w:r>
      <w:r>
        <w:t xml:space="preserve">    </w:t>
      </w:r>
      <w:r>
        <w:rPr>
          <w:b/>
        </w:rPr>
        <w:t xml:space="preserve">Pub date: </w:t>
      </w:r>
      <w:r>
        <w:t>2026-07-24 10:22:37+00:00</w:t>
      </w:r>
      <w:r>
        <w:t xml:space="preserve">    </w:t>
      </w:r>
      <w:r>
        <w:rPr>
          <w:b/>
        </w:rPr>
        <w:t xml:space="preserve">DOI: </w:t>
      </w:r>
      <w:hyperlink r:id="rId620">
        <w:r>
          <w:rPr>
            <w:color w:val="1155CC"/>
            <w:u w:val="single"/>
          </w:rPr>
          <w:t>10.1002/anie.9277722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二氧化碳的利用</w:t>
      </w:r>
      <w:r>
        <w:rPr>
          <w:vertAlign w:val="subscript"/>
        </w:rPr>
        <w:t>2</w:t>
      </w:r>
      <w:r>
        <w:t>氧化还原梭提供了一种新兴策略来调节催化转化中的电子和氢转移，但其潜力在很大程度上仍未被开发。特别是，醇的脱氢脱羰基化面临着长期的挑战，因为它需要氧化醇活化与还原性 C─C 键断裂的受控耦合，这两个本质上竞争的过程很难在单一催化系统中平衡。考虑到这些，我们证明 CO</w:t>
      </w:r>
      <w:r>
        <w:rPr>
          <w:vertAlign w:val="subscript"/>
        </w:rPr>
        <w:t>2</w:t>
      </w:r>
      <w:r>
        <w:t>可以通过在异质光催化平台中充当动态氧化还原穿梭来解决这种不匹配。在可见光照射下，光催化剂促进伯醇连续脱氢为醛，随后发生C─C键断裂并选择性形成烷烃。机理研究，包括同位素标记、自由基捕获、大气依赖性反应性和先进的量子力学计算表明，CO</w:t>
      </w:r>
      <w:r>
        <w:rPr>
          <w:vertAlign w:val="subscript"/>
        </w:rPr>
        <w:t>2</w:t>
      </w:r>
      <w:r>
        <w:t>不会并入产品中，而是短暂地与还原铁位点相互作用，以促进催化剂周转，抑制非生产性的 H</w:t>
      </w:r>
      <w:r>
        <w:rPr>
          <w:vertAlign w:val="subscript"/>
        </w:rPr>
        <w:t>2</w:t>
      </w:r>
      <w:r>
        <w:t>演化，并将氢当量引导至 C─H 键的形成。这种氧化还原穿梭功能能够将氧化和还原步骤整合到单个光催化循环中，从而为转向复合体开辟了新的机会</w:t>
      </w:r>
    </w:p>
    <w:p>
      <w:pPr>
        <w:spacing w:before="0" w:after="200" w:lineRule="auto" w:line="276"/>
      </w:pPr>
      <w:r>
        <w:rPr>
          <w:b/>
        </w:rPr>
        <w:t xml:space="preserve">Abstract (EN): </w:t>
      </w:r>
      <w:r>
        <w:t>The use of CO</w:t>
      </w:r>
      <w:r>
        <w:rPr>
          <w:vertAlign w:val="subscript"/>
        </w:rPr>
        <w:t>2</w:t>
      </w:r>
      <w:r>
        <w:t>as a redox shuttle offers an emerging strategy to regulate electron and hydrogen transfer in catalytic transformations, yet its potential remains largely unexplored. In particular, dehydrogenative decarbonylation of alcohols possesses a long‐standing challenge, as it requires the controlled coupling of oxidative alcohol activation with reductive C─C bond cleavage, two intrinsically competing processes that are difficult to balance within a single catalytic system. Considering these, we demonstrate that CO</w:t>
      </w:r>
      <w:r>
        <w:rPr>
          <w:vertAlign w:val="subscript"/>
        </w:rPr>
        <w:t>2</w:t>
      </w:r>
      <w:r>
        <w:t>can resolve this mismatch by functioning as a dynamic redox shuttle in a heterogeneous photocatalytic platform. Under visible‐light irradiation, the photocatalyst promotes sequential dehydrogenation of primary alcohols to aldehydes, followed by C─C bond scission and selective formation of alkanes. Mechanistic studies, including isotope labeling, radical trapping, atmosphere‐dependent reactivity, and advanced quantum mechanical calculations reveal that CO</w:t>
      </w:r>
      <w:r>
        <w:rPr>
          <w:vertAlign w:val="subscript"/>
        </w:rPr>
        <w:t>2</w:t>
      </w:r>
      <w:r>
        <w:t>is not incorporated into the products but instead transiently interacts with reduced iron sites to facilitate catalyst turnover, suppress unproductive H</w:t>
      </w:r>
      <w:r>
        <w:rPr>
          <w:vertAlign w:val="subscript"/>
        </w:rPr>
        <w:t>2</w:t>
      </w:r>
      <w:r>
        <w:t>evolution, and direct hydrogen equivalents toward C─H bond formation. This redox‐shuttling function enables the integration of oxidative and reductive steps within a single photocatalytic cycle, thus opening new opportunities for steering complex redox transformations in photocatalysis.</w:t>
      </w:r>
    </w:p>
    <w:p>
      <w:pPr>
        <w:spacing w:before="120" w:after="120"/>
      </w:pPr>
      <w:r>
        <w:rPr>
          <w:sz w:val="18"/>
        </w:rPr>
        <w:t>——————————————————————————————————————————————————————————————————————</w:t>
      </w:r>
    </w:p>
    <w:p>
      <w:pPr>
        <w:spacing w:before="160" w:after="40" w:line="240" w:lineRule="auto"/>
      </w:pPr>
      <w:r>
        <w:rPr>
          <w:b/>
        </w:rPr>
        <w:t xml:space="preserve">[103] </w:t>
      </w:r>
      <w:hyperlink r:id="rId621">
        <w:r>
          <w:rPr>
            <w:color w:val="1155CC"/>
            <w:u w:val="single"/>
          </w:rPr>
          <w:t>瞬时活化的轮烷机械催化剂</w:t>
        </w:r>
      </w:hyperlink>
    </w:p>
    <w:p>
      <w:pPr>
        <w:spacing w:before="0" w:after="80"/>
      </w:pPr>
      <w:r>
        <w:rPr>
          <w:i/>
          <w:sz w:val="20"/>
        </w:rPr>
        <w:t>EN: A Transiently Activated Rotaxane Mechanocatalyst</w:t>
      </w:r>
    </w:p>
    <w:p>
      <w:pPr>
        <w:spacing w:before="0" w:after="120"/>
      </w:pPr>
      <w:r>
        <w:rPr>
          <w:b/>
        </w:rPr>
        <w:t xml:space="preserve">Source: </w:t>
      </w:r>
      <w:r>
        <w:t>Wiley: Angewandte Chemie International Edition: Table of Contents</w:t>
      </w:r>
      <w:r>
        <w:t xml:space="preserve">    </w:t>
      </w:r>
      <w:r>
        <w:rPr>
          <w:b/>
        </w:rPr>
        <w:t xml:space="preserve">Pub date: </w:t>
      </w:r>
      <w:r>
        <w:t>2026-07-24 10:27:26+00:00</w:t>
      </w:r>
      <w:r>
        <w:t xml:space="preserve">    </w:t>
      </w:r>
      <w:r>
        <w:rPr>
          <w:b/>
        </w:rPr>
        <w:t xml:space="preserve">DOI: </w:t>
      </w:r>
      <w:hyperlink r:id="rId622">
        <w:r>
          <w:rPr>
            <w:color w:val="1155CC"/>
            <w:u w:val="single"/>
          </w:rPr>
          <w:t>10.1002/anie.2653602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机械力（例如在冲击或疲劳时）激活潜在催化剂，为创建自修复或应力报告聚合物材料提供了巨大的希望。到目前为止，此类机械催化剂一直依赖于共价键的断裂来产生所需的催化物质，这一过程通常不可逆或难以控制。在这里，我们报道了一种具有硫脲活性位点的瞬态[2]轮烷机械催化剂，其催化活性可以通过机械力轻松开启，同时在没有外力的情况下自发恢复到非活性状态。在溶液中，5个循环后催化效率保持不变，这是可回收机械催化剂的第一个例子。受益于破坏非共价相互作用所需的低活化力阈值，固态的催化效率与溶液中观察到的催化效率相当。此外，它在简单压缩下催化固态丙交酯的开环聚合，而不发生主链降解。尽管整体催化效率仍需进一步提高，但这种新的机械催化系统显示了其开发力响应材料的潜力。</w:t>
      </w:r>
    </w:p>
    <w:p>
      <w:pPr>
        <w:spacing w:before="0" w:after="200" w:lineRule="auto" w:line="276"/>
      </w:pPr>
      <w:r>
        <w:rPr>
          <w:b/>
        </w:rPr>
        <w:t xml:space="preserve">Abstract (EN): </w:t>
      </w:r>
      <w:r>
        <w:t>The activation of a latent catalyst by mechanical force, upon impact or fatigue for example, offers great promise for the creation of self‐healing or stress‐reporting polymer materials. Until now, such mechanocatalysts have relied on the scission of a covalent bond to generate the desired catalytic species, a process generally irreversible or difficult to control. Here, we report a transient [2]rotaxane mechanocatalyst featuring a thiourea active site, whose catalytic activity can be readily switched on by mechanical force, while spontaneously returning to an inactive state in the absence of force. In solution, the catalytic efficiency remains undiminished after 5 cycles, marking the first example of a recyclable mechanocatalyst. Benefiting from the low activation force threshold required to rupture noncovalent interactions, the catalytic efficiency in the solid state is comparable to that observed in solution. Moreover, it catalyzes the ring‐opening polymerization of lactide in the solid state under simple compression without main chain degradation. Although the overall catalytic efficiency still needs further improvement, this new mechanocatalytic system shows its potential for the development of force‐responsive materials.</w:t>
      </w:r>
    </w:p>
    <w:p>
      <w:pPr>
        <w:spacing w:before="120" w:after="120"/>
      </w:pPr>
      <w:r>
        <w:rPr>
          <w:sz w:val="18"/>
        </w:rPr>
        <w:t>——————————————————————————————————————————————————————————————————————</w:t>
      </w:r>
    </w:p>
    <w:p>
      <w:pPr>
        <w:spacing w:before="160" w:after="40" w:line="240" w:lineRule="auto"/>
      </w:pPr>
      <w:r>
        <w:rPr>
          <w:b/>
        </w:rPr>
        <w:t xml:space="preserve">[104] </w:t>
      </w:r>
      <w:hyperlink r:id="rId623">
        <w:r>
          <w:rPr>
            <w:color w:val="1155CC"/>
            <w:u w:val="single"/>
          </w:rPr>
          <w:t>不对称 C-H 活化聚合构建轴向手性聚合物</w:t>
        </w:r>
      </w:hyperlink>
    </w:p>
    <w:p>
      <w:pPr>
        <w:spacing w:before="0" w:after="80"/>
      </w:pPr>
      <w:r>
        <w:rPr>
          <w:i/>
          <w:sz w:val="20"/>
        </w:rPr>
        <w:t>EN: Construction of Axially Chiral Polymers by Asymmetric C–H Activation Polymerization</w:t>
      </w:r>
    </w:p>
    <w:p>
      <w:pPr>
        <w:spacing w:before="0" w:after="120"/>
      </w:pPr>
      <w:r>
        <w:rPr>
          <w:b/>
        </w:rPr>
        <w:t xml:space="preserve">Source: </w:t>
      </w:r>
      <w:r>
        <w:t>Wiley: Angewandte Chemie International Edition: Table of Contents</w:t>
      </w:r>
      <w:r>
        <w:t xml:space="preserve">    </w:t>
      </w:r>
      <w:r>
        <w:rPr>
          <w:b/>
        </w:rPr>
        <w:t xml:space="preserve">Pub date: </w:t>
      </w:r>
      <w:r>
        <w:t>2026-07-24 10:28:36+00:00</w:t>
      </w:r>
      <w:r>
        <w:t xml:space="preserve">    </w:t>
      </w:r>
      <w:r>
        <w:rPr>
          <w:b/>
        </w:rPr>
        <w:t xml:space="preserve">DOI: </w:t>
      </w:r>
      <w:hyperlink r:id="rId624">
        <w:r>
          <w:rPr>
            <w:color w:val="1155CC"/>
            <w:u w:val="single"/>
          </w:rPr>
          <w:t>10.1002/anie.2073269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手性聚合物由于其与多种形式的手性相关的独特性质，在仿生学和合成材料中具有巨大的潜力。尽管具有中心手性的聚合物已经得到很好的开发，但轴向手性聚合物仍然未被充分开发，可能是由于缺乏有效的合成方法。在此，我们开发了一种不对称C-H活化聚合的新策略，用于从前手性单体构建轴向手性侧链聚合物。基于连续的辅催化C-H活化/环化，聚合以定量方式进行，提供一系列具有高分子量、不同化学结构和可调手性光学性质的轴向手性侧链聚合物。此外，通过精心设计的模型反应的立体化学分析，我们明确证实了对聚合反应的优异的对位选择性控制。这种有效的策略代表了聚合物合成的重大进步，可以为设计具有所需性能的手性聚合物材料开辟新的途径。</w:t>
      </w:r>
    </w:p>
    <w:p>
      <w:pPr>
        <w:spacing w:before="0" w:after="200" w:lineRule="auto" w:line="276"/>
      </w:pPr>
      <w:r>
        <w:rPr>
          <w:b/>
        </w:rPr>
        <w:t xml:space="preserve">Abstract (EN): </w:t>
      </w:r>
      <w:r>
        <w:t>Chiral polymers hold great potential in biomimics and synthetic materials, owing to their unique properties associated with diverse forms of chirality. Although polymers with central chirality are well‐developed, axially chiral polymers remain underexplored, presumably due to the lack of efficient synthetic methods. Herein, we develop a new strategy of asymmetric C–H activation polymerization for constructing axially chiral side chain polymers from prochiral monomers. Based on sequential Co‐catalyzed C–H activation/annulation, the polymerization proceeds in a quantitative manner, affording a range of axially chiral side chain polymers with high molecular weights, diverse chemical structures and tunable chiroptical properties. Furthermore, by stereochemical analysis of carefully designed model reactions, we have unambiguously confirmed excellent atroposelectivity control over the polymerization. This efficient strategy, which represents a significant advance in polymer synthesis, could open up new avenues for the design of chiral polymer materials with desirable properties.</w:t>
      </w:r>
    </w:p>
    <w:p>
      <w:pPr>
        <w:spacing w:before="120" w:after="120"/>
      </w:pPr>
      <w:r>
        <w:rPr>
          <w:sz w:val="18"/>
        </w:rPr>
        <w:t>——————————————————————————————————————————————————————————————————————</w:t>
      </w:r>
    </w:p>
    <w:p>
      <w:pPr>
        <w:spacing w:before="160" w:after="40" w:line="240" w:lineRule="auto"/>
      </w:pPr>
      <w:r>
        <w:rPr>
          <w:b/>
        </w:rPr>
        <w:t xml:space="preserve">[105] </w:t>
      </w:r>
      <w:hyperlink r:id="rId625">
        <w:r>
          <w:rPr>
            <w:color w:val="1155CC"/>
            <w:u w:val="single"/>
          </w:rPr>
          <w:t>通过酶脱脂进行结构和功能铁载体重塑</w:t>
        </w:r>
      </w:hyperlink>
    </w:p>
    <w:p>
      <w:pPr>
        <w:spacing w:before="0" w:after="80"/>
      </w:pPr>
      <w:r>
        <w:rPr>
          <w:i/>
          <w:sz w:val="20"/>
        </w:rPr>
        <w:t>EN: Structural and Functional Siderophore Remodeling by Enzymatic Delipidation</w:t>
      </w:r>
    </w:p>
    <w:p>
      <w:pPr>
        <w:spacing w:before="0" w:after="120"/>
      </w:pPr>
      <w:r>
        <w:rPr>
          <w:b/>
        </w:rPr>
        <w:t xml:space="preserve">Source: </w:t>
      </w:r>
      <w:r>
        <w:t>Wiley: Angewandte Chemie International Edition: Table of Contents</w:t>
      </w:r>
      <w:r>
        <w:t xml:space="preserve">    </w:t>
      </w:r>
      <w:r>
        <w:rPr>
          <w:b/>
        </w:rPr>
        <w:t xml:space="preserve">Pub date: </w:t>
      </w:r>
      <w:r>
        <w:t>2026-07-24 10:31:59+00:00</w:t>
      </w:r>
      <w:r>
        <w:t xml:space="preserve">    </w:t>
      </w:r>
      <w:r>
        <w:rPr>
          <w:b/>
        </w:rPr>
        <w:t xml:space="preserve">DOI: </w:t>
      </w:r>
      <w:hyperlink r:id="rId626">
        <w:r>
          <w:rPr>
            <w:color w:val="1155CC"/>
            <w:u w:val="single"/>
          </w:rPr>
          <w:t>10.1002/anie.2621546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细菌利用称为铁载体的特殊代谢物来获取稀缺的铁，但这些分子可能发挥额外的生态作用。在此，我们向您透露</w:t>
      </w:r>
      <w:r>
        <w:t xml:space="preserve"> </w:t>
      </w:r>
      <w:r>
        <w:t>潘多拉亚</w:t>
      </w:r>
      <w:r>
        <w:t xml:space="preserve"> </w:t>
      </w:r>
      <w:r>
        <w:t>物种，包括环境分离株和通常从环境中获得的机会病原体，产生双功能脂肽，这些脂肽经过酶促重塑，从促进细菌运动转变为优化铁捕获。通过基因组挖掘和代谢分析，我们发现了潘多拉其林（pandorachelins），即含有二醇二氮烯鎓的铁载体。综合核磁共振分析、衍生化和同位素标记确定潘多拉其林 A 是一种头尾融合的均环肽，修正了最近提出的结构。我们鉴定出了难以捉摸的生物合成前体潘多拉其林 B，它是一种具有内酯部分和 N 末端脂肪酸的脂环肽。一种特殊的酰基酶 (PdnM) 裂解潘多拉其林 B 的脂质尾部，引发 O→N 酰基转移，使环收缩并改变生物功能：脂肽通过表面活性剂活性使细菌群聚，而脱脂产物表现出增强的铁螯合能力，但没有促进运动性。基因敲除、酶重建和表型测定证实了这一成熟序列。功能开关与整个生态位相关</w:t>
      </w:r>
      <w:r>
        <w:t xml:space="preserve"> </w:t>
      </w:r>
      <w:r>
        <w:t>潘多拉亚</w:t>
      </w:r>
      <w:r>
        <w:t xml:space="preserve"> </w:t>
      </w:r>
      <w:r>
        <w:t>物种，揭示了利基殖民和营养获取的复杂策略。这些</w:t>
      </w:r>
    </w:p>
    <w:p>
      <w:pPr>
        <w:spacing w:before="0" w:after="200" w:lineRule="auto" w:line="276"/>
      </w:pPr>
      <w:r>
        <w:rPr>
          <w:b/>
        </w:rPr>
        <w:t xml:space="preserve">Abstract (EN): </w:t>
      </w:r>
      <w:r>
        <w:t>Bacteria employ specialized metabolites called siderophores to acquire scarce iron, but these molecules may serve additional ecological roles. Here, we reveal that</w:t>
      </w:r>
      <w:r>
        <w:t xml:space="preserve"> </w:t>
      </w:r>
      <w:r>
        <w:t>Pandoraea</w:t>
      </w:r>
      <w:r>
        <w:t xml:space="preserve"> </w:t>
      </w:r>
      <w:r>
        <w:t>species, including environmental isolates and opportunistic pathogens typically acquired from the environment, produce bifunctional lipopeptides that undergo enzymatic remodeling to switch from promoting bacterial motility to optimizing iron capture. Through genome mining and metabolic profiling, we discovered pandorachelins, diazeniumdiolate‐containing siderophores. Comprehensive NMR analysis, derivatization, and isotope labeling established that pandorachelin A is a head‐to‐tail‐fused homodetic cyclopeptide, revising a recently proposed structure. We identified the elusive biosynthetic precursor, pandorachelin B, as a lipocyclopeptide with a lactone moiety and N‐terminal fatty acid. A specialized acylase (PdnM) cleaves the lipid tail of pandorachelin B, triggering an O→N acyl shift that contracts the ring and transforms the biological function: the lipopeptide enables bacterial swarming through surfactant activity, while the delipidated product exhibits enhanced iron‐chelating capacity but no motility promotion. Genetic knockouts, enzyme reconstitution, and phenotypic assays confirm this maturation sequence. The functional switch correlates with ecological niche across</w:t>
      </w:r>
      <w:r>
        <w:t xml:space="preserve"> </w:t>
      </w:r>
      <w:r>
        <w:t>Pandoraea</w:t>
      </w:r>
      <w:r>
        <w:t xml:space="preserve"> </w:t>
      </w:r>
      <w:r>
        <w:t>species, revealing a sophisticated strategy for niche colonization and nutrient acquisition. These findings identify PdnM as a potential antivirulence target and expand the functional repertoire of bacterial siderophores.</w:t>
      </w:r>
    </w:p>
    <w:p>
      <w:pPr>
        <w:spacing w:before="120" w:after="120"/>
      </w:pPr>
      <w:r>
        <w:rPr>
          <w:sz w:val="18"/>
        </w:rPr>
        <w:t>——————————————————————————————————————————————————————————————————————</w:t>
      </w:r>
    </w:p>
    <w:p>
      <w:pPr>
        <w:spacing w:before="160" w:after="40" w:line="240" w:lineRule="auto"/>
      </w:pPr>
      <w:r>
        <w:rPr>
          <w:b/>
        </w:rPr>
        <w:t xml:space="preserve">[106] </w:t>
      </w:r>
      <w:hyperlink r:id="rId627">
        <w:r>
          <w:rPr>
            <w:color w:val="1155CC"/>
            <w:u w:val="single"/>
          </w:rPr>
          <w:t>一锅法将吖啶转化为光疗近红外螺花青</w:t>
        </w:r>
      </w:hyperlink>
    </w:p>
    <w:p>
      <w:pPr>
        <w:spacing w:before="0" w:after="80"/>
      </w:pPr>
      <w:r>
        <w:rPr>
          <w:i/>
          <w:sz w:val="20"/>
        </w:rPr>
        <w:t>EN: One‐Pot Conversion of Acridines Into Phototherapeutic Near‐Infrared Spirocyanines</w:t>
      </w:r>
    </w:p>
    <w:p>
      <w:pPr>
        <w:spacing w:before="0" w:after="120"/>
      </w:pPr>
      <w:r>
        <w:rPr>
          <w:b/>
        </w:rPr>
        <w:t xml:space="preserve">Source: </w:t>
      </w:r>
      <w:r>
        <w:t>Wiley: Angewandte Chemie International Edition: Table of Contents</w:t>
      </w:r>
      <w:r>
        <w:t xml:space="preserve">    </w:t>
      </w:r>
      <w:r>
        <w:rPr>
          <w:b/>
        </w:rPr>
        <w:t xml:space="preserve">Pub date: </w:t>
      </w:r>
      <w:r>
        <w:t>2026-07-24 10:36:49+00:00</w:t>
      </w:r>
      <w:r>
        <w:t xml:space="preserve">    </w:t>
      </w:r>
      <w:r>
        <w:rPr>
          <w:b/>
        </w:rPr>
        <w:t xml:space="preserve">DOI: </w:t>
      </w:r>
      <w:hyperlink r:id="rId628">
        <w:r>
          <w:rPr>
            <w:color w:val="1155CC"/>
            <w:u w:val="single"/>
          </w:rPr>
          <w:t>10.1002/anie.7568921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作为近红外（NIR）生物成像和光治疗剂，聚次甲基花青由于快速的非辐射跃迁而在光学性质上存在缺点。在此，我们报道了一种小尺寸的螺环稠合三甲川吖啶花青（SpiroCY），通过使用氧气作为氧化剂的一锅氧化三聚反应。使用化学反应自动设计 (ADCR) 程序的理论计算阐明了 O 的形成</w:t>
      </w:r>
      <w:r>
        <w:rPr>
          <w:vertAlign w:val="subscript"/>
        </w:rPr>
        <w:t>2</w:t>
      </w:r>
      <w:r>
        <w:t>衍生的氢过氧自由基（H2O</w:t>
      </w:r>
      <w:r>
        <w:rPr>
          <w:vertAlign w:val="subscript"/>
        </w:rPr>
        <w:t>2</w:t>
      </w:r>
      <w:r>
        <w:t>•</w:t>
      </w:r>
      <w:r>
        <w:t xml:space="preserve"> </w:t>
      </w:r>
      <w:r>
        <w:t>）并展示了螺花青合成的自由基级联反应（RCR）机制。由于三维结构和增强的刚性，螺官能化效应通过提高亮度和抑制 H 聚集，极大地重塑了母体吖啶花青的光物理性质，从而允许在非常低的剂量 (10−100 nM) 下进行线粒体靶向的 NIR-I 和 NIR-II 细胞成像；并将母体吖啶花青转变为潜在的抗肿瘤药物和产生超氧阴离子自由基（O</w:t>
      </w:r>
      <w:r>
        <w:rPr>
          <w:vertAlign w:val="subscript"/>
        </w:rPr>
        <w:t>2</w:t>
      </w:r>
      <w:r>
        <w:t>•−</w:t>
      </w:r>
      <w:r>
        <w:t>）和羟基自由基（</w:t>
      </w:r>
      <w:r>
        <w:t xml:space="preserve"> </w:t>
      </w:r>
      <w:r>
        <w:t>•</w:t>
      </w:r>
      <w:r>
        <w:t xml:space="preserve"> </w:t>
      </w:r>
      <w:r>
        <w:t>OH）在 808 nm 光照射下进行有效的光动力治疗。这项工作为染料功能化提供了新的见解，增加了对螺环效应的机理理解，并为开发螺环染料作为独特的 NIR-I 和 NIR-II 成像和光电材料铺平了道路。</w:t>
      </w:r>
    </w:p>
    <w:p>
      <w:pPr>
        <w:spacing w:before="0" w:after="200" w:lineRule="auto" w:line="276"/>
      </w:pPr>
      <w:r>
        <w:rPr>
          <w:b/>
        </w:rPr>
        <w:t xml:space="preserve">Abstract (EN): </w:t>
      </w:r>
      <w:r>
        <w:t>As near‐infrared (NIR) bio‐imaging and phototherapeutic agents, polymethine cyanines have disadvantages in optical properties due to the fast nonradiative transition. Herein, we reported a small‐sized and spirocycle‐fused trimethine acridinocyanine (SpiroCY) via one‐pot oxidative trimerization using oxygen as the oxidant. Theoretical calculations using the Automated Design of Chemical Reaction (ADCR) program elucidate the formation of the O</w:t>
      </w:r>
      <w:r>
        <w:rPr>
          <w:vertAlign w:val="subscript"/>
        </w:rPr>
        <w:t>2</w:t>
      </w:r>
      <w:r>
        <w:t>‐derived hydroperoxyl radical (HO</w:t>
      </w:r>
      <w:r>
        <w:rPr>
          <w:vertAlign w:val="subscript"/>
        </w:rPr>
        <w:t>2</w:t>
      </w:r>
      <w:r>
        <w:t>•</w:t>
      </w:r>
      <w:r>
        <w:t xml:space="preserve"> </w:t>
      </w:r>
      <w:r>
        <w:t>) and demonstrate a radical cascade reaction (RCR) mechanism for spirocyanine synthesis. The spiro‐functionalization effect greatly reshapes the photophysical properties of the parent acridinocyanine by improving brightness and suppressing H‐aggregation due to the three‐dimensional architecture and enhanced rigidity, which allows for mitochondria‐targeted NIR‐I and NIR‐II cell imaging at a very low dose (10−100 nM); and switches the parent acridinocyanine into a potential antitumor drug and Type‐I photosensitizer generating superoxide anion radical (O</w:t>
      </w:r>
      <w:r>
        <w:rPr>
          <w:vertAlign w:val="subscript"/>
        </w:rPr>
        <w:t>2</w:t>
      </w:r>
      <w:r>
        <w:t>•−</w:t>
      </w:r>
      <w:r>
        <w:t>) and hydroxyl radical (</w:t>
      </w:r>
      <w:r>
        <w:t xml:space="preserve"> </w:t>
      </w:r>
      <w:r>
        <w:t>•</w:t>
      </w:r>
      <w:r>
        <w:t xml:space="preserve"> </w:t>
      </w:r>
      <w:r>
        <w:t>OH) under 808 nm light irradiation for efficient photodynamic therapy. This work provides a new insight for dye functionalization, adds mechanistic understandings of the spirocyclic effect, and paves a way for developing spiro dyes as unique NIR‐I and NIR‐II imaging and phototherapeutic agents.</w:t>
      </w:r>
    </w:p>
    <w:p>
      <w:pPr>
        <w:spacing w:before="120" w:after="120"/>
      </w:pPr>
      <w:r>
        <w:rPr>
          <w:sz w:val="18"/>
        </w:rPr>
        <w:t>——————————————————————————————————————————————————————————————————————</w:t>
      </w:r>
    </w:p>
    <w:p>
      <w:pPr>
        <w:spacing w:before="160" w:after="40" w:line="240" w:lineRule="auto"/>
      </w:pPr>
      <w:r>
        <w:rPr>
          <w:b/>
        </w:rPr>
        <w:t xml:space="preserve">[107] </w:t>
      </w:r>
      <w:hyperlink r:id="rId629">
        <w:r>
          <w:rPr>
            <w:color w:val="1155CC"/>
            <w:u w:val="single"/>
          </w:rPr>
          <w:t>Corannulene驱动的曲率工程增强了碳纳米环中富勒烯的封装</w:t>
        </w:r>
      </w:hyperlink>
    </w:p>
    <w:p>
      <w:pPr>
        <w:spacing w:before="0" w:after="80"/>
      </w:pPr>
      <w:r>
        <w:rPr>
          <w:i/>
          <w:sz w:val="20"/>
        </w:rPr>
        <w:t>EN: Corannulene‐Driven Curvature Engineering Enhances Fullerene Encapsulation in a Carbon Nanohoop</w:t>
      </w:r>
    </w:p>
    <w:p>
      <w:pPr>
        <w:spacing w:before="0" w:after="120"/>
      </w:pPr>
      <w:r>
        <w:rPr>
          <w:b/>
        </w:rPr>
        <w:t xml:space="preserve">Source: </w:t>
      </w:r>
      <w:r>
        <w:t>Wiley: Angewandte Chemie International Edition: Table of Contents</w:t>
      </w:r>
      <w:r>
        <w:t xml:space="preserve">    </w:t>
      </w:r>
      <w:r>
        <w:rPr>
          <w:b/>
        </w:rPr>
        <w:t xml:space="preserve">Pub date: </w:t>
      </w:r>
      <w:r>
        <w:t>2026-07-24 10:39:30+00:00</w:t>
      </w:r>
      <w:r>
        <w:t xml:space="preserve">    </w:t>
      </w:r>
      <w:r>
        <w:rPr>
          <w:b/>
        </w:rPr>
        <w:t xml:space="preserve">DOI: </w:t>
      </w:r>
      <w:hyperlink r:id="rId630">
        <w:r>
          <w:rPr>
            <w:color w:val="1155CC"/>
            <w:u w:val="single"/>
          </w:rPr>
          <w:t>10.1002/anie.8648830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将本质上正弯曲的多环芳烃（PAH）整合到环对亚苯基（CPP）框架中仍然具有挑战性。在这项研究中，我们报告了通过砜加成的功能化二苯并环烯单元的简明合成，然后将其无缝融合到 CPP 主链中以提供正弯曲的纳米环</w:t>
      </w:r>
      <w:r>
        <w:t xml:space="preserve"> </w:t>
      </w:r>
      <w:r>
        <w:t>DBCora[10]CPP</w:t>
      </w:r>
      <w:r>
        <w:t xml:space="preserve"> </w:t>
      </w:r>
      <w:r>
        <w:t>。这种独特的结构创造了一个深空腔，与富勒烯具有明显的凹凸几何互补性，从而产生高达 10 的强结合亲和力</w:t>
      </w:r>
      <w:r>
        <w:rPr>
          <w:vertAlign w:val="subscript"/>
        </w:rPr>
        <w:t>8</w:t>
      </w:r>
      <w:r>
        <w:t>中号</w:t>
      </w:r>
      <w:r>
        <w:t xml:space="preserve"> </w:t>
      </w:r>
      <w:r>
        <w:t>−1</w:t>
      </w:r>
      <w:r>
        <w:t xml:space="preserve"> </w:t>
      </w:r>
      <w:r>
        <w:t>。</w:t>
      </w:r>
      <w:r>
        <w:rPr>
          <w:vertAlign w:val="subscript"/>
        </w:rPr>
        <w:t>1</w:t>
      </w:r>
      <w:r>
        <w:t>H NMR 研究揭示了溶液中缓慢的主客体交换行为，而单晶 X 射线衍射则明确地确定了</w:t>
      </w:r>
      <w:r>
        <w:t xml:space="preserve"> </w:t>
      </w:r>
      <w:r>
        <w:t>C</w:t>
      </w:r>
      <w:r>
        <w:rPr>
          <w:vertAlign w:val="subscript"/>
        </w:rPr>
        <w:t>60</w:t>
      </w:r>
      <w:r>
        <w:t>@DBCora[10]CPP</w:t>
      </w:r>
      <w:r>
        <w:t xml:space="preserve"> </w:t>
      </w:r>
      <w:r>
        <w:t>并揭示出独特的八面体堆积图案，中心有游离富勒烯。飞秒瞬态吸收光谱表明，主体和客体之间精确的几何匹配能够实现超快电荷分离，随后形成寿命为 1.5 ns 的持久电荷分离 (CS) 状态。值得注意的是，这种性能是在纯粹的主客体组装中实现的，无需机械粘合或笨重的塞子。这些发现证明了正曲率工程如何同时调节</w:t>
      </w:r>
    </w:p>
    <w:p>
      <w:pPr>
        <w:spacing w:before="0" w:after="200" w:lineRule="auto" w:line="276"/>
      </w:pPr>
      <w:r>
        <w:rPr>
          <w:b/>
        </w:rPr>
        <w:t xml:space="preserve">Abstract (EN): </w:t>
      </w:r>
      <w:r>
        <w:t>Integrating intrinsically positively curved polycyclic aromatic hydrocarbons (PAHs) into cycloparaphenylene (CPP) frameworks remains challenging. In this study, we report a concise synthesis of a functionalized dibenzocorannulene unit via sulfone addition, followed by its seamless fusion into a CPP backbone to afford the positively curved nanohoop</w:t>
      </w:r>
      <w:r>
        <w:t xml:space="preserve"> </w:t>
      </w:r>
      <w:r>
        <w:t>DBCora[10]CPP</w:t>
      </w:r>
      <w:r>
        <w:t xml:space="preserve"> </w:t>
      </w:r>
      <w:r>
        <w:t>. This unique architecture creates a deep cavity with pronounced concave‐convex geometric complementarity toward fullerenes, resulting in strong binding affinities of up to 10</w:t>
      </w:r>
      <w:r>
        <w:rPr>
          <w:vertAlign w:val="subscript"/>
        </w:rPr>
        <w:t>8</w:t>
      </w:r>
      <w:r>
        <w:t>M</w:t>
      </w:r>
      <w:r>
        <w:t xml:space="preserve"> </w:t>
      </w:r>
      <w:r>
        <w:t>−1</w:t>
      </w:r>
      <w:r>
        <w:t xml:space="preserve"> </w:t>
      </w:r>
      <w:r>
        <w:t>.</w:t>
      </w:r>
      <w:r>
        <w:rPr>
          <w:vertAlign w:val="subscript"/>
        </w:rPr>
        <w:t>1</w:t>
      </w:r>
      <w:r>
        <w:t>H NMR studies reveal slow host‐guest exchange behaviors in solution, while single‐crystal x‐ray diffraction unambiguously establishes the structure of</w:t>
      </w:r>
      <w:r>
        <w:t xml:space="preserve"> </w:t>
      </w:r>
      <w:r>
        <w:t>C</w:t>
      </w:r>
      <w:r>
        <w:rPr>
          <w:vertAlign w:val="subscript"/>
        </w:rPr>
        <w:t>60</w:t>
      </w:r>
      <w:r>
        <w:t>@DBCora[10]CPP</w:t>
      </w:r>
      <w:r>
        <w:t xml:space="preserve"> </w:t>
      </w:r>
      <w:r>
        <w:t>and reveals a distinctive octahedral packing motif featuring a free fullerene at the center. Femtosecond transient absorption spectroscopy demonstrates that the precise geometric match between host and guest enables ultrafast charge‐separation followed by a persistent charge‐separated (CS) state with a lifetime of 1.5 ns. Notably, this performance is achieved in a purely host‐guest assembly without the need for mechanical bonds or bulky stoppers. These findings demonstrate how positive‐curvature engineering can simultaneously modulate fullerene recognition, host‐guest dynamics, and charge‐separation behavior, establishing a useful design principle for functional carbon nanohoops and supramolecular optoelectronic systems.</w:t>
      </w:r>
    </w:p>
    <w:p>
      <w:pPr>
        <w:spacing w:before="120" w:after="120"/>
      </w:pPr>
      <w:r>
        <w:rPr>
          <w:sz w:val="18"/>
        </w:rPr>
        <w:t>——————————————————————————————————————————————————————————————————————</w:t>
      </w:r>
    </w:p>
    <w:p>
      <w:pPr>
        <w:spacing w:before="160" w:after="40" w:line="240" w:lineRule="auto"/>
      </w:pPr>
      <w:r>
        <w:rPr>
          <w:b/>
        </w:rPr>
        <w:t xml:space="preserve">[108] </w:t>
      </w:r>
      <w:hyperlink r:id="rId631">
        <w:r>
          <w:rPr>
            <w:color w:val="1155CC"/>
            <w:u w:val="single"/>
          </w:rPr>
          <w:t>均配 Ga4 自由基阴离子：分离、表征和反应性</w:t>
        </w:r>
      </w:hyperlink>
    </w:p>
    <w:p>
      <w:pPr>
        <w:spacing w:before="0" w:after="80"/>
      </w:pPr>
      <w:r>
        <w:rPr>
          <w:i/>
          <w:sz w:val="20"/>
        </w:rPr>
        <w:t>EN: A Homoleptic Ga4 Radical Anion: Isolation, Characterization, and Reactivity</w:t>
      </w:r>
    </w:p>
    <w:p>
      <w:pPr>
        <w:spacing w:before="0" w:after="120"/>
      </w:pPr>
      <w:r>
        <w:rPr>
          <w:b/>
        </w:rPr>
        <w:t xml:space="preserve">Source: </w:t>
      </w:r>
      <w:r>
        <w:t>Wiley: Angewandte Chemie International Edition: Table of Contents</w:t>
      </w:r>
      <w:r>
        <w:t xml:space="preserve">    </w:t>
      </w:r>
      <w:r>
        <w:rPr>
          <w:b/>
        </w:rPr>
        <w:t xml:space="preserve">Pub date: </w:t>
      </w:r>
      <w:r>
        <w:t>2026-07-24 10:44:55+00:00</w:t>
      </w:r>
      <w:r>
        <w:t xml:space="preserve">    </w:t>
      </w:r>
      <w:r>
        <w:rPr>
          <w:b/>
        </w:rPr>
        <w:t xml:space="preserve">DOI: </w:t>
      </w:r>
      <w:hyperlink r:id="rId632">
        <w:r>
          <w:rPr>
            <w:color w:val="1155CC"/>
            <w:u w:val="single"/>
          </w:rPr>
          <w:t>10.1002/anie.4495111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我们报告了均配 Ga 的合成和表征</w:t>
      </w:r>
      <w:r>
        <w:rPr>
          <w:vertAlign w:val="subscript"/>
        </w:rPr>
        <w:t>4</w:t>
      </w:r>
      <w:r>
        <w:t>自由基阴离子（[Li</w:t>
      </w:r>
      <w:r>
        <w:t xml:space="preserve"> </w:t>
      </w:r>
      <w:r>
        <w:t>+</w:t>
      </w:r>
      <w:r>
        <w:t xml:space="preserve"> </w:t>
      </w:r>
      <w:r>
        <w:t>]•[</w:t>
      </w:r>
      <w:r>
        <w:rPr>
          <w:vertAlign w:val="subscript"/>
        </w:rPr>
        <w:t>1</w:t>
      </w:r>
      <w:r>
        <w:t>•−</w:t>
      </w:r>
      <w:r>
        <w:t>])，通过 Cp*Ga (Cp* = 五甲基环戊二烯基) 和 [Li</w:t>
      </w:r>
      <w:r>
        <w:rPr>
          <w:vertAlign w:val="subscript"/>
        </w:rPr>
        <w:t>2</w:t>
      </w:r>
      <w:r>
        <w:t>(L)] (L = 我</w:t>
      </w:r>
      <w:r>
        <w:rPr>
          <w:vertAlign w:val="subscript"/>
        </w:rPr>
        <w:t>2</w:t>
      </w:r>
      <w:r>
        <w:t>硅(DipN)</w:t>
      </w:r>
      <w:r>
        <w:rPr>
          <w:vertAlign w:val="subscript"/>
        </w:rPr>
        <w:t>2</w:t>
      </w:r>
      <w:r>
        <w:t>）。结合结构和计算分析揭示了中心镓原子的近乎平面的几何形状，只有最小的向三角锥几何形状的变形，并且不成对的自旋密度位于其 4p 轨道中。密度泛函理论（DFT）计算阐明了形成[Li</w:t>
      </w:r>
      <w:r>
        <w:t xml:space="preserve"> </w:t>
      </w:r>
      <w:r>
        <w:t>+</w:t>
      </w:r>
      <w:r>
        <w:t xml:space="preserve"> </w:t>
      </w:r>
      <w:r>
        <w:t>]•[</w:t>
      </w:r>
      <w:r>
        <w:rPr>
          <w:vertAlign w:val="subscript"/>
        </w:rPr>
        <w:t>1</w:t>
      </w:r>
      <w:r>
        <w:t>•−</w:t>
      </w:r>
      <w:r>
        <w:t>]，同时</w:t>
      </w:r>
      <w:r>
        <w:t xml:space="preserve"> </w:t>
      </w:r>
      <w:r>
        <w:t>氮</w:t>
      </w:r>
      <w:r>
        <w:t xml:space="preserve"> </w:t>
      </w:r>
      <w:r>
        <w:t>‐杂环卡宾 (NHC) 捕获实验导致分离出 NHC 稳定的二烯丙基二镓烯 (</w:t>
      </w:r>
      <w:r>
        <w:t xml:space="preserve"> </w:t>
      </w:r>
      <w:r>
        <w:t>2a</w:t>
      </w:r>
      <w:r>
        <w:t xml:space="preserve"> </w:t>
      </w:r>
      <w:r>
        <w:t>和</w:t>
      </w:r>
      <w:r>
        <w:t xml:space="preserve"> </w:t>
      </w:r>
      <w:r>
        <w:t>2b</w:t>
      </w:r>
      <w:r>
        <w:t xml:space="preserve"> </w:t>
      </w:r>
      <w:r>
        <w:t>）以及二烯丙基取代的镓基（</w:t>
      </w:r>
      <w:r>
        <w:t xml:space="preserve"> </w:t>
      </w:r>
      <w:r>
        <w:t>3c</w:t>
      </w:r>
      <w:r>
        <w:t xml:space="preserve"> </w:t>
      </w:r>
      <w:r>
        <w:t>）。化合物[Li</w:t>
      </w:r>
      <w:r>
        <w:t xml:space="preserve"> </w:t>
      </w:r>
      <w:r>
        <w:t>+</w:t>
      </w:r>
      <w:r>
        <w:t xml:space="preserve"> </w:t>
      </w:r>
      <w:r>
        <w:t>]•[</w:t>
      </w:r>
      <w:r>
        <w:rPr>
          <w:vertAlign w:val="subscript"/>
        </w:rPr>
        <w:t>1</w:t>
      </w:r>
      <w:r>
        <w:t>•−</w:t>
      </w:r>
      <w:r>
        <w:t>] 表现出多种以镓为中心的自由基反应活性，包括用 S 进行单电子氧化</w:t>
      </w:r>
      <w:r>
        <w:rPr>
          <w:vertAlign w:val="subscript"/>
        </w:rPr>
        <w:t>8</w:t>
      </w:r>
    </w:p>
    <w:p>
      <w:pPr>
        <w:spacing w:before="0" w:after="200" w:lineRule="auto" w:line="276"/>
      </w:pPr>
      <w:r>
        <w:rPr>
          <w:b/>
        </w:rPr>
        <w:t xml:space="preserve">Abstract (EN): </w:t>
      </w:r>
      <w:r>
        <w:t>We report the synthesis and characterization of a homoleptic Ga</w:t>
      </w:r>
      <w:r>
        <w:rPr>
          <w:vertAlign w:val="subscript"/>
        </w:rPr>
        <w:t>4</w:t>
      </w:r>
      <w:r>
        <w:t>radical anion ([Li</w:t>
      </w:r>
      <w:r>
        <w:t xml:space="preserve"> </w:t>
      </w:r>
      <w:r>
        <w:t>+</w:t>
      </w:r>
      <w:r>
        <w:t xml:space="preserve"> </w:t>
      </w:r>
      <w:r>
        <w:t>]•[</w:t>
      </w:r>
      <w:r>
        <w:rPr>
          <w:vertAlign w:val="subscript"/>
        </w:rPr>
        <w:t>1</w:t>
      </w:r>
      <w:r>
        <w:t>•−</w:t>
      </w:r>
      <w:r>
        <w:t>]), prepared via a salt‐metathesis reaction between Cp*Ga (Cp* = pentamethylcyclopentadienyl) and [Li</w:t>
      </w:r>
      <w:r>
        <w:rPr>
          <w:vertAlign w:val="subscript"/>
        </w:rPr>
        <w:t>2</w:t>
      </w:r>
      <w:r>
        <w:t>(L)] (L = Me</w:t>
      </w:r>
      <w:r>
        <w:rPr>
          <w:vertAlign w:val="subscript"/>
        </w:rPr>
        <w:t>2</w:t>
      </w:r>
      <w:r>
        <w:t>Si(DipN)</w:t>
      </w:r>
      <w:r>
        <w:rPr>
          <w:vertAlign w:val="subscript"/>
        </w:rPr>
        <w:t>2</w:t>
      </w:r>
      <w:r>
        <w:t>). Combined structural and computational analyses reveal a nearly planar geometry at the central gallium atom, with only minimal distortion toward a trigonal pyramidal geometry, and the unpaired spin density localized in its 4p orbital. Density functional theory (DFT) calculations elucidate the reaction mechanism for the formation of [Li</w:t>
      </w:r>
      <w:r>
        <w:t xml:space="preserve"> </w:t>
      </w:r>
      <w:r>
        <w:t>+</w:t>
      </w:r>
      <w:r>
        <w:t xml:space="preserve"> </w:t>
      </w:r>
      <w:r>
        <w:t>]•[</w:t>
      </w:r>
      <w:r>
        <w:rPr>
          <w:vertAlign w:val="subscript"/>
        </w:rPr>
        <w:t>1</w:t>
      </w:r>
      <w:r>
        <w:t>•−</w:t>
      </w:r>
      <w:r>
        <w:t>], while</w:t>
      </w:r>
      <w:r>
        <w:t xml:space="preserve"> </w:t>
      </w:r>
      <w:r>
        <w:t>N</w:t>
      </w:r>
      <w:r>
        <w:t xml:space="preserve"> </w:t>
      </w:r>
      <w:r>
        <w:t>‐heterocyclic carbene (NHC)‐trapping experiments led to the isolation of NHC‐stabilized digallyl digallenes (</w:t>
      </w:r>
      <w:r>
        <w:t xml:space="preserve"> </w:t>
      </w:r>
      <w:r>
        <w:t>2a</w:t>
      </w:r>
      <w:r>
        <w:t xml:space="preserve"> </w:t>
      </w:r>
      <w:r>
        <w:t>and</w:t>
      </w:r>
      <w:r>
        <w:t xml:space="preserve"> </w:t>
      </w:r>
      <w:r>
        <w:t>2b</w:t>
      </w:r>
      <w:r>
        <w:t xml:space="preserve"> </w:t>
      </w:r>
      <w:r>
        <w:t>) as well as a digallyl‐substituted gallium radical (</w:t>
      </w:r>
      <w:r>
        <w:t xml:space="preserve"> </w:t>
      </w:r>
      <w:r>
        <w:t>3c</w:t>
      </w:r>
      <w:r>
        <w:t xml:space="preserve"> </w:t>
      </w:r>
      <w:r>
        <w:t>). Compound [Li</w:t>
      </w:r>
      <w:r>
        <w:t xml:space="preserve"> </w:t>
      </w:r>
      <w:r>
        <w:t>+</w:t>
      </w:r>
      <w:r>
        <w:t xml:space="preserve"> </w:t>
      </w:r>
      <w:r>
        <w:t>]•[</w:t>
      </w:r>
      <w:r>
        <w:rPr>
          <w:vertAlign w:val="subscript"/>
        </w:rPr>
        <w:t>1</w:t>
      </w:r>
      <w:r>
        <w:t>•−</w:t>
      </w:r>
      <w:r>
        <w:t>] exhibits versatile gallium‐centered radical reactivity, including one‐electron oxidation with S</w:t>
      </w:r>
      <w:r>
        <w:rPr>
          <w:vertAlign w:val="subscript"/>
        </w:rPr>
        <w:t>8</w:t>
      </w:r>
      <w:r>
        <w:t>and facile E─E bond activation (E = S, Se, and I) toward PhS‐SPh, PhSe‐SePh, and I</w:t>
      </w:r>
      <w:r>
        <w:rPr>
          <w:vertAlign w:val="subscript"/>
        </w:rPr>
        <w:t>2</w:t>
      </w:r>
      <w:r>
        <w:t>.</w:t>
      </w:r>
    </w:p>
    <w:p>
      <w:pPr>
        <w:spacing w:before="120" w:after="120"/>
      </w:pPr>
      <w:r>
        <w:rPr>
          <w:sz w:val="18"/>
        </w:rPr>
        <w:t>——————————————————————————————————————————————————————————————————————</w:t>
      </w:r>
    </w:p>
    <w:p>
      <w:pPr>
        <w:spacing w:before="160" w:after="40" w:line="240" w:lineRule="auto"/>
      </w:pPr>
      <w:r>
        <w:rPr>
          <w:b/>
        </w:rPr>
        <w:t xml:space="preserve">[109] </w:t>
      </w:r>
      <w:hyperlink r:id="rId633">
        <w:r>
          <w:rPr>
            <w:color w:val="1155CC"/>
            <w:u w:val="single"/>
          </w:rPr>
          <w:t>用于红外光学的具有类硅高折射率和透射率的可加工反硫化聚合物</w:t>
        </w:r>
      </w:hyperlink>
    </w:p>
    <w:p>
      <w:pPr>
        <w:spacing w:before="0" w:after="80"/>
      </w:pPr>
      <w:r>
        <w:rPr>
          <w:i/>
          <w:sz w:val="20"/>
        </w:rPr>
        <w:t>EN: Processable Inverse‐Vulcanized Polymers With Silicon‐Like High Refractive Index and Transmittance for Infrared Optics</w:t>
      </w:r>
    </w:p>
    <w:p>
      <w:pPr>
        <w:spacing w:before="0" w:after="120"/>
      </w:pPr>
      <w:r>
        <w:rPr>
          <w:b/>
        </w:rPr>
        <w:t xml:space="preserve">Source: </w:t>
      </w:r>
      <w:r>
        <w:t>Wiley: Angewandte Chemie International Edition: Table of Contents</w:t>
      </w:r>
      <w:r>
        <w:t xml:space="preserve">    </w:t>
      </w:r>
      <w:r>
        <w:rPr>
          <w:b/>
        </w:rPr>
        <w:t xml:space="preserve">Pub date: </w:t>
      </w:r>
      <w:r>
        <w:t>2026-07-24 10:46:59+00:00</w:t>
      </w:r>
      <w:r>
        <w:t xml:space="preserve">    </w:t>
      </w:r>
      <w:r>
        <w:rPr>
          <w:b/>
        </w:rPr>
        <w:t xml:space="preserve">DOI: </w:t>
      </w:r>
      <w:hyperlink r:id="rId634">
        <w:r>
          <w:rPr>
            <w:color w:val="1155CC"/>
            <w:u w:val="single"/>
          </w:rPr>
          <w:t>10.1002/anie.4976163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通过反相硫化制备的聚合物在作为红外光学材料的应用中表现出比传统有机材料压倒性的优越性。然而，获得合适的折射率仍然是一个巨大的挑战（</w:t>
      </w:r>
      <w:r>
        <w:t xml:space="preserve"> </w:t>
      </w:r>
      <w:r>
        <w:t>n</w:t>
      </w:r>
      <w:r>
        <w:t xml:space="preserve"> </w:t>
      </w:r>
      <w:r>
        <w:t>）和全有机聚合物的红外透明度，与无机光学材料相比。在此，通过反硫化四硫富瓦烯（TTF，一种非常富含硫的单体）构建了具有受控硫供给比例的聚（S-TTF）聚合物。所得的聚(S-TTF)具有大的极化率、多个反应位点和高对称性，赋予聚合物增加的红外折射和透射率。硫含量为 88wt% 的聚 (S60-TTF) 具有出色的稳定性、轻质性和良好的压印光刻加工性能，在毫米级光学窗口中表现出具有竞争力的可调折射率 (∼3.0) 以及近红外和中红外区域 &gt;60% 的透射率。理想的可见光透过率（</w:t>
      </w:r>
      <w:r>
        <w:t xml:space="preserve"> </w:t>
      </w:r>
      <w:r>
        <w:t>时间</w:t>
      </w:r>
      <w:r>
        <w:t xml:space="preserve"> </w:t>
      </w:r>
      <w:r>
        <w:t>维斯</w:t>
      </w:r>
      <w:r>
        <w:t xml:space="preserve"> </w:t>
      </w:r>
      <w:r>
        <w:t>&lt; 2%) 和近红外 (</w:t>
      </w:r>
      <w:r>
        <w:t xml:space="preserve"> </w:t>
      </w:r>
      <w:r>
        <w:t>时间</w:t>
      </w:r>
      <w:r>
        <w:t xml:space="preserve"> </w:t>
      </w:r>
      <w:r>
        <w:t>近红外</w:t>
      </w:r>
      <w:r>
        <w:t xml:space="preserve"> </w:t>
      </w:r>
      <w:r>
        <w:t>&gt; 90%）对于厚度为 5μm 的聚（S60-TTF）薄膜也实现了。我们的策略不仅生产出比无机材料具有竞争性折射率和独特红外透射率的有机共聚物，用于成像和安全应用，而且还为平衡光学性能提供了有价值的参考</w:t>
      </w:r>
    </w:p>
    <w:p>
      <w:pPr>
        <w:spacing w:before="0" w:after="200" w:lineRule="auto" w:line="276"/>
      </w:pPr>
      <w:r>
        <w:rPr>
          <w:b/>
        </w:rPr>
        <w:t xml:space="preserve">Abstract (EN): </w:t>
      </w:r>
      <w:r>
        <w:t>Polymers prepared by inverse vulcanization have demonstrated overwhelming superiority over traditional organic materials for application as infrared optical materials. It is however still a great challenge to achieve suitable refractive index (</w:t>
      </w:r>
      <w:r>
        <w:t xml:space="preserve"> </w:t>
      </w:r>
      <w:r>
        <w:t>n</w:t>
      </w:r>
      <w:r>
        <w:t xml:space="preserve"> </w:t>
      </w:r>
      <w:r>
        <w:t>) and infrared transparency for all‐organic polymers, in contrast to inorganic optical materials. Herein, poly(S‐TTF) polymers with controlled sulfur feeding ratio were constructed by inverse vulcanizing tetrathiafulvalene (TTF, a very sulfur‐rich monomer). The resulting poly(S‐TTF) possessed large polarizability, multiple reaction sites, and high symmetry that endow the polymers with increased infrared refraction and transmission. Together with remarkable stability, lightweight and good processability in imprint lithography, the poly(S60‐TTF) with 88wt% sulfur content exhibits a competitive and tunable refractive index (∼3.0) and transmittances of &amp;gt;60% in near and mid‐infrared regions by a millimeter‐level optical window. An ideal transmittance of visible light (</w:t>
      </w:r>
      <w:r>
        <w:t xml:space="preserve"> </w:t>
      </w:r>
      <w:r>
        <w:t>T</w:t>
      </w:r>
      <w:r>
        <w:t xml:space="preserve"> </w:t>
      </w:r>
      <w:r>
        <w:t>Vis</w:t>
      </w:r>
      <w:r>
        <w:t xml:space="preserve"> </w:t>
      </w:r>
      <w:r>
        <w:t>&amp;lt; 2%) and near infrared (</w:t>
      </w:r>
      <w:r>
        <w:t xml:space="preserve"> </w:t>
      </w:r>
      <w:r>
        <w:t>T</w:t>
      </w:r>
      <w:r>
        <w:t xml:space="preserve"> </w:t>
      </w:r>
      <w:r>
        <w:t>NIR</w:t>
      </w:r>
      <w:r>
        <w:t xml:space="preserve"> </w:t>
      </w:r>
      <w:r>
        <w:t>&amp;gt; 90%) was also realized for poly(S60‐TTF) films with 5µm thickness. Our strategy not only yields organic copolymers with competitive refractive index and exclusive infrared transmittance over inorganic materials for imaging and security applications, but also provides a valuable reference for balancing optical properties of inversed‐vulcanized polymers using sulfur‐ultrarich monomers.</w:t>
      </w:r>
    </w:p>
    <w:p>
      <w:pPr>
        <w:spacing w:before="120" w:after="120"/>
      </w:pPr>
      <w:r>
        <w:rPr>
          <w:sz w:val="18"/>
        </w:rPr>
        <w:t>——————————————————————————————————————————————————————————————————————</w:t>
      </w:r>
    </w:p>
    <w:p>
      <w:pPr>
        <w:spacing w:before="160" w:after="40" w:line="240" w:lineRule="auto"/>
      </w:pPr>
      <w:r>
        <w:rPr>
          <w:b/>
        </w:rPr>
        <w:t xml:space="preserve">[110] </w:t>
      </w:r>
      <w:hyperlink r:id="rId635">
        <w:r>
          <w:rPr>
            <w:color w:val="1155CC"/>
            <w:u w:val="single"/>
          </w:rPr>
          <w:t>二硫键的双-S-糖基化</w:t>
        </w:r>
      </w:hyperlink>
    </w:p>
    <w:p>
      <w:pPr>
        <w:spacing w:before="0" w:after="80"/>
      </w:pPr>
      <w:r>
        <w:rPr>
          <w:i/>
          <w:sz w:val="20"/>
        </w:rPr>
        <w:t>EN: Bis‐S‐Glycosylation of Disulfides</w:t>
      </w:r>
    </w:p>
    <w:p>
      <w:pPr>
        <w:spacing w:before="0" w:after="120"/>
      </w:pPr>
      <w:r>
        <w:rPr>
          <w:b/>
        </w:rPr>
        <w:t xml:space="preserve">Source: </w:t>
      </w:r>
      <w:r>
        <w:t>Wiley: Angewandte Chemie International Edition: Table of Contents</w:t>
      </w:r>
      <w:r>
        <w:t xml:space="preserve">    </w:t>
      </w:r>
      <w:r>
        <w:rPr>
          <w:b/>
        </w:rPr>
        <w:t xml:space="preserve">Pub date: </w:t>
      </w:r>
      <w:r>
        <w:t>2026-07-24 10:49:50+00:00</w:t>
      </w:r>
      <w:r>
        <w:t xml:space="preserve">    </w:t>
      </w:r>
      <w:r>
        <w:rPr>
          <w:b/>
        </w:rPr>
        <w:t xml:space="preserve">DOI: </w:t>
      </w:r>
      <w:hyperlink r:id="rId636">
        <w:r>
          <w:rPr>
            <w:color w:val="1155CC"/>
            <w:u w:val="single"/>
          </w:rPr>
          <w:t>10.1002/anie.7774464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碳水化合物在整个生物学中发挥着重要作用，使其成为生物研究和药物开发的关键目标。虽然碳水化合物的多价呈现被广泛认为对于高亲和力目标结合（糖苷簇效应）至关重要，但大多数现有方法侧重于安装一个糖苷键，并且缺乏将多个碳水化合物单元连接到官能团的稳健策略。在这里，我们报告了一种温和的、操作简单的直接、立体选择性双-</w:t>
      </w:r>
      <w:r>
        <w:t>S</w:t>
      </w:r>
      <w:r>
        <w:t xml:space="preserve"> </w:t>
      </w:r>
      <w:r>
        <w:t>-在开瓶水溶液中二烷基二硫键的糖基化。这种转化将两个未受保护的糖基单元安装到二硫键上，从而提供完全未受保护的糖基单元。</w:t>
      </w:r>
      <w:r>
        <w:t xml:space="preserve"> </w:t>
      </w:r>
      <w:r>
        <w:t>S</w:t>
      </w:r>
      <w:r>
        <w:t xml:space="preserve"> </w:t>
      </w:r>
      <w:r>
        <w:t>‐连接糖肽。该反应采用稳定的、易于获得的糖基亚磺酸盐作为供体</w:t>
      </w:r>
      <w:r>
        <w:t xml:space="preserve"> </w:t>
      </w:r>
      <w:r>
        <w:t>叔</w:t>
      </w:r>
      <w:r>
        <w:t xml:space="preserve"> </w:t>
      </w:r>
      <w:r>
        <w:t>‐丁基过氧化氢（</w:t>
      </w:r>
      <w:r>
        <w:t xml:space="preserve"> </w:t>
      </w:r>
      <w:r>
        <w:t>t</w:t>
      </w:r>
      <w:r>
        <w:t xml:space="preserve"> </w:t>
      </w:r>
      <w:r>
        <w:t>BuOOH）作为氧化剂，通过自由基途径形成半胱氨酸-糖基连接。衍生自硫醇的混合二硫化物也参与该反应，从而允许将一个糖单元安装到肽主链上。我们应用这种方法合成具有肝脏靶向能力的糖基化肽，并生成糖连接的亲和体-放射性核素缀合物。 DFT 计算为反应设计提供了信息，并使观察到的这种转化的选择性合理化。</w:t>
      </w:r>
    </w:p>
    <w:p>
      <w:pPr>
        <w:spacing w:before="0" w:after="200" w:lineRule="auto" w:line="276"/>
      </w:pPr>
      <w:r>
        <w:rPr>
          <w:b/>
        </w:rPr>
        <w:t xml:space="preserve">Abstract (EN): </w:t>
      </w:r>
      <w:r>
        <w:t>Carbohydrates play essential roles throughout biology, making them key targets in biological research and drug development. While multivalent presentation of carbohydrates is widely recognized as crucial for high‐affinity target binding (the glycoside cluster effect), most existing methods focus on installing one glycosidic bond and lack robust strategies for attaching multiple carbohydrate units to a functional group. Here we report a mild, operationally simple protocol for the direct, stereoselective bis‐</w:t>
      </w:r>
      <w:r>
        <w:t xml:space="preserve"> </w:t>
      </w:r>
      <w:r>
        <w:t>S</w:t>
      </w:r>
      <w:r>
        <w:t xml:space="preserve"> </w:t>
      </w:r>
      <w:r>
        <w:t>‐glycosylation of dialkyl disulfide bonds in an open‐flask aqueous solution. This transformation installs two unprotected glycosyl units onto disulfide bonds, affording fully unprotected</w:t>
      </w:r>
      <w:r>
        <w:t xml:space="preserve"> </w:t>
      </w:r>
      <w:r>
        <w:t>S</w:t>
      </w:r>
      <w:r>
        <w:t xml:space="preserve"> </w:t>
      </w:r>
      <w:r>
        <w:t>‐linked glycopeptides. The reaction employs bench‐stable, readily accessible glycosyl sulfinates as donors and</w:t>
      </w:r>
      <w:r>
        <w:t xml:space="preserve"> </w:t>
      </w:r>
      <w:r>
        <w:t>tert</w:t>
      </w:r>
      <w:r>
        <w:t xml:space="preserve"> </w:t>
      </w:r>
      <w:r>
        <w:t>‐butyl hydroperoxide (</w:t>
      </w:r>
      <w:r>
        <w:t xml:space="preserve"> </w:t>
      </w:r>
      <w:r>
        <w:t>t</w:t>
      </w:r>
      <w:r>
        <w:t xml:space="preserve"> </w:t>
      </w:r>
      <w:r>
        <w:t>BuOOH) as oxidant, forging cysteine‐glycosyl linkages via a radical pathway. Mixed disulfides derived from thiols partook in this reaction as well, allowing installation of one sugar unit onto peptide backbones. We applied this method to synthesize glycosylated peptides with liver‐targeting capabilities and to generate sugar‐linked affibody‐radionuclide conjugates. DFT calculations informed the reaction design and rationalized the observed selectivity of this transformation.</w:t>
      </w:r>
    </w:p>
    <w:p>
      <w:pPr>
        <w:spacing w:before="120" w:after="120"/>
      </w:pPr>
      <w:r>
        <w:rPr>
          <w:sz w:val="18"/>
        </w:rPr>
        <w:t>——————————————————————————————————————————————————————————————————————</w:t>
      </w:r>
    </w:p>
    <w:p>
      <w:pPr>
        <w:spacing w:before="160" w:after="40" w:line="240" w:lineRule="auto"/>
      </w:pPr>
      <w:r>
        <w:rPr>
          <w:b/>
        </w:rPr>
        <w:t xml:space="preserve">[111] </w:t>
      </w:r>
      <w:hyperlink r:id="rId637">
        <w:r>
          <w:rPr>
            <w:color w:val="1155CC"/>
            <w:u w:val="single"/>
          </w:rPr>
          <w:t>用于实时、有针对性地监测水中污染物的可编程可打印微生物生物电子传感器</w:t>
        </w:r>
      </w:hyperlink>
    </w:p>
    <w:p>
      <w:pPr>
        <w:spacing w:before="0" w:after="80"/>
      </w:pPr>
      <w:r>
        <w:rPr>
          <w:i/>
          <w:sz w:val="20"/>
        </w:rPr>
        <w:t>EN: A Programmable and Printable Microbial Bioelectronic Sensor for Real‐Time and Targeted Pollutant Monitoring in Water</w:t>
      </w:r>
    </w:p>
    <w:p>
      <w:pPr>
        <w:spacing w:before="0" w:after="120"/>
      </w:pPr>
      <w:r>
        <w:rPr>
          <w:b/>
        </w:rPr>
        <w:t xml:space="preserve">Source: </w:t>
      </w:r>
      <w:r>
        <w:t>Wiley: Angewandte Chemie International Edition: Table of Contents</w:t>
      </w:r>
      <w:r>
        <w:t xml:space="preserve">    </w:t>
      </w:r>
      <w:r>
        <w:rPr>
          <w:b/>
        </w:rPr>
        <w:t xml:space="preserve">Pub date: </w:t>
      </w:r>
      <w:r>
        <w:t>2026-07-24 10:51:55+00:00</w:t>
      </w:r>
      <w:r>
        <w:t xml:space="preserve">    </w:t>
      </w:r>
      <w:r>
        <w:rPr>
          <w:b/>
        </w:rPr>
        <w:t xml:space="preserve">DOI: </w:t>
      </w:r>
      <w:hyperlink r:id="rId638">
        <w:r>
          <w:rPr>
            <w:color w:val="1155CC"/>
            <w:u w:val="single"/>
          </w:rPr>
          <w:t>10.1002/anie.1144662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快速检测有毒微量污染物对于全球水安全至关重要，但常规监测依赖于昂贵且耗时的实验室分析。微生物传感器提供了一种有前途的替代方案，但存在特异性有限、稳定性不足和动力学缓慢的问题。在此，我们报告了一种可编程和可打印的微生物生物电子传感器，它通过多尺度化学设计克服了这些瓶颈。使用 2,4-二硝基甲苯作为模型污染物，我们对细胞外电子传递途径进行了基因重编程</w:t>
      </w:r>
      <w:r>
        <w:t xml:space="preserve"> </w:t>
      </w:r>
      <w:r>
        <w:t>奥奈德希瓦氏菌</w:t>
      </w:r>
      <w:r>
        <w:t xml:space="preserve"> </w:t>
      </w:r>
      <w:r>
        <w:t>通过将特定污染物识别与内膜细胞色素表达耦合，从而实现目标污染物的高度特异性生物电检测。为了实现稳健的部署，这些传感微生物被封装到由可逆氢键维持的双网络水凝胶中，确保结构弹性和生物相容性。通过将生物传感器 3D 打印成仿生分形架构，我们最大限度地减少了传质阻力，实现了 5 分钟的响应时间，比传统传感器加速了 24 倍。该生物传感器还表现出 6.75 µg L-1 的低检测限</w:t>
      </w:r>
      <w:r>
        <w:t xml:space="preserve"> </w:t>
      </w:r>
      <w:r>
        <w:t>−1</w:t>
      </w:r>
      <w:r>
        <w:t xml:space="preserve"> </w:t>
      </w:r>
      <w:r>
        <w:t>动态范围从 20.4 到 700.0 µg L</w:t>
      </w:r>
      <w:r>
        <w:t xml:space="preserve"> </w:t>
      </w:r>
      <w:r>
        <w:t>−1</w:t>
      </w:r>
      <w:r>
        <w:t xml:space="preserve"> </w:t>
      </w:r>
      <w:r>
        <w:t>（</w:t>
      </w:r>
      <w:r>
        <w:t xml:space="preserve"> </w:t>
      </w:r>
      <w:r>
        <w:t>右</w:t>
      </w:r>
      <w:r>
        <w:rPr>
          <w:vertAlign w:val="subscript"/>
        </w:rPr>
        <w:t>2</w:t>
      </w:r>
      <w:r>
        <w:t>&gt; 0.999）。至关重要的是，生物传感器在实际废水中保持了高精度（相对误差&lt; 4.2%）。钍</w:t>
      </w:r>
    </w:p>
    <w:p>
      <w:pPr>
        <w:spacing w:before="0" w:after="200" w:lineRule="auto" w:line="276"/>
      </w:pPr>
      <w:r>
        <w:rPr>
          <w:b/>
        </w:rPr>
        <w:t xml:space="preserve">Abstract (EN): </w:t>
      </w:r>
      <w:r>
        <w:t>Rapid detection of toxic trace contaminants is critical for global water security, yet routine monitoring relies on costly, time‐consuming laboratory analyses. Microbial sensors offer a promising alternative but suffer from limited specificity, insufficient stability, and slow kinetics. Herein, we report a programmable and printable microbial bioelectronic sensor that overcomes these bottlenecks through multi‐scale chemical design. Using 2,4‐dinitrotoluene as a model pollutant, we genetically reprogrammed the extracellular electron transfer pathway of</w:t>
      </w:r>
      <w:r>
        <w:t xml:space="preserve"> </w:t>
      </w:r>
      <w:r>
        <w:t>Shewanella oneidensis</w:t>
      </w:r>
      <w:r>
        <w:t xml:space="preserve"> </w:t>
      </w:r>
      <w:r>
        <w:t>by coupling specific pollutant recognition to inner‐membrane cytochrome expression, thereby enabling highly specific bioelectrical detection of target pollutants. For robust deployment, these sensing microbes were encapsulated into a dual‐network hydrogel sustained by reversible hydrogen bonding, ensuring structural resilience and biocompatibility. By 3D‐printing the biosensor into a biomimetic fractal architecture, we minimized mass transport resistance, achieving a response time of 5 min, a 24‐fold acceleration over conventional counterparts. The biosensor also exhibited a low detection limit of 6.75 µg L</w:t>
      </w:r>
      <w:r>
        <w:t xml:space="preserve"> </w:t>
      </w:r>
      <w:r>
        <w:t>−1</w:t>
      </w:r>
      <w:r>
        <w:t xml:space="preserve"> </w:t>
      </w:r>
      <w:r>
        <w:t>and a broad dynamic range from 20.4 to 700.0 µg L</w:t>
      </w:r>
      <w:r>
        <w:t xml:space="preserve"> </w:t>
      </w:r>
      <w:r>
        <w:t>−1</w:t>
      </w:r>
      <w:r>
        <w:t xml:space="preserve"> </w:t>
      </w:r>
      <w:r>
        <w:t>(</w:t>
      </w:r>
      <w:r>
        <w:t xml:space="preserve"> </w:t>
      </w:r>
      <w:r>
        <w:t>R</w:t>
      </w:r>
      <w:r>
        <w:rPr>
          <w:vertAlign w:val="subscript"/>
        </w:rPr>
        <w:t>2</w:t>
      </w:r>
      <w:r>
        <w:t>&amp;gt; 0.999). Crucially, the biosensor maintained high accuracy (relative error &amp;lt; 4.2%) in actual wastewaters. This work establishes that the multiscale chemical design of microbial bioelectronic sensors enables real‐time, targeted pollutant monitoring.</w:t>
      </w:r>
    </w:p>
    <w:p>
      <w:pPr>
        <w:spacing w:before="120" w:after="120"/>
      </w:pPr>
      <w:r>
        <w:rPr>
          <w:sz w:val="18"/>
        </w:rPr>
        <w:t>——————————————————————————————————————————————————————————————————————</w:t>
      </w:r>
    </w:p>
    <w:p>
      <w:pPr>
        <w:spacing w:before="160" w:after="40" w:line="240" w:lineRule="auto"/>
      </w:pPr>
      <w:r>
        <w:rPr>
          <w:b/>
        </w:rPr>
        <w:t xml:space="preserve">[112] </w:t>
      </w:r>
      <w:hyperlink r:id="rId639">
        <w:r>
          <w:rPr>
            <w:color w:val="1155CC"/>
            <w:u w:val="single"/>
          </w:rPr>
          <w:t>不仅仅是发光：花青染料如何塑造示踪剂药代动力学</w:t>
        </w:r>
      </w:hyperlink>
    </w:p>
    <w:p>
      <w:pPr>
        <w:spacing w:before="0" w:after="80"/>
      </w:pPr>
      <w:r>
        <w:rPr>
          <w:i/>
          <w:sz w:val="20"/>
        </w:rPr>
        <w:t>EN: More Than a Glow: How Cyanine Dyes Shape Tracer Pharmacokinetics</w:t>
      </w:r>
    </w:p>
    <w:p>
      <w:pPr>
        <w:spacing w:before="0" w:after="120"/>
      </w:pPr>
      <w:r>
        <w:rPr>
          <w:b/>
        </w:rPr>
        <w:t xml:space="preserve">Source: </w:t>
      </w:r>
      <w:r>
        <w:t>Wiley: Angewandte Chemie International Edition: Table of Contents</w:t>
      </w:r>
      <w:r>
        <w:t xml:space="preserve">    </w:t>
      </w:r>
      <w:r>
        <w:rPr>
          <w:b/>
        </w:rPr>
        <w:t xml:space="preserve">Pub date: </w:t>
      </w:r>
      <w:r>
        <w:t>2026-07-24 11:01:48+00:00</w:t>
      </w:r>
      <w:r>
        <w:t xml:space="preserve">    </w:t>
      </w:r>
      <w:r>
        <w:rPr>
          <w:b/>
        </w:rPr>
        <w:t xml:space="preserve">DOI: </w:t>
      </w:r>
      <w:hyperlink r:id="rId640">
        <w:r>
          <w:rPr>
            <w:color w:val="1155CC"/>
            <w:u w:val="single"/>
          </w:rPr>
          <w:t>10.1002/anie.9479227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荧光分子成像是追踪生物体内生理或病理生物标志物的重要方法。在临床实践中，该技术越来越多地应用于协助医生在介入或外科手术过程中做出决策。为了开发成像示踪剂，目标分子被荧光有机染料共价标记。然而，人们经常忽视的是，这种分子修饰会影响甚至改变其药代动力学和体内分布。本综述旨在概述翻译和临床荧光分子成像中常用的荧光团的进展，特别关注长波长花青染料。此外，我们将说明荧光团的结构和标记参数如何影响分子的体内行为，强调在设计荧光示踪剂时考虑这些方面的重要性。</w:t>
      </w:r>
    </w:p>
    <w:p>
      <w:pPr>
        <w:spacing w:before="0" w:after="200" w:lineRule="auto" w:line="276"/>
      </w:pPr>
      <w:r>
        <w:rPr>
          <w:b/>
        </w:rPr>
        <w:t xml:space="preserve">Abstract (EN): </w:t>
      </w:r>
      <w:r>
        <w:t>Fluorescence molecular imaging stands as a crucial method for tracking physiological or pathological biomarkers within living organisms. In clinical practice, this technology is increasingly applied to assist physicians in decision‐making during interventional or surgical procedures. To develop imaging tracers, targeting molecules are covalently labeled with fluorescent organic dyes. Yet, it is often overlooked that such modifications to the molecule can influence and even alter its pharmacokinetics and distribution within the body. This review aims to provide an overview of the advancements in fluorophores commonly used in translational and clinical fluorescence molecular imaging, with a specific focus on long‐wavelength cyanine dyes. Additionally, we will illustrate how the fluorophore's structure and labeling parameters influence the in vivo behavior of molecules, underscoring the importance of considering these aspects when designing fluorescent tracers.</w:t>
      </w:r>
    </w:p>
    <w:p>
      <w:pPr>
        <w:spacing w:before="120" w:after="120"/>
      </w:pPr>
      <w:r>
        <w:rPr>
          <w:sz w:val="18"/>
        </w:rPr>
        <w:t>——————————————————————————————————————————————————————————————————————</w:t>
      </w:r>
    </w:p>
    <w:p>
      <w:pPr>
        <w:spacing w:before="160" w:after="40" w:line="240" w:lineRule="auto"/>
      </w:pPr>
      <w:r>
        <w:rPr>
          <w:b/>
        </w:rPr>
        <w:t xml:space="preserve">[113] </w:t>
      </w:r>
      <w:hyperlink r:id="rId641">
        <w:r>
          <w:rPr>
            <w:color w:val="1155CC"/>
            <w:u w:val="single"/>
          </w:rPr>
          <w:t>通过终端发射器中的空间受限三线态清除调制实现高效且长寿命的蓝色 OLED</w:t>
        </w:r>
      </w:hyperlink>
    </w:p>
    <w:p>
      <w:pPr>
        <w:spacing w:before="0" w:after="80"/>
      </w:pPr>
      <w:r>
        <w:rPr>
          <w:i/>
          <w:sz w:val="20"/>
        </w:rPr>
        <w:t>EN: Efficient and Long‐Lived Blue OLEDs by Space‐Confined Triplet Scavenging Modulation in Terminal Emitters</w:t>
      </w:r>
    </w:p>
    <w:p>
      <w:pPr>
        <w:spacing w:before="0" w:after="120"/>
      </w:pPr>
      <w:r>
        <w:rPr>
          <w:b/>
        </w:rPr>
        <w:t xml:space="preserve">Source: </w:t>
      </w:r>
      <w:r>
        <w:t>Wiley: Angewandte Chemie International Edition: Table of Contents</w:t>
      </w:r>
      <w:r>
        <w:t xml:space="preserve">    </w:t>
      </w:r>
      <w:r>
        <w:rPr>
          <w:b/>
        </w:rPr>
        <w:t xml:space="preserve">Pub date: </w:t>
      </w:r>
      <w:r>
        <w:t>2026-07-24 11:05:07+00:00</w:t>
      </w:r>
      <w:r>
        <w:t xml:space="preserve">    </w:t>
      </w:r>
      <w:r>
        <w:rPr>
          <w:b/>
        </w:rPr>
        <w:t xml:space="preserve">DOI: </w:t>
      </w:r>
      <w:hyperlink r:id="rId642">
        <w:r>
          <w:rPr>
            <w:color w:val="1155CC"/>
            <w:u w:val="single"/>
          </w:rPr>
          <w:t>10.1002/anie.7332846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结合多谐振（MR）发射器的蓝色有机发光二极管（OLED）已经实现了卓越的色纯度和外量子效率（EQE），但其运行稳定性仍然受到终端发射器（TE）上三重态累积的限制。在这项研究中，我们报告了一种空间受限的三重态清除策略，该策略将基于蒽的三重态清除单元空间耦合到MR核心，同时以电子方式将它们解耦。这种架构能够实现高效的三线态耗散，而不干扰 MR 核的固有单线态发射。因此，所提出的BCzBN-SF1An保留了窄带蓝色发射和高光致发光量子产率，同时表现出扩大的单重态-三重态分裂和抑制的延迟发射，与三重态清除效应一致。在超荧光 (HF) OLED 中，BCzBN-SF1An 的最大 EQE 为 22.2%，效率滚降显着降低。值得注意的是，器件寿命在 LT 条件下延长至 127 小时</w:t>
      </w:r>
      <w:r>
        <w:rPr>
          <w:vertAlign w:val="subscript"/>
        </w:rPr>
        <w:t>80</w:t>
      </w:r>
      <w:r>
        <w:t>，比基于 BCzBN 的母体设备提高了三倍，且不牺牲颜色纯度或效率。瞬态电致发光测量进一步揭示了受抑制的电荷捕获和消除了 TE 的延迟发射，突出了三线态清除和优化的载流子动力学的协同作用。这项工作展示了对载流子/激子动力学的全面见解，以及同时实现高</w:t>
      </w:r>
    </w:p>
    <w:p>
      <w:pPr>
        <w:spacing w:before="0" w:after="200" w:lineRule="auto" w:line="276"/>
      </w:pPr>
      <w:r>
        <w:rPr>
          <w:b/>
        </w:rPr>
        <w:t xml:space="preserve">Abstract (EN): </w:t>
      </w:r>
      <w:r>
        <w:t>Blue organic light‐emitting diodes (OLEDs) incorporating multiple‐resonance (MR) emitters have achieved exceptional color purity and external quantum efficiencies (EQEs), yet their operational stability remains limited by triplet accumulation on terminal emitters (TEs). In this study, we report a space‐confined triplet‐scavenging strategy that spatially couples an anthracene‐based triplet‐scavenging unit to the MR core while electronically decoupling them. This architecture enables efficient triplet dissipation without disturbing the intrinsic singlet emission of the MR‐core. Therefore, the proposed BCzBN‐SF1An preserves narrowband blue emission and high photoluminescence quantum yield, while exhibiting an enlarged singlet‐triplet splitting and suppressed delayed emission, consistent with triplet scavenging effect. In hyperfluorescent (HF) OLEDs, BCzBN‐SF1An exhibits a maximum EQE of 22.2% with a significantly reduced efficiency roll‐off. Notably, the device lifetime is extended to 127 h at LT</w:t>
      </w:r>
      <w:r>
        <w:rPr>
          <w:vertAlign w:val="subscript"/>
        </w:rPr>
        <w:t>80</w:t>
      </w:r>
      <w:r>
        <w:t>, a threefold improvement over the parent BCzBN‐based device, without sacrificing color purity or efficiency. Transient electroluminescent measurements further reveal suppressed charge trapping and the elimination of delayed emission from TEs, highlighting the synergistic roles of triplet scavenging and optimized charge carrier dynamics. This work demonstrates comprehensive insights into carrier/exciton dynamics, along with an effective molecular design paradigm for simultaneously achieving high efficiency and long operational lifetime in blue HF‐OLEDs through precise triplet exciton management.</w:t>
      </w:r>
    </w:p>
    <w:p>
      <w:pPr>
        <w:spacing w:before="120" w:after="120"/>
      </w:pPr>
      <w:r>
        <w:rPr>
          <w:sz w:val="18"/>
        </w:rPr>
        <w:t>——————————————————————————————————————————————————————————————————————</w:t>
      </w:r>
    </w:p>
    <w:p>
      <w:pPr>
        <w:spacing w:before="160" w:after="40" w:line="240" w:lineRule="auto"/>
      </w:pPr>
      <w:r>
        <w:rPr>
          <w:b/>
        </w:rPr>
        <w:t xml:space="preserve">[114] </w:t>
      </w:r>
      <w:hyperlink r:id="rId643">
        <w:r>
          <w:rPr>
            <w:color w:val="1155CC"/>
            <w:u w:val="single"/>
          </w:rPr>
          <w:t>表面支撑金属有机链中稳定的零价镍</w:t>
        </w:r>
      </w:hyperlink>
    </w:p>
    <w:p>
      <w:pPr>
        <w:spacing w:before="0" w:after="80"/>
      </w:pPr>
      <w:r>
        <w:rPr>
          <w:i/>
          <w:sz w:val="20"/>
        </w:rPr>
        <w:t>EN: Zero‐Valent Nickel Stabilized in Surface‐Supported Metal–Organic Chains</w:t>
      </w:r>
    </w:p>
    <w:p>
      <w:pPr>
        <w:spacing w:before="0" w:after="120"/>
      </w:pPr>
      <w:r>
        <w:rPr>
          <w:b/>
        </w:rPr>
        <w:t xml:space="preserve">Source: </w:t>
      </w:r>
      <w:r>
        <w:t>Wiley: Angewandte Chemie International Edition: Table of Contents</w:t>
      </w:r>
      <w:r>
        <w:t xml:space="preserve">    </w:t>
      </w:r>
      <w:r>
        <w:rPr>
          <w:b/>
        </w:rPr>
        <w:t xml:space="preserve">Pub date: </w:t>
      </w:r>
      <w:r>
        <w:t>2026-07-24 11:08:55+00:00</w:t>
      </w:r>
      <w:r>
        <w:t xml:space="preserve">    </w:t>
      </w:r>
      <w:r>
        <w:rPr>
          <w:b/>
        </w:rPr>
        <w:t xml:space="preserve">DOI: </w:t>
      </w:r>
      <w:hyperlink r:id="rId644">
        <w:r>
          <w:rPr>
            <w:color w:val="1155CC"/>
            <w:u w:val="single"/>
          </w:rPr>
          <w:t>10.1002/anie.1508970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由于其显着的反应性和氧化敏感性，扩展配位网络中零价镍 Ni(0) 中心的稳定性仍然是一个重大挑战。在这里，我们证明了表面支撑的金属有机链内的线性配位限制能够使 Ag(100) 上的 Ni(0) 原子稳定。 9,10-二氰基蒽 (DCA) 的对称性与底物模板效应相结合，指导有序线性 Ni-DCA 配位基序的形成。光谱测量为正式的 Ni(0) 氧化态提供了明确的证据，代表了在扩展的、原子定义的系统中罕见地实现了零价过渡金属中心。电子结构由 Ni 3d 轨道和 DCA π 系统之间的杂化控制，导致主要具有一维特征的各向异性电子色散。这些结果确立了线性配位作为稳定表面支撑金属有机结构中反应性低价金属中心的策略。</w:t>
      </w:r>
    </w:p>
    <w:p>
      <w:pPr>
        <w:spacing w:before="0" w:after="200" w:lineRule="auto" w:line="276"/>
      </w:pPr>
      <w:r>
        <w:rPr>
          <w:b/>
        </w:rPr>
        <w:t xml:space="preserve">Abstract (EN): </w:t>
      </w:r>
      <w:r>
        <w:t>The stabilization of zero‐valent nickel Ni(0) centers in extended coordination networks remains a major challenge due to their pronounced reactivity and susceptibility to oxidation. Here, we demonstrate that linear coordination confinement within a surface‐supported metal–organic chain enables the stabilization of Ni(0) atoms on Ag(100). The symmetry of 9,10‐dicyanoanthracene (DCA), combined with substrate templating effects, directs the formation of an ordered linear Ni‐DCA coordination motif. Spectroscopic measurements provide unambiguous evidence for a formal Ni(0) oxidation state, representing a rare realization of a zero‐valent transition metal center within an extended, atomically defined system. The electronic structure is governed by hybridization between Ni 3d orbitals and the π‐system of DCA, resulting in an anisotropic electronic dispersion with predominantly one‐dimensional character. These results establish linear coordination as a strategy to stabilize reactive, low‐valent metal centers in surface‐supported metal–organic architectures.</w:t>
      </w:r>
    </w:p>
    <w:p>
      <w:pPr>
        <w:spacing w:before="120" w:after="120"/>
      </w:pPr>
      <w:r>
        <w:rPr>
          <w:sz w:val="18"/>
        </w:rPr>
        <w:t>——————————————————————————————————————————————————————————————————————</w:t>
      </w:r>
    </w:p>
    <w:p>
      <w:pPr>
        <w:spacing w:before="160" w:after="40" w:line="240" w:lineRule="auto"/>
      </w:pPr>
      <w:r>
        <w:rPr>
          <w:b/>
        </w:rPr>
        <w:t xml:space="preserve">[115] </w:t>
      </w:r>
      <w:hyperlink r:id="rId645">
        <w:r>
          <w:rPr>
            <w:color w:val="1155CC"/>
            <w:u w:val="single"/>
          </w:rPr>
          <w:t>近红外光光催化实现协同癌症治疗</w:t>
        </w:r>
      </w:hyperlink>
    </w:p>
    <w:p>
      <w:pPr>
        <w:spacing w:before="0" w:after="80"/>
      </w:pPr>
      <w:r>
        <w:rPr>
          <w:i/>
          <w:sz w:val="20"/>
        </w:rPr>
        <w:t>EN: Near‐Infrared Light Photocatalysis Enables Synergistic Cancer Therapy</w:t>
      </w:r>
    </w:p>
    <w:p>
      <w:pPr>
        <w:spacing w:before="0" w:after="120"/>
      </w:pPr>
      <w:r>
        <w:rPr>
          <w:b/>
        </w:rPr>
        <w:t xml:space="preserve">Source: </w:t>
      </w:r>
      <w:r>
        <w:t>Wiley: Angewandte Chemie International Edition: Table of Contents</w:t>
      </w:r>
      <w:r>
        <w:t xml:space="preserve">    </w:t>
      </w:r>
      <w:r>
        <w:rPr>
          <w:b/>
        </w:rPr>
        <w:t xml:space="preserve">Pub date: </w:t>
      </w:r>
      <w:r>
        <w:t>2026-07-24 11:13:56+00:00</w:t>
      </w:r>
      <w:r>
        <w:t xml:space="preserve">    </w:t>
      </w:r>
      <w:r>
        <w:rPr>
          <w:b/>
        </w:rPr>
        <w:t xml:space="preserve">DOI: </w:t>
      </w:r>
      <w:hyperlink r:id="rId646">
        <w:r>
          <w:rPr>
            <w:color w:val="1155CC"/>
            <w:u w:val="single"/>
          </w:rPr>
          <w:t>10.1002/anie.4230000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将光催化扩展到生命系统会受到紫外线 (UV)/可见光组织穿透的阻碍。我们在此报告了一种新型近红外 (NIR) 光催化剂，该催化剂是通过将 Pt(II) 卟啉与花青染料缀合而构建的。在 808 nm 照射下，它通过双能量/电子转移途径同时产生活性氧（</w:t>
      </w:r>
      <w:r>
        <w:rPr>
          <w:vertAlign w:val="subscript"/>
        </w:rPr>
        <w:t>1</w:t>
      </w:r>
      <w:r>
        <w:t>氧</w:t>
      </w:r>
      <w:r>
        <w:rPr>
          <w:vertAlign w:val="subscript"/>
        </w:rPr>
        <w:t>2</w:t>
      </w:r>
      <w:r>
        <w:t>, 氧</w:t>
      </w:r>
      <w:r>
        <w:rPr>
          <w:vertAlign w:val="subscript"/>
        </w:rPr>
        <w:t>2</w:t>
      </w:r>
      <w:r>
        <w:t>·</w:t>
      </w:r>
      <w:r>
        <w:t xml:space="preserve"> </w:t>
      </w:r>
      <w:r>
        <w:t>-</w:t>
      </w:r>
      <w:r>
        <w:t>,·OH)并氧化代谢辅因子NADH。这种双重作用破坏了氧化还原平衡并诱导免疫原性细胞死亡。该系统以生物相容性纳米粒子的形式提供，通过荧光（FL）/光声（PA）成像能够精确描绘肿瘤，并通过激活肿瘤特异性细胞毒性T细胞来进行，从而阻止原发性和远处肿瘤的进展，以实现高治疗效率。这项工作建立了一种用于协同癌症治疗的近红外光催化策略。</w:t>
      </w:r>
    </w:p>
    <w:p>
      <w:pPr>
        <w:spacing w:before="0" w:after="200" w:lineRule="auto" w:line="276"/>
      </w:pPr>
      <w:r>
        <w:rPr>
          <w:b/>
        </w:rPr>
        <w:t xml:space="preserve">Abstract (EN): </w:t>
      </w:r>
      <w:r>
        <w:t>Extending photocatalysis into living systems is hindered by the tissue penetration of ultraviolet (UV)/visible light. We herein report a novel near‐infrared (NIR) photocatalyst, constructed by conjugating a Pt(II) porphyrin with a cyanine dye. Upon 808 nm irradiation, it operates via dual energy/electron‐transfer pathways to simultaneously generate reactive oxygen species (</w:t>
      </w:r>
      <w:r>
        <w:rPr>
          <w:vertAlign w:val="subscript"/>
        </w:rPr>
        <w:t>1</w:t>
      </w:r>
      <w:r>
        <w:t>O</w:t>
      </w:r>
      <w:r>
        <w:rPr>
          <w:vertAlign w:val="subscript"/>
        </w:rPr>
        <w:t>2</w:t>
      </w:r>
      <w:r>
        <w:t>, O</w:t>
      </w:r>
      <w:r>
        <w:rPr>
          <w:vertAlign w:val="subscript"/>
        </w:rPr>
        <w:t>2</w:t>
      </w:r>
      <w:r>
        <w:t>·</w:t>
      </w:r>
      <w:r>
        <w:t xml:space="preserve"> </w:t>
      </w:r>
      <w:r>
        <w:t>−</w:t>
      </w:r>
      <w:r>
        <w:t>, ·OH) and oxidize the metabolic cofactor NADH. This dual action disrupts redox balance and induces immunogenic cell death. Delivered as biocompatible nanoparticles, the system enables precise tumor delineation by fluorescence (FL)/photoacoustic (PA) imaging, and proceeds by activating tumor‐specific cytotoxic T cells, thus impeding both primary and distant tumor progression to achieve high therapeutic efficiency. This work establishes an NIR photocatalytic strategy for synergistic cancer therapy.</w:t>
      </w:r>
    </w:p>
    <w:p>
      <w:pPr>
        <w:spacing w:before="120" w:after="120"/>
      </w:pPr>
      <w:r>
        <w:rPr>
          <w:sz w:val="18"/>
        </w:rPr>
        <w:t>——————————————————————————————————————————————————————————————————————</w:t>
      </w:r>
    </w:p>
    <w:p>
      <w:pPr>
        <w:spacing w:before="160" w:after="40" w:line="240" w:lineRule="auto"/>
      </w:pPr>
      <w:r>
        <w:rPr>
          <w:b/>
        </w:rPr>
        <w:t xml:space="preserve">[116] </w:t>
      </w:r>
      <w:hyperlink r:id="rId647">
        <w:r>
          <w:rPr>
            <w:color w:val="1155CC"/>
            <w:u w:val="single"/>
          </w:rPr>
          <w:t>通过排列诱导致密化和甘油塑化获得超强和坚韧的各向异性有机凝胶</w:t>
        </w:r>
      </w:hyperlink>
    </w:p>
    <w:p>
      <w:pPr>
        <w:spacing w:before="0" w:after="80"/>
      </w:pPr>
      <w:r>
        <w:rPr>
          <w:i/>
          <w:sz w:val="20"/>
        </w:rPr>
        <w:t>EN: Ultrastrong and Tough Anisotropic Organogel via Alignment‐Induced Densification and Glycerol Plasticization</w:t>
      </w:r>
    </w:p>
    <w:p>
      <w:pPr>
        <w:spacing w:before="0" w:after="120"/>
      </w:pPr>
      <w:r>
        <w:rPr>
          <w:b/>
        </w:rPr>
        <w:t xml:space="preserve">Source: </w:t>
      </w:r>
      <w:r>
        <w:t>Wiley: Advanced Materials: Table of Contents</w:t>
      </w:r>
      <w:r>
        <w:t xml:space="preserve">    </w:t>
      </w:r>
      <w:r>
        <w:rPr>
          <w:b/>
        </w:rPr>
        <w:t xml:space="preserve">Pub date: </w:t>
      </w:r>
      <w:r>
        <w:t>2026-07-24 12:12:16+00:00</w:t>
      </w:r>
      <w:r>
        <w:t xml:space="preserve">    </w:t>
      </w:r>
      <w:r>
        <w:rPr>
          <w:b/>
        </w:rPr>
        <w:t xml:space="preserve">DOI: </w:t>
      </w:r>
      <w:hyperlink r:id="rId648">
        <w:r>
          <w:rPr>
            <w:color w:val="1155CC"/>
            <w:u w:val="single"/>
          </w:rPr>
          <w:t>10.1002/adma.73978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凝胶、有机凝胶等聚合物凝胶因其良好的相容性和环境稳定性而广泛应用于组织工程、生物医学和柔性电子器件等领域。然而，同时实现高强度、韧性和伸长率以满足不同应用的需求仍然是一个巨大的挑战。在此，这项工作提出了一种策略，涉及在甘油中冻融、拉伸干燥和热退火，以制造具有各向异性微观结构的超强和坚韧的聚乙烯醇（PVA）有机凝胶。冻融循环通过冰晶的形成将PVA链推在一起，促进聚合物链的缠结和氢键网络的形成。定向拉伸干燥过程诱导分子链取向并增强分子间相互作用。甘油中的热退火（TA）促进链重排并使氢键网络交联致密，从而协同增强强度和韧性。所制备的各向异性PVA有机凝胶具有416的非凡韧性、61.14 MPa的优异强度和961%的断裂应变。同时，有机凝胶具有高光学透明度（）和在零度以下条件下优异的稳定性。这项工作为制造超强和坚韧的有机凝胶提供了一种新颖有效的策略，为软机器人和透明防护罩的仿生肌腱提供了有前景的潜在应用。</w:t>
      </w:r>
    </w:p>
    <w:p>
      <w:pPr>
        <w:spacing w:before="0" w:after="200" w:lineRule="auto" w:line="276"/>
      </w:pPr>
      <w:r>
        <w:rPr>
          <w:b/>
        </w:rPr>
        <w:t xml:space="preserve">Abstract (EN): </w:t>
      </w:r>
      <w:r>
        <w:t>Polymer gels, such as hydrogel and organogel, are widely used in tissue engineering, biomedicine, and flexible electronic devices due to their good compatibility and environmental stability. However, it is still a great challenge to achieve simultaneous high strength, toughness, and elongation to meet the demands of different applications. Herein, this work proposes a strategy involving freeze‐thawing, stretch‐drying and thermal annealing in glycerol to fabricate ultrastrong and tough polyvinyl alcohol (PVA) organogel with anisotropic microstructure. Freeze‐thawing cycles push PVA chains together through the formation of ice crystals, facilitating the entanglement of polymer chains and the formation of hydrogen bond network. Directional stretch‐drying process induces molecular chain orientation and enhances the intermolecular interactions. Thermal annealing (TA) in glycerol promotes chain rearrangement and densifies the cross‐linking of hydrogen bond network, which synergistically enhances strength and toughness. The prepared anisotropic PVA organogel exhibits extraordinary toughness of 416 , excellent strength of 61.14 MPa, and fracture strain of 961%. Simultaneously, the organogel has high optical transparency () and superior stability in sub‐zero conditions. This work provides a novel and effective strategy for fabricating ultrastrong and tough organogel, offering promising potential applications in bionic tendons for soft robotics and transparent protective shields.</w:t>
      </w:r>
    </w:p>
    <w:p>
      <w:pPr>
        <w:spacing w:before="120" w:after="120"/>
      </w:pPr>
      <w:r>
        <w:rPr>
          <w:sz w:val="18"/>
        </w:rPr>
        <w:t>——————————————————————————————————————————————————————————————————————</w:t>
      </w:r>
    </w:p>
    <w:p>
      <w:pPr>
        <w:spacing w:before="160" w:after="40" w:line="240" w:lineRule="auto"/>
      </w:pPr>
      <w:r>
        <w:rPr>
          <w:b/>
        </w:rPr>
        <w:t xml:space="preserve">[117] </w:t>
      </w:r>
      <w:hyperlink r:id="rId649">
        <w:r>
          <w:rPr>
            <w:color w:val="1155CC"/>
            <w:u w:val="single"/>
          </w:rPr>
          <w:t>用于紧急止血、抗菌和伤口修复的具有瞬间坚韧粘合特性的原位辅酶基可转化聚合物粉末</w:t>
        </w:r>
      </w:hyperlink>
    </w:p>
    <w:p>
      <w:pPr>
        <w:spacing w:before="0" w:after="80"/>
      </w:pPr>
      <w:r>
        <w:rPr>
          <w:i/>
          <w:sz w:val="20"/>
        </w:rPr>
        <w:t>EN: In Situ Coenzyme‐Based Transformable Polymers Powder With Instant‐Tough‐Adhesive Properties for Emergency Hemostasis, Antibiosis, and Wound Repair</w:t>
      </w:r>
    </w:p>
    <w:p>
      <w:pPr>
        <w:spacing w:before="0" w:after="120"/>
      </w:pPr>
      <w:r>
        <w:rPr>
          <w:b/>
        </w:rPr>
        <w:t xml:space="preserve">Source: </w:t>
      </w:r>
      <w:r>
        <w:t>Wiley: Advanced Materials: Table of Contents</w:t>
      </w:r>
      <w:r>
        <w:t xml:space="preserve">    </w:t>
      </w:r>
      <w:r>
        <w:rPr>
          <w:b/>
        </w:rPr>
        <w:t xml:space="preserve">Pub date: </w:t>
      </w:r>
      <w:r>
        <w:t>2026-07-24 12:44:19+00:00</w:t>
      </w:r>
      <w:r>
        <w:t xml:space="preserve">    </w:t>
      </w:r>
      <w:r>
        <w:rPr>
          <w:b/>
        </w:rPr>
        <w:t xml:space="preserve">DOI: </w:t>
      </w:r>
      <w:hyperlink r:id="rId650">
        <w:r>
          <w:rPr>
            <w:color w:val="1155CC"/>
            <w:u w:val="single"/>
          </w:rPr>
          <w:t>10.1002/adma.74107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目前的组织粘合剂面临着不受控制的创伤后出血和感染的挑战，这是由于湿粘附不足、凝固时间延长、潜在的细胞毒性以及关键生物功能（特别是抗菌和促愈合能力）整合不足而无法有效管理伤口。在此，这项工作提出了一种由辅酶基聚合物（α-硫辛酸/α-硫辛酸钠，PLA/Na）、单宁酸（TA）和ε-聚赖氨酸（PLys）组成的自稳定、水响应凝聚层粉末，缩写为PLA/Na@TA/PLys，为在具有挑战性的环境（例如潮湿、污染、术中或不规则伤口），并改善医疗保健结果。水合后，粉末会发生超快速自胶凝（&lt;10 秒），以优异的性能保形粘附在不规则湿纸巾上（粘附强度：69.55 kPa；爆裂压力：216.23 mmHg）。它在动脉、尾部横断和不可压缩内脏出血模型（肝脏、脾脏、心脏）中实现快速止血（&lt;20 秒），且无再出血，性能优于商用止血器。此外，该粉末具有广谱抗菌/抗生物膜活性，并促进血管内皮细胞活力、迁移和血管生成。对于全层皮肤缺损，它通过减轻炎症和刺激再生来加速伤口愈合。 PLA/Na@TA/PLys 具有储存方便、使用方便和生物安全性高等特点，是一种多功能生物粘合剂，具有显着的应用前景。</w:t>
      </w:r>
    </w:p>
    <w:p>
      <w:pPr>
        <w:spacing w:before="0" w:after="200" w:lineRule="auto" w:line="276"/>
      </w:pPr>
      <w:r>
        <w:rPr>
          <w:b/>
        </w:rPr>
        <w:t xml:space="preserve">Abstract (EN): </w:t>
      </w:r>
      <w:r>
        <w:t>Current tissue adhesives are challenged by uncontrolled post‐traumatic hemorrhage and infection due to inadequate wet adhesion, prolonged setting time, potential cytotoxicity, and insufficient integration of key biological functionalities—specifically antimicrobial and pro‐healing capabilities—for effective wound management. Herein, this work proposes a self‐stabilizing, water‐responsive coacervate powder composed of coenzyme‐based polymers (α‐lipoic acid/sodium α‐lipoate, PLA/Na), tannic acid (TA), and ε‐polylysine (PLys), abbreviated as PLA/Na@TA/PLys, to provide a one‐stop solution for rapid tissue sealing under challenging environments (e.g., wet, contaminated, intraoperative, or irregular wounds), and for improved healthcare outcomes. Upon hydration, the powder undergoes ultra‐rapid self‐gelation (&amp;lt;10 s), conformally adhering to irregular wet tissues with exceptional performance (adhesion strength: 69.55 kPa; burst pressure: 216.23 mmHg). It achieves rapid hemostasis (&amp;lt;20 s) in arterial, tail transection, and non‐compressible visceral bleeding models (liver, spleen, heart) with no rebleeding, outperforming commercial hemostats. Additionally, the powder exhibits broad‐spectrum antibacterial/anti‐biofilm activity and promotes vascular endothelial cell viability, migration, and angiogenesis. In full‐thickness skin defects, it accelerates wound healing by mitigating inflammation and stimulating regeneration. With its facile storage, convenient application, and high biosafety, PLA/Na@TA/PLys represents a versatile bioadhesive with significant translational potential for emergency hemostasis, infection prevention, and tissue repair in clinical settings.</w:t>
      </w:r>
    </w:p>
    <w:p>
      <w:pPr>
        <w:spacing w:before="120" w:after="120"/>
      </w:pPr>
      <w:r>
        <w:rPr>
          <w:sz w:val="18"/>
        </w:rPr>
        <w:t>——————————————————————————————————————————————————————————————————————</w:t>
      </w:r>
    </w:p>
    <w:p>
      <w:pPr>
        <w:spacing w:before="160" w:after="40" w:line="240" w:lineRule="auto"/>
      </w:pPr>
      <w:r>
        <w:rPr>
          <w:b/>
        </w:rPr>
        <w:t xml:space="preserve">[118] </w:t>
      </w:r>
      <w:hyperlink r:id="rId651">
        <w:r>
          <w:rPr>
            <w:color w:val="1155CC"/>
            <w:u w:val="single"/>
          </w:rPr>
          <w:t>共聚物分子序列对电子传输的影响</w:t>
        </w:r>
      </w:hyperlink>
    </w:p>
    <w:p>
      <w:pPr>
        <w:spacing w:before="0" w:after="80"/>
      </w:pPr>
      <w:r>
        <w:rPr>
          <w:i/>
          <w:sz w:val="20"/>
        </w:rPr>
        <w:t>EN: The Impact of Copolymer Molecular Sequence on Electronic Transport</w:t>
      </w:r>
    </w:p>
    <w:p>
      <w:pPr>
        <w:spacing w:before="0" w:after="120"/>
      </w:pPr>
      <w:r>
        <w:rPr>
          <w:b/>
        </w:rPr>
        <w:t xml:space="preserve">Source: </w:t>
      </w:r>
      <w:r>
        <w:t>Wiley: Advanced Materials: Table of Contents</w:t>
      </w:r>
      <w:r>
        <w:t xml:space="preserve">    </w:t>
      </w:r>
      <w:r>
        <w:rPr>
          <w:b/>
        </w:rPr>
        <w:t xml:space="preserve">Pub date: </w:t>
      </w:r>
      <w:r>
        <w:t>2026-07-24 12:46:24+00:00</w:t>
      </w:r>
      <w:r>
        <w:t xml:space="preserve">    </w:t>
      </w:r>
      <w:r>
        <w:rPr>
          <w:b/>
        </w:rPr>
        <w:t xml:space="preserve">DOI: </w:t>
      </w:r>
      <w:hyperlink r:id="rId652">
        <w:r>
          <w:rPr>
            <w:color w:val="1155CC"/>
            <w:u w:val="single"/>
          </w:rPr>
          <w:t>10.1002/adma.202517721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已建立的关系描述了极化子的能量和间距如何影响共轭电子传输</w:t>
      </w:r>
      <w:r>
        <w:t xml:space="preserve"> </w:t>
      </w:r>
      <w:r>
        <w:t>同性恋者</w:t>
      </w:r>
      <w:r>
        <w:t xml:space="preserve"> </w:t>
      </w:r>
      <w:r>
        <w:t>‐聚合物，但尚不存在将这些概念扩展到不断增长的序列控制领域的模型</w:t>
      </w:r>
      <w:r>
        <w:t xml:space="preserve"> </w:t>
      </w:r>
      <w:r>
        <w:t>共</w:t>
      </w:r>
      <w:r>
        <w:t xml:space="preserve"> </w:t>
      </w:r>
      <w:r>
        <w:t>‐聚合物。这项工作采用氧化分子层沉积 (oMLD) 形成 3,4-乙烯二氧噻吩 (EDOT) 和吡咯 (Py) 的序列控制共聚物薄膜，并确定分子序列在固定成分下驱动电导率发生三个数量级的变化。我们扩展了均聚物的玻尔兹曼跳跃传输模型，以描述电子能量阱深度如何随 EDOT 和 Py 共聚物嵌段长度和分离距离变化。我们测量了四个单体单元的临界跳跃距离（相当于~1.5 nm）和相似长度的临界极化子形成尺寸。我们开发的模型和概念见解描述了序列控制共聚物的电子特性，并为工程有机纳米材料的分子设计提供了长度尺度上限。</w:t>
      </w:r>
    </w:p>
    <w:p>
      <w:pPr>
        <w:spacing w:before="0" w:after="200" w:lineRule="auto" w:line="276"/>
      </w:pPr>
      <w:r>
        <w:rPr>
          <w:b/>
        </w:rPr>
        <w:t xml:space="preserve">Abstract (EN): </w:t>
      </w:r>
      <w:r>
        <w:t>Established relationships describe how the energetics and spacing of polarons impact electronic transport in conjugated</w:t>
      </w:r>
      <w:r>
        <w:t xml:space="preserve"> </w:t>
      </w:r>
      <w:r>
        <w:t>homo</w:t>
      </w:r>
      <w:r>
        <w:t xml:space="preserve"> </w:t>
      </w:r>
      <w:r>
        <w:t>‐polymers, yet no model exists extending these concepts to the growing field of sequence‐controlled</w:t>
      </w:r>
      <w:r>
        <w:t xml:space="preserve"> </w:t>
      </w:r>
      <w:r>
        <w:t>co</w:t>
      </w:r>
      <w:r>
        <w:t xml:space="preserve"> </w:t>
      </w:r>
      <w:r>
        <w:t>‐polymers. This work employs oxidative molecular layer deposition (oMLD) to form thin films of sequence‐controlled copolymers of 3,4‐ethylenedioxythiophene (EDOT) and pyrrole (Py) and identifies that molecular sequence drives a three‐orders‐of‐magnitude change in conductivity at fixed composition. We extend Boltzmann hopping transport models for homopolymers to describe how electron energy well depth changes with EDOT and Py copolymer block lengths and separation distances. We measure a critical hopping distance of four monomer units (corresponding to ∼1.5 nm) and a critical polaron formation size of similar length. The model and conceptual insights we develop describe the electronic properties of sequence‐controlled copolymers and provide an upper length‐scale bound for molecular design of engineered organic nanomaterials.</w:t>
      </w:r>
    </w:p>
    <w:p>
      <w:pPr>
        <w:spacing w:before="120" w:after="120"/>
      </w:pPr>
      <w:r>
        <w:rPr>
          <w:sz w:val="18"/>
        </w:rPr>
        <w:t>——————————————————————————————————————————————————————————————————————</w:t>
      </w:r>
    </w:p>
    <w:p>
      <w:pPr>
        <w:spacing w:before="160" w:after="40" w:line="240" w:lineRule="auto"/>
      </w:pPr>
      <w:r>
        <w:rPr>
          <w:b/>
        </w:rPr>
        <w:t xml:space="preserve">[119] </w:t>
      </w:r>
      <w:hyperlink r:id="rId653">
        <w:r>
          <w:rPr>
            <w:color w:val="1155CC"/>
            <w:u w:val="single"/>
          </w:rPr>
          <w:t>从瞬态波动到可编程动力学：单原子位点的操作可逆重建</w:t>
        </w:r>
      </w:hyperlink>
    </w:p>
    <w:p>
      <w:pPr>
        <w:spacing w:before="0" w:after="80"/>
      </w:pPr>
      <w:r>
        <w:rPr>
          <w:i/>
          <w:sz w:val="20"/>
        </w:rPr>
        <w:t>EN: From Transient Fluctuations to Programmable Dynamics: Operando‐Reversible Reconstruction of Single‐Atom Sites</w:t>
      </w:r>
    </w:p>
    <w:p>
      <w:pPr>
        <w:spacing w:before="0" w:after="120"/>
      </w:pPr>
      <w:r>
        <w:rPr>
          <w:b/>
        </w:rPr>
        <w:t xml:space="preserve">Source: </w:t>
      </w:r>
      <w:r>
        <w:t>Wiley: Advanced Materials: Table of Contents</w:t>
      </w:r>
      <w:r>
        <w:t xml:space="preserve">    </w:t>
      </w:r>
      <w:r>
        <w:rPr>
          <w:b/>
        </w:rPr>
        <w:t xml:space="preserve">Pub date: </w:t>
      </w:r>
      <w:r>
        <w:t>2026-07-24 12:52:08+00:00</w:t>
      </w:r>
      <w:r>
        <w:t xml:space="preserve">    </w:t>
      </w:r>
      <w:r>
        <w:rPr>
          <w:b/>
        </w:rPr>
        <w:t xml:space="preserve">DOI: </w:t>
      </w:r>
      <w:hyperlink r:id="rId654">
        <w:r>
          <w:rPr>
            <w:color w:val="1155CC"/>
            <w:u w:val="single"/>
          </w:rPr>
          <w:t>10.1002/adma.74325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原子催化剂的动态性质，表现为单个分子转换过程中的瞬时配位波动，提供了重要的机制见解。然而，由于实验的难以捉摸和可控性差，这种分子级动力学的实际利用仍然具有根本的挑战性。在这里，我们报告了从这些随机波动到可编程配位切换的范式转变，这是通过 Pt/bpy-UiO-CuX 中单原子 Cu 位点的操作可逆重建实现的</w:t>
      </w:r>
      <w:r>
        <w:rPr>
          <w:vertAlign w:val="subscript"/>
        </w:rPr>
        <w:t>2</w:t>
      </w:r>
      <w:r>
        <w:t>模型催化剂。由氢化过程中的还原环境触发，亚稳态 N</w:t>
      </w:r>
      <w:r>
        <w:rPr>
          <w:vertAlign w:val="subscript"/>
        </w:rPr>
        <w:t>2</w:t>
      </w:r>
      <w:r>
        <w:t>-Cu-H构型在还原条件下生成，并在催化过程中保持主要的Cu状态，然后可逆地转化为氧化的Cu-(OH)</w:t>
      </w:r>
      <w:r>
        <w:rPr>
          <w:vertAlign w:val="subscript"/>
        </w:rPr>
        <w:t>2</w:t>
      </w:r>
      <w:r>
        <w:t>还原物质耗尽并暴露于空气后形成。同时，配位阴离子可以通过外部酸/阴离子环境重新编程，从而实现Cl之间的相互转化</w:t>
      </w:r>
      <w:r>
        <w:t xml:space="preserve"> </w:t>
      </w:r>
      <w:r>
        <w:t>-</w:t>
      </w:r>
      <w:r>
        <w:t>, 羟基</w:t>
      </w:r>
      <w:r>
        <w:t xml:space="preserve"> </w:t>
      </w:r>
      <w:r>
        <w:t>-</w:t>
      </w:r>
      <w:r>
        <w:t>，和含硫酸盐的铜配位态。多模态操作谱与理论计算相结合表明 N</w:t>
      </w:r>
      <w:r>
        <w:rPr>
          <w:vertAlign w:val="subscript"/>
        </w:rPr>
        <w:t>2</w:t>
      </w:r>
      <w:r>
        <w:t>-Cu-H中间体调节活性Pt中心的电子态，从而通过同时降低苯乙烯的苯乙烯选择性来提高苯乙炔到苯乙烯的选择性</w:t>
      </w:r>
    </w:p>
    <w:p>
      <w:pPr>
        <w:spacing w:before="0" w:after="200" w:lineRule="auto" w:line="276"/>
      </w:pPr>
      <w:r>
        <w:rPr>
          <w:b/>
        </w:rPr>
        <w:t xml:space="preserve">Abstract (EN): </w:t>
      </w:r>
      <w:r>
        <w:t>The dynamic nature of single‐atom catalysts, manifested as transient coordination fluctuations during individual molecular turnovers, has provided crucial mechanistic insights. However, the practical exploitation of such molecular‐level dynamics remains fundamentally challenging due to their experimental elusiveness and poor controllability. Here, we report a paradigm shift from these stochastic fluctuations to programmable coordination switching, enabled by the operando‐reversible reconstruction of single‐atom Cu sites in a Pt/bpy‐UiO‐CuX</w:t>
      </w:r>
      <w:r>
        <w:rPr>
          <w:vertAlign w:val="subscript"/>
        </w:rPr>
        <w:t>2</w:t>
      </w:r>
      <w:r>
        <w:t>model catalyst. Triggered by a reductive environment during hydrogenation, a metastable N</w:t>
      </w:r>
      <w:r>
        <w:rPr>
          <w:vertAlign w:val="subscript"/>
        </w:rPr>
        <w:t>2</w:t>
      </w:r>
      <w:r>
        <w:t>‐Cu‐H configuration is generated under reducing conditions and remains the dominant Cu state during catalysis, before reversibly converting to an oxidized Cu‐(OH)</w:t>
      </w:r>
      <w:r>
        <w:rPr>
          <w:vertAlign w:val="subscript"/>
        </w:rPr>
        <w:t>2</w:t>
      </w:r>
      <w:r>
        <w:t>form after depletion of reducing species and air exposure. Meanwhile, the coordination anions can be reprogrammed through external acid/anion environments, enabling interconversion among Cl</w:t>
      </w:r>
      <w:r>
        <w:t xml:space="preserve"> </w:t>
      </w:r>
      <w:r>
        <w:t>−</w:t>
      </w:r>
      <w:r>
        <w:t>, OH</w:t>
      </w:r>
      <w:r>
        <w:t xml:space="preserve"> </w:t>
      </w:r>
      <w:r>
        <w:t>−</w:t>
      </w:r>
      <w:r>
        <w:t>, and sulfate‐containing Cu coordination states. Multimodal operando spectroscopy combined with theoretical calculations demonstrates that the N</w:t>
      </w:r>
      <w:r>
        <w:rPr>
          <w:vertAlign w:val="subscript"/>
        </w:rPr>
        <w:t>2</w:t>
      </w:r>
      <w:r>
        <w:t>‐Cu‐H intermediate modulates the electronic state of the active Pt center, thereby boosting phenylacetylene‐to‐styrene selectivity by simultaneously lowering styrene desorption energy by 0.68 eV while raising the barrier for styrene hydrogenation by 0.66 eV. This work elevates dynamic single‐atom sites from stochastic structural fluctuations to programmable coordination switching, establishing a new paradigm for enzyme‐mimetic catalysts with adaptive responsiveness to redox and acid–base environments.</w:t>
      </w:r>
    </w:p>
    <w:p>
      <w:pPr>
        <w:spacing w:before="120" w:after="120"/>
      </w:pPr>
      <w:r>
        <w:rPr>
          <w:sz w:val="18"/>
        </w:rPr>
        <w:t>——————————————————————————————————————————————————————————————————————</w:t>
      </w:r>
    </w:p>
    <w:p>
      <w:pPr>
        <w:spacing w:before="160" w:after="40" w:line="240" w:lineRule="auto"/>
      </w:pPr>
      <w:r>
        <w:rPr>
          <w:b/>
        </w:rPr>
        <w:t xml:space="preserve">[120] </w:t>
      </w:r>
      <w:hyperlink r:id="rId655">
        <w:r>
          <w:rPr>
            <w:color w:val="1155CC"/>
            <w:u w:val="single"/>
          </w:rPr>
          <w:t>单原子铜诱导电子局域化增强 g-C3N4/PyBT S 型光催化剂中的电荷转移</w:t>
        </w:r>
      </w:hyperlink>
    </w:p>
    <w:p>
      <w:pPr>
        <w:spacing w:before="0" w:after="80"/>
      </w:pPr>
      <w:r>
        <w:rPr>
          <w:i/>
          <w:sz w:val="20"/>
        </w:rPr>
        <w:t>EN: Single‐Atom Cu‐Induced Electronic Localization Enhances Charge Transfer in g‐C3N4/PyBT S‐Scheme Photocatalyst</w:t>
      </w:r>
    </w:p>
    <w:p>
      <w:pPr>
        <w:spacing w:before="0" w:after="120"/>
      </w:pPr>
      <w:r>
        <w:rPr>
          <w:b/>
        </w:rPr>
        <w:t xml:space="preserve">Source: </w:t>
      </w:r>
      <w:r>
        <w:t>Wiley: Advanced Materials: Table of Contents</w:t>
      </w:r>
      <w:r>
        <w:t xml:space="preserve">    </w:t>
      </w:r>
      <w:r>
        <w:rPr>
          <w:b/>
        </w:rPr>
        <w:t xml:space="preserve">Pub date: </w:t>
      </w:r>
      <w:r>
        <w:t>2026-07-24 12:57:19+00:00</w:t>
      </w:r>
      <w:r>
        <w:t xml:space="preserve">    </w:t>
      </w:r>
      <w:r>
        <w:rPr>
          <w:b/>
        </w:rPr>
        <w:t xml:space="preserve">DOI: </w:t>
      </w:r>
      <w:hyperlink r:id="rId656">
        <w:r>
          <w:rPr>
            <w:color w:val="1155CC"/>
            <w:u w:val="single"/>
          </w:rPr>
          <w:t>10.1002/adma.74288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效的单线态氧辅助光催化氧化需要有效的电荷分离和良好控制的激发态途径，但在有机半导体异质结中实现这两者仍然具有挑战性。在此，通过将铜改性石墨碳氮化物（Cu─CN）与亚胺连接的共价有机框架（PyBT）偶联，开发了铜单原子工程S型异质结。原子分散的铜位点引起明显的界面电荷定位，增强内部电场（IEF），并加速跨异质结的定向电荷转移。定量分析表明，Cu─CN/PyBT 的 IEF 强度增强至无 Cu 对应物的 1.97 倍，从而显着改善了光生载流子的空间分离。更重要的是，增强的电荷分离促进了系间交叉并促进了单线态氧的产生。因此，优化后的异质结在模拟阳光下实现了 94.2% 的苯乙烯转化率和 79.2% 的苯甲醛选择性。这项工作为增强电荷转移动力学同时激活有机半导体异质结光催化剂中的单线态氧化学提供了可行的策略。</w:t>
      </w:r>
    </w:p>
    <w:p>
      <w:pPr>
        <w:spacing w:before="0" w:after="200" w:lineRule="auto" w:line="276"/>
      </w:pPr>
      <w:r>
        <w:rPr>
          <w:b/>
        </w:rPr>
        <w:t xml:space="preserve">Abstract (EN): </w:t>
      </w:r>
      <w:r>
        <w:t>Efficient singlet‐oxygen‐assisted photocatalytic oxidation requires both effective charge separation and well‐controlled excited‐state pathways, yet achieving both remains challenging in organic semiconductor heterojunctions. Herein, a Cu single‐atom‐engineered S‐scheme heterojunction is developed by coupling Cu‐modified graphitic carbon nitride (Cu─CN) with an imine‐linked covalent organic framework (PyBT). The atomically dispersed Cu sites induce pronounced interfacial charge localization, strengthen the internal electric field (IEF), and accelerate directional charge transfer across the heterojunction. Quantitative analysis shows that the IEF intensity of Cu─CN/PyBT is enhanced to 1.97 times that of its Cu‐free counterpart, enabling markedly improved spatial separation of photogenerated carriers. More importantly, the enhanced charge separation promotes intersystem crossing and boosts singlet oxygen generation. Consequently, the optimized heterojunction achieves 94.2% styrene conversion with 79.2% benzaldehyde selectivity under simulated sunlight. This work provides a feasible strategy for strengthening charge‐transfer kinetics while activating singlet‐oxygen chemistry in organic semiconductor heterojunction photocatalysts.</w:t>
      </w:r>
    </w:p>
    <w:p>
      <w:pPr>
        <w:spacing w:before="120" w:after="120"/>
      </w:pPr>
      <w:r>
        <w:rPr>
          <w:sz w:val="18"/>
        </w:rPr>
        <w:t>——————————————————————————————————————————————————————————————————————</w:t>
      </w:r>
    </w:p>
    <w:p>
      <w:pPr>
        <w:spacing w:before="160" w:after="40" w:line="240" w:lineRule="auto"/>
      </w:pPr>
      <w:r>
        <w:rPr>
          <w:b/>
        </w:rPr>
        <w:t xml:space="preserve">[121] </w:t>
      </w:r>
      <w:hyperlink r:id="rId657">
        <w:r>
          <w:rPr>
            <w:color w:val="1155CC"/>
            <w:u w:val="single"/>
          </w:rPr>
          <w:t>用于精确硼碳单原子交换的取代基反弹骨架编辑</w:t>
        </w:r>
      </w:hyperlink>
    </w:p>
    <w:p>
      <w:pPr>
        <w:spacing w:before="0" w:after="80"/>
      </w:pPr>
      <w:r>
        <w:rPr>
          <w:i/>
          <w:sz w:val="20"/>
        </w:rPr>
        <w:t>EN: Substituent-rebound skeletal editing for precise boron-to-carbon single-atom swapping</w:t>
      </w:r>
    </w:p>
    <w:p>
      <w:pPr>
        <w:spacing w:before="0" w:after="120"/>
      </w:pPr>
      <w:r>
        <w:rPr>
          <w:b/>
        </w:rPr>
        <w:t xml:space="preserve">Source: </w:t>
      </w:r>
      <w:r>
        <w:t>Physical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开发能够在芳香支架内进行单原子交换，同时保留其外围取代的方法，是合成中一个重要但雄心勃勃的目标。原则上，这种方法可以将分子框架内单原子变化的影响与周围取代基的改变的影响区分开来。然而，尽管具有这种概念上的力量，芳香系统中单原子交换的单步方法仍然很少。在此，我们通过取代基反弹过程提出了硼碳交换反应，将 1,2-苯并氮杂硼啉转化为相应的喹啉。使用乙醛酸作为碳原子源可以重新捕获硼原子上的原始取代基并将其纳入喹啉产物中，代表了真正的单原子骨架编辑的罕见例子。该转化表现出高水平的官能团耐受性，适用于天然产物和药物衍生物的后期修饰。此外，全面的机制研究阐明了这一过程的复杂性，为未来的单原子编辑流形奠定了基础，可以促进以原子级精度询问结构-功能关系。</w:t>
      </w:r>
    </w:p>
    <w:p>
      <w:pPr>
        <w:spacing w:before="0" w:after="200" w:lineRule="auto" w:line="276"/>
      </w:pPr>
      <w:r>
        <w:rPr>
          <w:b/>
        </w:rPr>
        <w:t xml:space="preserve">Abstract (EN): </w:t>
      </w:r>
      <w:r>
        <w:t>Developing methods that enable single-atom exchange within an aromatic scaffold, while preserving its peripheral substitution, represents an important but highly ambitious goal in synthesis. In principle, such approaches would allow the impact of a single-atom change within a molecular framework to be distinguished from the effects of also altering the peripheral substituents. Yet despite this conceptual power, single-step methodologies for single-atom exchange in aromatic systems remain rare. Herein, we present a boron-to-carbon swapping reaction via a substituent-rebound process, converting 1,2-benzazaborines into the corresponding quinolines. The employment of glyoxylic acid as the carbon-atom source allows the original substituent on the boron atom to be recaptured and incorporated into the quinoline product, representing a rare example of true single-atom skeletal editing. The transformation exhibits high levels of functional group tolerance and is applicable to the late-stage modifications of natural product and pharmaceutical derivatives. Furthermore, comprehensive mechanistic investigations elucidate the intricacies of this process, establishing a foundation for future single-atom editing manifolds that can facilitate the interrogation of structure–function relationships with atom-level precision.</w:t>
      </w:r>
    </w:p>
    <w:p>
      <w:pPr>
        <w:spacing w:before="120" w:after="120"/>
      </w:pPr>
      <w:r>
        <w:rPr>
          <w:sz w:val="18"/>
        </w:rPr>
        <w:t>——————————————————————————————————————————————————————————————————————</w:t>
      </w:r>
    </w:p>
    <w:p>
      <w:pPr>
        <w:spacing w:before="160" w:after="40" w:line="240" w:lineRule="auto"/>
      </w:pPr>
      <w:r>
        <w:rPr>
          <w:b/>
        </w:rPr>
        <w:t xml:space="preserve">[122] </w:t>
      </w:r>
      <w:hyperlink r:id="rId658">
        <w:r>
          <w:rPr>
            <w:color w:val="1155CC"/>
            <w:u w:val="single"/>
          </w:rPr>
          <w:t>表面力学的机械感应编码优化运动</w:t>
        </w:r>
      </w:hyperlink>
    </w:p>
    <w:p>
      <w:pPr>
        <w:spacing w:before="0" w:after="80"/>
      </w:pPr>
      <w:r>
        <w:rPr>
          <w:i/>
          <w:sz w:val="20"/>
        </w:rPr>
        <w:t>EN: Mechanosensory encoding of surface mechanics optimizes locomotion</w:t>
      </w:r>
    </w:p>
    <w:p>
      <w:pPr>
        <w:spacing w:before="0" w:after="120"/>
      </w:pPr>
      <w:r>
        <w:rPr>
          <w:b/>
        </w:rPr>
        <w:t xml:space="preserve">Source: </w:t>
      </w:r>
      <w:r>
        <w:t>Physical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运动——无论是步行、跑步还是爬行——都取决于身体与周围环境之间力量的精确协调。这个过程中的两个关键因素是抵抗两个物体之间相对运动的力，以及机械感觉，即身体感知和响应机械力的能力。这些过程共同实现了在不同环境中的有效运动，但身体与环境的相互作用如何影响自由运动动物的神经活动仍然知之甚少。在这里，我们证明了秀丽隐杆线虫体壁中的“轻柔触摸”受体神经元（TRN）对动态表面力学敏感。在微机械刺激、连接组规模模拟和最优控制理论的指导下，结合钙成像和牵引力显微镜对自由行为的动物进行观察，我们确定摩擦力和爬行速度是机械感受器活动的关键决定因素。破坏体壁机械感受器中 MEC-4 DEG/ENaC 离子通道活性的突变会导致动物昏睡，本体感受调节受损，这表明表面机械感受器和本体感受器之间存在功能耦合。总之，我们的研究结果表明，温和的“触摸”受体在运动过程中编码身体与环境的相互作用力，以优化运动能量。</w:t>
      </w:r>
    </w:p>
    <w:p>
      <w:pPr>
        <w:spacing w:before="0" w:after="200" w:lineRule="auto" w:line="276"/>
      </w:pPr>
      <w:r>
        <w:rPr>
          <w:b/>
        </w:rPr>
        <w:t xml:space="preserve">Abstract (EN): </w:t>
      </w:r>
      <w:r>
        <w:t>Locomotion - whether walking, running, or crawling - depends on the precise coordination of forces between the body and its surroundings. Two critical factors in this process are the force that resists the relative motion between two bodies, and mechanosensation, the body’s ability to sense and respond to mechanical forces. Together, these processes enable efficient locomotion across diverse environments, yet how body-environment interaction forces shape neural activity in freely moving animals remains poorly understood. Here we show that the ‘gentle touch’ receptor neurons (TRNs) in the Caenorhabditis elegans body wall are sensitive to dynamic surface mechanics. Using a combination of calcium imaging and traction force microscopy in freely behaving animals informed by micromechanical stimulation, connectome-scale simulations, and optimal control theory, we identify friction force and crawling velocity as key determinants of mechanoreceptor activity. Mutations disrupting MEC-4 DEG/ENaC ion channel activity in body wall mechanoreceptors produce lethargic animals with impaired proprioceptive regulation, suggesting functional coupling between surface mechanoreceptors and proprioceptors. Together, our findings reveal that gentle ‘touch’ receptors encode body-environment interaction forces during movement to optimize locomotor energetics.</w:t>
      </w:r>
    </w:p>
    <w:p>
      <w:pPr>
        <w:spacing w:before="120" w:after="120"/>
      </w:pPr>
      <w:r>
        <w:rPr>
          <w:sz w:val="18"/>
        </w:rPr>
        <w:t>——————————————————————————————————————————————————————————————————————</w:t>
      </w:r>
    </w:p>
    <w:p>
      <w:pPr>
        <w:spacing w:before="160" w:after="40" w:line="240" w:lineRule="auto"/>
      </w:pPr>
      <w:r>
        <w:rPr>
          <w:b/>
        </w:rPr>
        <w:t xml:space="preserve">[123] </w:t>
      </w:r>
      <w:hyperlink r:id="rId659">
        <w:r>
          <w:rPr>
            <w:color w:val="1155CC"/>
            <w:u w:val="single"/>
          </w:rPr>
          <w:t>杯状细胞机械地突破肠道稳态中的上皮屏障</w:t>
        </w:r>
      </w:hyperlink>
    </w:p>
    <w:p>
      <w:pPr>
        <w:spacing w:before="0" w:after="80"/>
      </w:pPr>
      <w:r>
        <w:rPr>
          <w:i/>
          <w:sz w:val="20"/>
        </w:rPr>
        <w:t>EN: Goblet cells mechanically breach the epithelial barrier in gut homeostasis</w:t>
      </w:r>
    </w:p>
    <w:p>
      <w:pPr>
        <w:spacing w:before="0" w:after="120"/>
      </w:pPr>
      <w:r>
        <w:rPr>
          <w:b/>
        </w:rPr>
        <w:t xml:space="preserve">Source: </w:t>
      </w:r>
      <w:r>
        <w:t>Physical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肠上皮形成严密的屏障，抵御恶劣的管腔环境。吸收性肠上皮细胞具有多边形、柱状形态，而产生粘液的杯状细胞则呈现圆形顶端形状和大量细胞体，这就提出了如何在具有这种形态异质性的组织中保持上皮完整性的问题。在这里，我们表明，在体内稳态条件下，杯状细胞机械地诱导相邻肠细胞之间的紧密连接断裂。这种效应因杯状细胞肥大而加剧，并且与肠道通透性增加有关。利用体内和类器官模型，结合药理学、遗传和机械扰动以及理论模型，我们证明这些断裂是由细胞界面处的力不平衡引起的：杯状细胞对相邻的肠上皮细胞施加压力，其连接破裂取决于肌球蛋白II控制的组织流变学。我们的研究结果揭示了杯状细胞在上皮凝聚和屏障调节中的机械作用，揭示了细胞异质性如何塑造组织完整性。</w:t>
      </w:r>
    </w:p>
    <w:p>
      <w:pPr>
        <w:spacing w:before="0" w:after="200" w:lineRule="auto" w:line="276"/>
      </w:pPr>
      <w:r>
        <w:rPr>
          <w:b/>
        </w:rPr>
        <w:t xml:space="preserve">Abstract (EN): </w:t>
      </w:r>
      <w:r>
        <w:t>The intestinal epithelium forms a tight barrier against the harsh luminal environment. Absorptive enterocytes have a polygonal, columnar morphology, while mucus-producing goblet cells exhibit a rounded apical shape and a voluminous cell body, raising the question of how epithelial integrity is preserved in tissues with such morphological heterogeneity. Here, we show that, under homeostatic conditions in vivo, goblet cells mechanically induce tight-junction fractures between neighboring enterocytes. This effect is exacerbated by goblet cell hypertrophy and is associated with increased gut permeability. Using in vivo and organoid models, combined with pharmacological, genetic and mechanical perturbations and theoretical modeling, we demonstrate that these fractures arise from a force imbalance at cell interfaces: goblet cells exert pressure on adjacent enterocytes, whose junctional rupture depends on tissue rheology controlled by myosin II. Our findings uncover a mechanical role for goblet cells in epithelial cohesion and barrier regulation, revealing how cellular heterogeneity shapes tissue integrity.</w:t>
      </w:r>
    </w:p>
    <w:p>
      <w:pPr>
        <w:spacing w:before="120" w:after="120"/>
      </w:pPr>
      <w:r>
        <w:rPr>
          <w:sz w:val="18"/>
        </w:rPr>
        <w:t>——————————————————————————————————————————————————————————————————————</w:t>
      </w:r>
    </w:p>
    <w:p>
      <w:pPr>
        <w:spacing w:before="160" w:after="40" w:line="240" w:lineRule="auto"/>
      </w:pPr>
      <w:r>
        <w:rPr>
          <w:b/>
        </w:rPr>
        <w:t xml:space="preserve">[124] </w:t>
      </w:r>
      <w:hyperlink r:id="rId660">
        <w:r>
          <w:rPr>
            <w:color w:val="1155CC"/>
            <w:u w:val="single"/>
          </w:rPr>
          <w:t>半导体室温微波激射器</w:t>
        </w:r>
      </w:hyperlink>
    </w:p>
    <w:p>
      <w:pPr>
        <w:spacing w:before="0" w:after="80"/>
      </w:pPr>
      <w:r>
        <w:rPr>
          <w:i/>
          <w:sz w:val="20"/>
        </w:rPr>
        <w:t>EN: Semiconductor room-temperature maser</w:t>
      </w:r>
    </w:p>
    <w:p>
      <w:pPr>
        <w:spacing w:before="0" w:after="120"/>
      </w:pPr>
      <w:r>
        <w:rPr>
          <w:b/>
        </w:rPr>
        <w:t xml:space="preserve">Source: </w:t>
      </w:r>
      <w:r>
        <w:t>Physical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我们报告了基于 4H 碳化硅 (SiC) 中硅空位 (VSi) 的半导体微波激射器的首次演示。使用有源反馈环路，我们提高了谐振器的品质因数，甚至可以在高于室温的情况下实现连续波微波激射器运行。我们将 SiC 微波激射器作为高性能前置放大器进行了分析，在 110 K 时测得的增益超过 10 dB，模拟表明潜在放大超过 30 dB。利用 VSi 的小零场分裂，该器件还可以用作光泵浦微波光子吸收器，将谐振器的模式温度相对于环境降低 40 K。此外，微波激射器的超窄线宽支持高灵敏度磁力测量，与磁共振的电学和光学检测相比，对比度与线宽比提高了九个数量级。根据激发激光的相对强度噪声，室温下的估计磁场灵敏度为 20 pT/√Hz。这些结果强调了碳化硅重塑室温微波激射技术的潜力，并为未来开发紧凑型电驱动微波激射二极管奠定了基础。</w:t>
      </w:r>
    </w:p>
    <w:p>
      <w:pPr>
        <w:spacing w:before="0" w:after="200" w:lineRule="auto" w:line="276"/>
      </w:pPr>
      <w:r>
        <w:rPr>
          <w:b/>
        </w:rPr>
        <w:t xml:space="preserve">Abstract (EN): </w:t>
      </w:r>
      <w:r>
        <w:t>We report the first demonstration of a semiconductor maser based on silicon vacancies (VSi) in 4H-silicon carbide (SiC). Using an active feedback loop, we enhance the resonator’s quality factor, enabling continuous-wave maser operation even above room temperature. We analyzed the SiC maser as a high-performance preamplifier, with measured gain exceeding 10 dB at 110 K and simulations suggesting potential amplification beyond 30 dB. Leveraging the small zero-field splitting of VSi, the device can also function as an optically pumped microwave photon absorber, reducing the resonator’s mode temperature by 40 K relative to the environment. Additionally, the maser’s ultranarrow linewidth supports highly sensitive magnetometry, achieving a nine-order-of-magnitude improvement in contrast-to-linewidth ratio over electrical and optical detection of magnetic resonance. This results in an estimated magnetic field sensitivity of 20 pT/√Hz at room-temperature based on the relative intensity noise of the excitation laser. These results underscore the potential of SiC to reshape room-temperature maser technologies, and lay the groundwork for future development of compact, electrically driven maser diodes.</w:t>
      </w:r>
    </w:p>
    <w:p>
      <w:pPr>
        <w:spacing w:before="120" w:after="120"/>
      </w:pPr>
      <w:r>
        <w:rPr>
          <w:sz w:val="18"/>
        </w:rPr>
        <w:t>——————————————————————————————————————————————————————————————————————</w:t>
      </w:r>
    </w:p>
    <w:p>
      <w:pPr>
        <w:spacing w:before="160" w:after="40" w:line="240" w:lineRule="auto"/>
      </w:pPr>
      <w:r>
        <w:rPr>
          <w:b/>
        </w:rPr>
        <w:t xml:space="preserve">[125] </w:t>
      </w:r>
      <w:hyperlink r:id="rId661">
        <w:r>
          <w:rPr>
            <w:color w:val="1155CC"/>
            <w:u w:val="single"/>
          </w:rPr>
          <w:t>Sm1-xSrxMnO₃ 中电驱动的逆变磁转变</w:t>
        </w:r>
      </w:hyperlink>
    </w:p>
    <w:p>
      <w:pPr>
        <w:spacing w:before="0" w:after="80"/>
      </w:pPr>
      <w:r>
        <w:rPr>
          <w:i/>
          <w:sz w:val="20"/>
        </w:rPr>
        <w:t>EN: Electrically driven inverse metamagnetic transition in Sm1-xSrxMnO₃</w:t>
      </w:r>
    </w:p>
    <w:p>
      <w:pPr>
        <w:spacing w:before="0" w:after="120"/>
      </w:pPr>
      <w:r>
        <w:rPr>
          <w:b/>
        </w:rPr>
        <w:t xml:space="preserve">Source: </w:t>
      </w:r>
      <w:r>
        <w:t>Physical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磁序的电控制仍然是凝聚态物理和自旋电子学的基本追求之一，为节能、高密度信息技术提供了变革潜力。虽然通过自旋转移和自旋轨道扭矩引起的电流感应切换在铁磁体中已得到很好的证实，但电驱动不同磁相之间的转变，特别是从铁磁态到反铁磁态的转变，在很大程度上仍未得到实验探索。在这里，我们展示了相关锰酸盐 Sm1-xSrxMnO₃ 的外延薄膜中的可逆、电驱动的逆变磁转变。高于临界电流阈值时，系统突然从低电阻铁磁状态切换到高电阻类反铁磁状态。我们在基于LaNiO₃/Sm₀.₇₅Sr₀.25MnO₃/SrTiO₃/La₀.₇Sr₀.₃MnO₃异质结构的纳米级（250×250 nm²）自旋滤波器隧道结中利用了这种现象，实现了鲁棒、双稳态电阻切换，非常规磁阻超过200 %，可通过电流、温度和磁场进行调节。这些发现为电驱动自旋电子器件开辟了一条超越传统基于扭矩的策略的基于相变的路线。</w:t>
      </w:r>
    </w:p>
    <w:p>
      <w:pPr>
        <w:spacing w:before="0" w:after="200" w:lineRule="auto" w:line="276"/>
      </w:pPr>
      <w:r>
        <w:rPr>
          <w:b/>
        </w:rPr>
        <w:t xml:space="preserve">Abstract (EN): </w:t>
      </w:r>
      <w:r>
        <w:t>Electrical control of magnetic order remains one of the fundamental pursuits in condensed matter physics and spintronics, offering transformative potential for energy-efficient, high-density information technologies. While current-induced switching via spin-transfer and spin-orbit torques is well established in ferromagnets, electrically driving a transition between distinct magnetic phases, specifically from a ferromagnetic to an antiferromagnetic state, remains largely unexplored experimentally. Here, we demonstrate a reversible, electrically-driven inverse metamagnetic transition in an epitaxial thin film of the correlated manganite Sm1-xSrxMnO₃. Above a critical current threshold, the system abruptly switches from a low-resistance ferromagnetic state to a high-resistance antiferromagnetic-like phase. We exploit this phenomenon in nanoscale (250 × 250 nm²) spin-filter tunnel junctions based on LaNiO₃/Sm₀.₇₅Sr₀.₂₅MnO₃/ SrTiO₃/La₀.₇Sr₀.₃MnO₃ heterostructures, realizing robust, bistable resistance switching with unconventional magnetoresistance exceeding 200 %, tunable by current, temperature, and magnetic field. These findings open a phase-transition-based route for electrically driven spintronic devices beyond conventional torque-based strategies.</w:t>
      </w:r>
    </w:p>
    <w:p>
      <w:pPr>
        <w:spacing w:before="120" w:after="120"/>
      </w:pPr>
      <w:r>
        <w:rPr>
          <w:sz w:val="18"/>
        </w:rPr>
        <w:t>——————————————————————————————————————————————————————————————————————</w:t>
      </w:r>
    </w:p>
    <w:p>
      <w:pPr>
        <w:spacing w:before="160" w:after="40" w:line="240" w:lineRule="auto"/>
      </w:pPr>
      <w:r>
        <w:rPr>
          <w:b/>
        </w:rPr>
        <w:t xml:space="preserve">[126] </w:t>
      </w:r>
      <w:hyperlink r:id="rId662">
        <w:r>
          <w:rPr>
            <w:color w:val="1155CC"/>
            <w:u w:val="single"/>
          </w:rPr>
          <w:t>Trdn-as 指导 m6A 依赖性转录终止，以实现准确的三联蛋白异构体转换，防止异常二联体和心肌病</w:t>
        </w:r>
      </w:hyperlink>
    </w:p>
    <w:p>
      <w:pPr>
        <w:spacing w:before="0" w:after="80"/>
      </w:pPr>
      <w:r>
        <w:rPr>
          <w:i/>
          <w:sz w:val="20"/>
        </w:rPr>
        <w:t>EN: Trdn-as directs m6A-dependent transcriptional termination for accurate triadin isoform switching, preventing aberrant dyads and cardiomyopathy</w:t>
      </w:r>
    </w:p>
    <w:p>
      <w:pPr>
        <w:spacing w:before="0" w:after="120"/>
      </w:pPr>
      <w:r>
        <w:rPr>
          <w:b/>
        </w:rPr>
        <w:t xml:space="preserve">Source: </w:t>
      </w:r>
      <w:r>
        <w:t>Biological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心力衰竭是死亡的主要原因，心脏兴奋-收缩耦合受损是心肌功能障碍的潜在致命触发因素。长非编码 RNA (lncRNA) 可能导致心肌病，但全面的机制见解仍然难以捉摸。我们证明，在人类心肌病中减少 lncRNA TRDN-AS 或在人类 iPSC 衍生的心肌细胞和小鼠中消除 lncRNA TRDN-AS 会导致心脏 TRDN/TRISK32 转换为骨骼肌 TRDN/TRISK95。 Trdn-as 的顺式转录对于在心脏 Trdn 转录物 3' 端停滞 RNA Pol II 至关重要，从而促进心脏 TRDN/TRISK32 同工型的形成。 m6A-甲基转移酶 METTL3 对于 RNA Pol II 停滞、强制转录终止和 Trdn 转录物的近端聚腺苷酸化至关重要。在这里，我们确定 TRDN 亚型的转换会导致小鼠和人类心脏钙释放复合物相互作用组的显着改变、钙处理异常、二联体结构改变、QT 延长和扩张型心肌病。</w:t>
      </w:r>
    </w:p>
    <w:p>
      <w:pPr>
        <w:spacing w:before="0" w:after="200" w:lineRule="auto" w:line="276"/>
      </w:pPr>
      <w:r>
        <w:rPr>
          <w:b/>
        </w:rPr>
        <w:t xml:space="preserve">Abstract (EN): </w:t>
      </w:r>
      <w:r>
        <w:t>Heart failure is a leading cause of mortality, and impaired cardiac excitation-contraction coupling represents a potentially fatal trigger for myocardial dysfunction. Long non-coding RNAs (lncRNAs) can contribute to cardiomyopathy, but comprehensive mechanistic insights remain elusive. We demonstrate that reduction of the lncRNA TRDN-AS in human cardiomyopathy or abrogating it in human iPSC-derived cardiomyocytes and mice causes a switch of cardiac TRDN/TRISK32 to skeletal muscle TRDN/TRISK95. Transcription of Trdn-as in cis is essential for stalling RNA Pol II at the 3’ end of the cardiac Trdn transcript, promoting the formation of the cardiac TRDN/TRISK32 isoform. The m6A-methyltransferase METTL3 is crucial for RNA Pol II stalling, enforcing transcriptional termination and proximal polyadenylation of the Trdn transcript. Here, we establish that the switch of TRDN isoforms results in a significantly altered interactome of the cardiac calcium release complex, aberrant calcium handling, altered dyad structure, QT prolongation, and dilated cardiomyopathy in mice and humans.</w:t>
      </w:r>
    </w:p>
    <w:p>
      <w:pPr>
        <w:spacing w:before="120" w:after="120"/>
      </w:pPr>
      <w:r>
        <w:rPr>
          <w:sz w:val="18"/>
        </w:rPr>
        <w:t>——————————————————————————————————————————————————————————————————————</w:t>
      </w:r>
    </w:p>
    <w:p>
      <w:pPr>
        <w:spacing w:before="160" w:after="40" w:line="240" w:lineRule="auto"/>
      </w:pPr>
      <w:r>
        <w:rPr>
          <w:b/>
        </w:rPr>
        <w:t xml:space="preserve">[127] </w:t>
      </w:r>
      <w:hyperlink r:id="rId663">
        <w:r>
          <w:rPr>
            <w:color w:val="1155CC"/>
            <w:u w:val="single"/>
          </w:rPr>
          <w:t>细胞复合物拓扑 Kuramoto 模型中的锁相和多稳定性</w:t>
        </w:r>
      </w:hyperlink>
    </w:p>
    <w:p>
      <w:pPr>
        <w:spacing w:before="0" w:after="80"/>
      </w:pPr>
      <w:r>
        <w:rPr>
          <w:i/>
          <w:sz w:val="20"/>
        </w:rPr>
        <w:t>EN: Phase locking and multistability in the topological Kuramoto model on cell complexes</w:t>
      </w:r>
    </w:p>
    <w:p>
      <w:pPr>
        <w:spacing w:before="0" w:after="120"/>
      </w:pPr>
      <w:r>
        <w:rPr>
          <w:b/>
        </w:rPr>
        <w:t xml:space="preserve">Source: </w:t>
      </w:r>
      <w:r>
        <w:t>Physical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高阶相互作用从根本上塑造了振荡器网络中的集体动力学。拓扑 Kuramoto 模型通过扩展同步模型以包括单纯形和细胞复合体中任意维度的细胞之间的相互作用来捕获这些效应。我们引入拓扑非线性基尔霍夫条件来表征拓扑 Kuramoto 模型的所有锁相状态。这些状态是通过与广义独立周期相关的缠绕数来组织的，这些缠绕数量化了相位如何围绕这些周期缠绕。使用环、柏拉图固体和正则单纯形作为说明性示例，我们发现了一个普遍规则：边界必须至少具有五个元素才能出现多稳定性。我们进一步发现，与低维和高维边界相关的独立缠绕数会产生跨维度的多稳定性级联。这些结果显示了细胞复合体的拓扑和边界结构如何影响锁相和多稳定性，并为细胞复合体的集体动力学提供了通用框架。</w:t>
      </w:r>
    </w:p>
    <w:p>
      <w:pPr>
        <w:spacing w:before="0" w:after="200" w:lineRule="auto" w:line="276"/>
      </w:pPr>
      <w:r>
        <w:rPr>
          <w:b/>
        </w:rPr>
        <w:t xml:space="preserve">Abstract (EN): </w:t>
      </w:r>
      <w:r>
        <w:t>Higher-order interactions fundamentally shape collective dynamics in oscillator networks. The topological Kuramoto model captures these effects by extending synchronization models to include interactions between cells of arbitrary dimension within simplicial and cell complexes. We introduce the topological nonlinear Kirchhoff conditions to characterize all phase-locked states of the topological Kuramoto model. These states are organized by winding numbers associated with generalized independent cycles, which quantify how phases wind around these cycles. Using rings, Platonic solids, and regular simplices as illustrative examples, we uncover a universal rule: boundaries must have at least five elements for multistability to arise. We further find that independent winding numbers associated with lower- and higher-dimensional boundaries generate cascades of multistability across dimensions. These results show how the topology and boundary structure of cell complexes influence phase locking and multistability, and provide a general framework for collective dynamics on cell complexes.</w:t>
      </w:r>
    </w:p>
    <w:p>
      <w:pPr>
        <w:spacing w:before="120" w:after="120"/>
      </w:pPr>
      <w:r>
        <w:rPr>
          <w:sz w:val="18"/>
        </w:rPr>
        <w:t>——————————————————————————————————————————————————————————————————————</w:t>
      </w:r>
    </w:p>
    <w:p>
      <w:pPr>
        <w:spacing w:before="160" w:after="40" w:line="240" w:lineRule="auto"/>
      </w:pPr>
      <w:r>
        <w:rPr>
          <w:b/>
        </w:rPr>
        <w:t xml:space="preserve">[128] </w:t>
      </w:r>
      <w:hyperlink r:id="rId664">
        <w:r>
          <w:rPr>
            <w:color w:val="1155CC"/>
            <w:u w:val="single"/>
          </w:rPr>
          <w:t>ACSS2-KAT5 复合物驱动的组蛋白巴豆酰化协调促炎程序，促进从 MASLD 到 MASH 的转变</w:t>
        </w:r>
      </w:hyperlink>
    </w:p>
    <w:p>
      <w:pPr>
        <w:spacing w:before="0" w:after="80"/>
      </w:pPr>
      <w:r>
        <w:rPr>
          <w:i/>
          <w:sz w:val="20"/>
        </w:rPr>
        <w:t>EN: ACSS2-KAT5 complex-driven histone crotonylation orchestrates a pro-inflammatory program to promote the transition from MASLD to MASH</w:t>
      </w:r>
    </w:p>
    <w:p>
      <w:pPr>
        <w:spacing w:before="0" w:after="120"/>
      </w:pPr>
      <w:r>
        <w:rPr>
          <w:b/>
        </w:rPr>
        <w:t xml:space="preserve">Source: </w:t>
      </w:r>
      <w:r>
        <w:t>Biological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炎症是从代谢功能障碍相关的脂肪性肝病（MASLD）进展为代谢功能障碍相关的脂肪性肝炎（MASH）的关键驱动因素，这是一种与大量肝脏相关死亡率相关的侵袭性形式。然而，肝脏炎症发生和持续的分子机制仍不清楚。在这里，我们证明了肝乙酰辅酶A合成酶短链家族成员2 (ACSS2)在MASH中的先前未被认识的作用，表明患者中ACSS2的上调通过作为表观遗传调节因子而加剧MASH进展，与其典型的脂肪生成作用无关。从机制上讲，ACSS2 与赖氨酸乙酰转移酶 5 (KAT5) 复合，通过组蛋白巴豆酰化上调同种异体移植物炎症因子 1 (AIF1) 转录，从而诱导肝脏炎症，随后导致衰老肝细胞异常积累，从而进一步增强促炎细胞因子的产生。这最终引发慢性炎症的恶性循环，直接促进从单纯性脂肪变性进展为 MASH。因此，我们的工作揭示了 ACSS2 在促进 MASLD 到 MASH 转变中的机械定义和关键作用，强调了其作为引人注目的治疗靶点的潜力。</w:t>
      </w:r>
    </w:p>
    <w:p>
      <w:pPr>
        <w:spacing w:before="0" w:after="200" w:lineRule="auto" w:line="276"/>
      </w:pPr>
      <w:r>
        <w:rPr>
          <w:b/>
        </w:rPr>
        <w:t xml:space="preserve">Abstract (EN): </w:t>
      </w:r>
      <w:r>
        <w:t>Inflammation is a pivotal driver of the progression from metabolic dysfunction-associated steatotic liver disease (MASLD) to metabolic dysfunction-associated steatohepatitis (MASH), an aggressive form associated with substantial liver-related mortality. However, the molecular mechanisms underlying the initiation and persistence of liver inflammation remain poorly defined. Here, we demonstrated a previously unrecognized role for hepatic acetyl-CoA synthetase short-chain family member 2 (ACSS2) in MASH, showing that ACSS2 upregulation in patients exacerbates MASH progression by functioning as an epigenetic regulator, independent of its canonical lipogenic role. Mechanistically, ACSS2, in complex with lysine acetyltransferase 5 (KAT5), upregulates allograft inflammatory factor-1 (AIF1) transcription via histone crotonylation, thereby inducing liver inflammation and subsequently resulting in the aberrant accumulation of senescent hepatocytes, which further enhances proinflammatory cytokine production. This ultimately initiates a vicious cycle of chronic inflammation, which directly promotes the progression from simple steatosis to MASH. Thus, our work reveals a mechanistically defined and pivotal role for ACSS2 in promoting the MASLD-to-MASH transition, highlighting its potential as a compelling therapeutic target.</w:t>
      </w:r>
    </w:p>
    <w:p>
      <w:pPr>
        <w:spacing w:before="120" w:after="120"/>
      </w:pPr>
      <w:r>
        <w:rPr>
          <w:sz w:val="18"/>
        </w:rPr>
        <w:t>——————————————————————————————————————————————————————————————————————</w:t>
      </w:r>
    </w:p>
    <w:p>
      <w:pPr>
        <w:spacing w:before="160" w:after="40" w:line="240" w:lineRule="auto"/>
      </w:pPr>
      <w:r>
        <w:rPr>
          <w:b/>
        </w:rPr>
        <w:t xml:space="preserve">[129] </w:t>
      </w:r>
      <w:hyperlink r:id="rId665">
        <w:r>
          <w:rPr>
            <w:color w:val="1155CC"/>
            <w:u w:val="single"/>
          </w:rPr>
          <w:t>果蝇嗅觉导航过程中工作记忆和证据整合的神经动力学</w:t>
        </w:r>
      </w:hyperlink>
    </w:p>
    <w:p>
      <w:pPr>
        <w:spacing w:before="0" w:after="80"/>
      </w:pPr>
      <w:r>
        <w:rPr>
          <w:i/>
          <w:sz w:val="20"/>
        </w:rPr>
        <w:t>EN: Neural dynamics for working memory and evidence integration during olfactory navigation in Drosophila</w:t>
      </w:r>
    </w:p>
    <w:p>
      <w:pPr>
        <w:spacing w:before="0" w:after="120"/>
      </w:pPr>
      <w:r>
        <w:rPr>
          <w:b/>
        </w:rPr>
        <w:t xml:space="preserve">Source: </w:t>
      </w:r>
      <w:r>
        <w:t>Biological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工作记忆和证据整合是认知的基本组成部分。理论和行为研究认为，这两个过程都是羽流导航所必需的，羽流导航是动物利用随机感官线索导航至气味源的行为。在这里，我们确定了果蝇导航中心的一小群局部神经元，它们表现出这两种理论过程。在虚拟羽流导航过程中，该群体的活动随着连续的气味遭遇而增加，并且在气味消失后可以持续一段可变的时间间隔。当碰撞持续存在时，苍蝇会保持在气味期间所采用的目标航向。沉默这些神经元会损害这种持久性。模拟表明，在这些神经元中观察到的持续时间常数优化了湍流边界层羽流中的导航。我们的工作将工作记忆和证据整合定位到特定的神经元组，这将有助于对这些认知构件进行机械剖析。</w:t>
      </w:r>
    </w:p>
    <w:p>
      <w:pPr>
        <w:spacing w:before="0" w:after="200" w:lineRule="auto" w:line="276"/>
      </w:pPr>
      <w:r>
        <w:rPr>
          <w:b/>
        </w:rPr>
        <w:t xml:space="preserve">Abstract (EN): </w:t>
      </w:r>
      <w:r>
        <w:t>Working memory and evidence integration are fundamental components of cognition. Theoretical and behavioral studies argue that both processes are required for plume navigation, a behavior in which animals use stochastic sensory cues to navigate towards an odor source. Here we identify a small population of local neurons in the navigation center of Drosophila that exhibits both theorized processes. During virtual plume navigation, a bump of activity in this population ramps up with successive odor encounters, and can persist for variable intervals after odor loss. While the bump persists, the fly maintains the goal heading it adopted during odor. Silencing these neurons impairs this persistence. Simulations show that the time constant of persistence observed in these neurons optimizes navigation in a turbulent boundary layer plume. Our work localizes working memory and evidence integration to a specific group of neurons, which will facilitate the mechanistic dissection of these building blocks of cognition.</w:t>
      </w:r>
    </w:p>
    <w:p>
      <w:pPr>
        <w:spacing w:before="120" w:after="120"/>
      </w:pPr>
      <w:r>
        <w:rPr>
          <w:sz w:val="18"/>
        </w:rPr>
        <w:t>——————————————————————————————————————————————————————————————————————</w:t>
      </w:r>
    </w:p>
    <w:p>
      <w:pPr>
        <w:spacing w:before="160" w:after="40" w:line="240" w:lineRule="auto"/>
      </w:pPr>
      <w:r>
        <w:rPr>
          <w:b/>
        </w:rPr>
        <w:t xml:space="preserve">[130] </w:t>
      </w:r>
      <w:hyperlink r:id="rId666">
        <w:r>
          <w:rPr>
            <w:color w:val="1155CC"/>
            <w:u w:val="single"/>
          </w:rPr>
          <w:t>基因组数据的可扩展高分辨率祖先反卷积</w:t>
        </w:r>
      </w:hyperlink>
    </w:p>
    <w:p>
      <w:pPr>
        <w:spacing w:before="0" w:after="80"/>
      </w:pPr>
      <w:r>
        <w:rPr>
          <w:i/>
          <w:sz w:val="20"/>
        </w:rPr>
        <w:t>EN: Scalable high resolution ancestry deconvolution for genomic data</w:t>
      </w:r>
    </w:p>
    <w:p>
      <w:pPr>
        <w:spacing w:before="0" w:after="120"/>
      </w:pPr>
      <w:r>
        <w:rPr>
          <w:b/>
        </w:rPr>
        <w:t xml:space="preserve">Source: </w:t>
      </w:r>
      <w:r>
        <w:t>Biological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随着全基因组关联研究和遗传风险预测模型扩展到全球多样化和混合的生物库，准确、可扩展的祖先反卷积（也称为局部祖先推断（LAI））变得至关重要。 LAI 将祖先分配给个体内的每个基因组片段，从而能够研究群体历史和与祖先相关的单倍型效应。现有的 LAI 方法很难扩展到生物库规模的数据、遥远的过去和大量的祖先。在这里，我们介绍了在 Gnomix 软件套件中实现的几种独立的 LAI 方法，与所有现有方法相比，它们具有更高的准确性和更快的计算性能，并且具有可以在不暴露个人级别训练数据的情况下共享的便携式模型。 Gnomix 与 Gnofix 配对，Gnofix 是一个快速、可扩展的相位校正对应物。我们展示了人类和犬科动物的全球全基因组数据的性能，利用高分辨率准确度来定位 Xoloitzcuintli 中的古代新世界单倍型，其历史可以追溯到 100 多代。代码可在 https://github.com/AI-sandbox/gnomix 获取。</w:t>
      </w:r>
    </w:p>
    <w:p>
      <w:pPr>
        <w:spacing w:before="0" w:after="200" w:lineRule="auto" w:line="276"/>
      </w:pPr>
      <w:r>
        <w:rPr>
          <w:b/>
        </w:rPr>
        <w:t xml:space="preserve">Abstract (EN): </w:t>
      </w:r>
      <w:r>
        <w:t>As genome-wide association studies and genetic risk prediction models extend to globally diverse and admixed biobanks, accurate, scalable ancestry deconvolution, also called local ancestry inference (LAI), has become crucial. LAI assigns ancestry to each genomic segment within an individual, enabling studies of population history and ancestry-associated haplotypic effects. Existing LAI methods scale poorly to biobank-scale data, to the distant past, and to large numbers of ancestries. Here, we introduce several independent LAI methods implemented in the Gnomix software suite, achieving higher accuracy and faster computational performance than all existing approaches and with portable models that can be shared without exposing individual-level training data. Gnomix is paired with Gnofix, a swift, scalable phase correction counterpart. We demonstrate performance on worldwide whole-genome data from humans and canids, leveraging high-resolution accuracy to localise ancient New World haplotypes in the Xoloitzcuintli, dating back over 100 generations. Code is available at https://github.com/AI-sandbox/gnomix.</w:t>
      </w:r>
    </w:p>
    <w:p>
      <w:pPr>
        <w:spacing w:before="120" w:after="120"/>
      </w:pPr>
      <w:r>
        <w:rPr>
          <w:sz w:val="18"/>
        </w:rPr>
        <w:t>——————————————————————————————————————————————————————————————————————</w:t>
      </w:r>
    </w:p>
    <w:p>
      <w:pPr>
        <w:spacing w:before="160" w:after="40" w:line="240" w:lineRule="auto"/>
      </w:pPr>
      <w:r>
        <w:rPr>
          <w:b/>
        </w:rPr>
        <w:t xml:space="preserve">[131] </w:t>
      </w:r>
      <w:hyperlink r:id="rId667">
        <w:r>
          <w:rPr>
            <w:color w:val="1155CC"/>
            <w:u w:val="single"/>
          </w:rPr>
          <w:t>状态依赖多样化模型中的不可识别性和假阳性推理</w:t>
        </w:r>
      </w:hyperlink>
    </w:p>
    <w:p>
      <w:pPr>
        <w:spacing w:before="0" w:after="80"/>
      </w:pPr>
      <w:r>
        <w:rPr>
          <w:i/>
          <w:sz w:val="20"/>
        </w:rPr>
        <w:t>EN: Unidentifiability and false-positive inference in state-dependent diversification models</w:t>
      </w:r>
    </w:p>
    <w:p>
      <w:pPr>
        <w:spacing w:before="0" w:after="120"/>
      </w:pPr>
      <w:r>
        <w:rPr>
          <w:b/>
        </w:rPr>
        <w:t xml:space="preserve">Source: </w:t>
      </w:r>
      <w:r>
        <w:t>Biological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Louca 和 Pennell (2020) 最近的一项研究重点关注了系统发育多样化模型中的模型一致性（即渐近不可识别性），从而改变了分析实践。一个悬而未决的问题是一致性是否普遍存在，这意味着其他系统发育方法值得重新考虑。在此，我们研究了状态相关的物种形成和灭绝（SSE）模型，该模型广泛用于评估性状对多样化的影响。我们的研究结果表明，由于通常用于纠正未观察到的因素的隐藏状态，不可识别性在 SSE 中是普遍存在的。值得注意的是，每个与特征无关的场景都与无限组与特征相关的场景一致，排除了可靠的假设检验。我们提出了一种分析解决方案，可以在同余类（一组所有无法识别的模型）中解决这个问题。此外，我们证明发现的同余是唯一可能的类型，并且通过我们的解决方案，模型不可识别性不会损害 SSE 的宏观进化推理。真正挑战假设检验的是跨同余类的模型选择，误报率很高。这个问题早已被认识但未得到解释。一致性提供了一个明确的答案：它源于模型的错误指定和之前未被认识到的模型增殖现象。我们的结果提出了潜在的前进方向，并概述了研究马尔可夫模型中同余性的一般方法。</w:t>
      </w:r>
    </w:p>
    <w:p>
      <w:pPr>
        <w:spacing w:before="0" w:after="200" w:lineRule="auto" w:line="276"/>
      </w:pPr>
      <w:r>
        <w:rPr>
          <w:b/>
        </w:rPr>
        <w:t xml:space="preserve">Abstract (EN): </w:t>
      </w:r>
      <w:r>
        <w:t>A recent study by Louca and Pennell (2020) spotlighted model congruence (i.e., asymptotic unidentifiability) in phylogenetic diversification models, transforming analytical practices. An unanswered question is whether congruence is ubiquitous, implying that other phylogenetic methods warrant reconsideration. Herein, we investigate State-Dependent Speciation and Extinction (SSE) models, widely used to assess trait effects on diversification. Our findings indicate that unidentifiability is universal in SSEs due to hidden states commonly used to correct for unobserved factors. Notably, every trait-independent scenario is congruent with an infinite set of trait-dependent scenarios, precluding reliable hypothesis testing. We propose an analytical solution that resolves this issue within a congruence class—a set of all unidentifiable models. Additionally, we demonstrate that the discovered congruence is the only possible type, and with our solution in place, model unidentifiability does not compromise macroevolutionary inference with SSEs. What actually challenges hypothesis testing is the model selection across congruence classes that has high false positives. This issue has long been recognized but unexplained. Congruence provides a clear answer: it arises from model misspecification and a previously unrecognized phenomenon of model proliferation. Our results suggest potential ways forward and outline a general methodology for studying congruence in Markov models.</w:t>
      </w:r>
    </w:p>
    <w:p>
      <w:pPr>
        <w:spacing w:before="120" w:after="120"/>
      </w:pPr>
      <w:r>
        <w:rPr>
          <w:sz w:val="18"/>
        </w:rPr>
        <w:t>——————————————————————————————————————————————————————————————————————</w:t>
      </w:r>
    </w:p>
    <w:p>
      <w:pPr>
        <w:spacing w:before="160" w:after="40" w:line="240" w:lineRule="auto"/>
      </w:pPr>
      <w:r>
        <w:rPr>
          <w:b/>
        </w:rPr>
        <w:t xml:space="preserve">[132] </w:t>
      </w:r>
      <w:hyperlink r:id="rId668">
        <w:r>
          <w:rPr>
            <w:color w:val="1155CC"/>
            <w:u w:val="single"/>
          </w:rPr>
          <w:t>使用单细胞转录组数据寻找归巢基因驱动中 Cas9 的完美启动子</w:t>
        </w:r>
      </w:hyperlink>
    </w:p>
    <w:p>
      <w:pPr>
        <w:spacing w:before="0" w:after="80"/>
      </w:pPr>
      <w:r>
        <w:rPr>
          <w:i/>
          <w:sz w:val="20"/>
        </w:rPr>
        <w:t>EN: Finding the perfect promoter for Cas9 in homing gene drives using single cell transcriptome data</w:t>
      </w:r>
    </w:p>
    <w:p>
      <w:pPr>
        <w:spacing w:before="0" w:after="120"/>
      </w:pPr>
      <w:r>
        <w:rPr>
          <w:b/>
        </w:rPr>
        <w:t xml:space="preserve">Source: </w:t>
      </w:r>
      <w:r>
        <w:t>Biological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基因驱动可以通过传播驱动等位基因来改变或抑制载体群体。在CRISPR归巢驱动中，调节Cas9表达对于提高驱动性能非常有效，但选择合适的启动子往往是一个重大挑战。在这里，我们评估了果蝇中具有不同启动子的 35 个 Cas9 构建体，并确定了驱动性能与启动子相关基因的单细胞 RNA 表达模式之间的关联。我们的结果表明，较高的驱动转换与生殖细胞中启动子相关基因的表达升高相关，但胚胎抗性等位基因的形成与过度的雌性种系表达相关。对于雄性来说，早期种系表达会产生优异的性能。因此，最佳驱动性能需要将 Cas9 表达限制在严格的定量和时空窗口内。此外，我们发现原位构建体显着减少了潜在有害的体细胞表达。基于这些结果，我们提出了选择启动子的标准，为归巢基因驱动的优化提供了理论基础和指导。</w:t>
      </w:r>
    </w:p>
    <w:p>
      <w:pPr>
        <w:spacing w:before="0" w:after="200" w:lineRule="auto" w:line="276"/>
      </w:pPr>
      <w:r>
        <w:rPr>
          <w:b/>
        </w:rPr>
        <w:t xml:space="preserve">Abstract (EN): </w:t>
      </w:r>
      <w:r>
        <w:t>Gene drive can modify or suppress vector populations by spreading drive alleles. In CRISPR homing drives, regulating Cas9 expression has been effective for improving drive performance, but selecting suitable promoters is often a major challenge. Here, we evaluate 35 Cas9 constructs with distinct promoters in Drosophila melanogaster and identify associations between drive performance and single-cell RNA expression patterns of the promoter-associated genes. Our results indicate that higher drive conversion is associated with elevated expression of the promoter-associated gene in reproductive cells, but embryo resistance allele formation correlates with excessive female germline expression. For males, early germline expression produces superior performance. Thus, optimal drive performance requires restricting Cas9 expression to a tight quantitative and spatiotemporal window. Additionally, we find that an in situ construct significantly reduces potentially harmful somatic expression. Based on these results, we propose criteria for selecting promoters, providing a rationale and guidance for optimization of homing gene drives.</w:t>
      </w:r>
    </w:p>
    <w:p>
      <w:pPr>
        <w:spacing w:before="120" w:after="120"/>
      </w:pPr>
      <w:r>
        <w:rPr>
          <w:sz w:val="18"/>
        </w:rPr>
        <w:t>——————————————————————————————————————————————————————————————————————</w:t>
      </w:r>
    </w:p>
    <w:p>
      <w:pPr>
        <w:spacing w:before="160" w:after="40" w:line="240" w:lineRule="auto"/>
      </w:pPr>
      <w:r>
        <w:rPr>
          <w:b/>
        </w:rPr>
        <w:t xml:space="preserve">[133] </w:t>
      </w:r>
      <w:hyperlink r:id="rId669">
        <w:r>
          <w:rPr>
            <w:color w:val="1155CC"/>
            <w:u w:val="single"/>
          </w:rPr>
          <w:t>八聚体 dGTPase 组装介导广泛的抗噬菌体防御</w:t>
        </w:r>
      </w:hyperlink>
    </w:p>
    <w:p>
      <w:pPr>
        <w:spacing w:before="0" w:after="80"/>
      </w:pPr>
      <w:r>
        <w:rPr>
          <w:i/>
          <w:sz w:val="20"/>
        </w:rPr>
        <w:t>EN: Octameric dGTPase assemblies mediate broad anti-phage defense</w:t>
      </w:r>
    </w:p>
    <w:p>
      <w:pPr>
        <w:spacing w:before="0" w:after="120"/>
      </w:pPr>
      <w:r>
        <w:rPr>
          <w:b/>
        </w:rPr>
        <w:t xml:space="preserve">Source: </w:t>
      </w:r>
      <w:r>
        <w:t>Biological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脱氧鸟苷三磷酸酶 (dGTPase) 是已知在抗病毒防御中发挥作用的核苷酸消耗酶。虽然它们的酶促机制已经建立，但人们对 dGTP 酶的结构和功能多样性仍然知之甚少。在这里，我们报告了对细菌、古细菌和真核生物中 dGTPase 同源物的系统分析，揭示了它们的广泛分布以及与不同免疫相关域的关联。通过综合生物信息学和结构挖掘，我们鉴定了一类细菌 dGTP 酶，可组装成稳定的八聚体和高阶寡聚结构。使用冷冻电子显微镜，我们解析了代表性弧菌 dGTPase (Vdg) 的八聚体和 16 聚体组装，并进一步捕获了丝状形式。功能测定表明，八聚体的形成对于抗病毒活性是必要且充分的，而高阶组装是可有可无的。我们还将 dAMP 确定为变构调节剂，强调了 dGTP 酶的功能多功能性。我们的研究结果提供了对细菌 dGTP 酶的模块化结构、寡聚驱动的激活和免疫功能的见解，并拓宽了我们对基于核苷酸消耗的抗病毒策略的理解。</w:t>
      </w:r>
    </w:p>
    <w:p>
      <w:pPr>
        <w:spacing w:before="0" w:after="200" w:lineRule="auto" w:line="276"/>
      </w:pPr>
      <w:r>
        <w:rPr>
          <w:b/>
        </w:rPr>
        <w:t xml:space="preserve">Abstract (EN): </w:t>
      </w:r>
      <w:r>
        <w:t>Deoxyguanosine triphosphatases (dGTPases) are nucleotide-depleting enzymes known to play a role in antiviral defense. While their enzymatic mechanism is established, the structural and functional diversity of dGTPases remains poorly understood. Here, we report a systematic analysis of dGTPase homologs across bacteria, archaea, and eukaryotes, revealing their widespread distribution and association with diverse immune-related domains. Through integrative bioinformatics and structural mining, we identify a class of bacterial dGTPases that assemble into stable octameric and higher-order oligomeric structures. Using cryo-electron microscopy, we resolve the octameric and 16-mer assemblies of a representative Vibrio dGTPase (Vdg) and further captured filamentous forms. Functional assays demonstrate that octamer formation is essential and sufficient for antiviral activity, while higher-order assemblies are dispensable. We also identify dAMP as an allosteric regulator, underscoring the functional versatility of dGTPases. Our findings provide insights into the modular architecture, oligomerization-driven activation, and immune function of bacterial dGTPases, and broaden our understanding of nucleotide depletion-based antiviral strategies.</w:t>
      </w:r>
    </w:p>
    <w:p>
      <w:pPr>
        <w:spacing w:before="120" w:after="120"/>
      </w:pPr>
      <w:r>
        <w:rPr>
          <w:sz w:val="18"/>
        </w:rPr>
        <w:t>——————————————————————————————————————————————————————————————————————</w:t>
      </w:r>
    </w:p>
    <w:p>
      <w:pPr>
        <w:spacing w:before="160" w:after="40" w:line="240" w:lineRule="auto"/>
      </w:pPr>
      <w:r>
        <w:rPr>
          <w:b/>
        </w:rPr>
        <w:t xml:space="preserve">[134] </w:t>
      </w:r>
      <w:hyperlink r:id="rId670">
        <w:r>
          <w:rPr>
            <w:color w:val="1155CC"/>
            <w:u w:val="single"/>
          </w:rPr>
          <w:t>快速伤害感受器在机械伤害行为和致敏中的核心作用</w:t>
        </w:r>
      </w:hyperlink>
    </w:p>
    <w:p>
      <w:pPr>
        <w:spacing w:before="0" w:after="80"/>
      </w:pPr>
      <w:r>
        <w:rPr>
          <w:i/>
          <w:sz w:val="20"/>
        </w:rPr>
        <w:t>EN: Central role for fast nociceptors in mechanical nocifensive behavior and sensitization</w:t>
      </w:r>
    </w:p>
    <w:p>
      <w:pPr>
        <w:spacing w:before="0" w:after="120"/>
      </w:pPr>
      <w:r>
        <w:rPr>
          <w:b/>
        </w:rPr>
        <w:t xml:space="preserve">Source: </w:t>
      </w:r>
      <w:r>
        <w:t>Biological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伤害感受器是发出有害刺激信号的初级传入神经纤维，大致分为慢传导无髓鞘 C 纤维和快速传导有髓鞘 A 纤维。尽管 C 伤害感受器已被广泛研究，但对 A 伤害感受器的功能知之甚少。在这里，我们将小鼠中这些纤维的遗传靶向与人类参与者的观察相结合，证明 A 伤害感受器在机械伤害性撤退反射和情感疼痛中的关键参与。在小鼠中，光遗传学刺激诱导快速而精确的退缩反射以及与疼痛影响一致的位置厌恶和面部表情变化，而抑制则强烈损害机械伤害性退缩反射。长时间的 A 伤害感受器激活会诱发机械性疼痛超敏反应和中枢敏化。在缺乏厚髓鞘 Aβ 纤维的罕见个体中，以及在优先 Aβ 纤维神经阻滞期间的健康参与者中，机械撤回反射消失，机械疼痛感知减少。总之，这些发现表明快速传导的机械伤害感受器是小鼠和人类伤害行为的重要驱动因素。</w:t>
      </w:r>
    </w:p>
    <w:p>
      <w:pPr>
        <w:spacing w:before="0" w:after="200" w:lineRule="auto" w:line="276"/>
      </w:pPr>
      <w:r>
        <w:rPr>
          <w:b/>
        </w:rPr>
        <w:t xml:space="preserve">Abstract (EN): </w:t>
      </w:r>
      <w:r>
        <w:t>Nociceptors, primary afferent nerve fibers that signal noxious stimuli, are broadly divided into slowly conducting unmyelinated C fibers and fast-conducting myelinated A fibers. Whereas C-nociceptors have been extensively studied, considerably less is known about the function of A-nociceptors. Here we demonstrate, combining genetic targeting of these fibers in mice with observations in human participants, a key involvement of A-nociceptors in mechanical nociceptive withdrawal reflexes and affective pain. In mice, optogenetic stimulation induced rapid and precise withdrawal reflexes as well as place aversion and facial expression changes consistent with pain affect, while inhibition strongly impaired mechanical nociceptive withdrawal reflexes. Prolonged A-nociceptor activation induced mechanical pain hypersensitivity and central sensitization. In a rare individual lacking thickly myelinated Aβ fibers, and in healthy participants during preferential Aβ-fiber nerve block, mechanical withdrawal reflexes were absent and mechanical pain perception reduced. Together, these findings identify fast-conducting mechano-nociceptors as essential drivers of nocifensive behaviors in mice and humans.</w:t>
      </w:r>
    </w:p>
    <w:p>
      <w:pPr>
        <w:spacing w:before="120" w:after="120"/>
      </w:pPr>
      <w:r>
        <w:rPr>
          <w:sz w:val="18"/>
        </w:rPr>
        <w:t>——————————————————————————————————————————————————————————————————————</w:t>
      </w:r>
    </w:p>
    <w:p>
      <w:pPr>
        <w:spacing w:before="160" w:after="40" w:line="240" w:lineRule="auto"/>
      </w:pPr>
      <w:r>
        <w:rPr>
          <w:b/>
        </w:rPr>
        <w:t xml:space="preserve">[135] </w:t>
      </w:r>
      <w:hyperlink r:id="rId671">
        <w:r>
          <w:rPr>
            <w:color w:val="1155CC"/>
            <w:u w:val="single"/>
          </w:rPr>
          <w:t>DICER1相关肿瘤易感性突变增加3p-miRNA功能和HERVH活性</w:t>
        </w:r>
      </w:hyperlink>
    </w:p>
    <w:p>
      <w:pPr>
        <w:spacing w:before="0" w:after="80"/>
      </w:pPr>
      <w:r>
        <w:rPr>
          <w:i/>
          <w:sz w:val="20"/>
        </w:rPr>
        <w:t>EN: DICER1-related tumour predisposition mutations increase 3p-miRNA function and HERVH activity</w:t>
      </w:r>
    </w:p>
    <w:p>
      <w:pPr>
        <w:spacing w:before="0" w:after="120"/>
      </w:pPr>
      <w:r>
        <w:rPr>
          <w:b/>
        </w:rPr>
        <w:t xml:space="preserve">Source: </w:t>
      </w:r>
      <w:r>
        <w:t>Biological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DICER1 基因在癌症中发生突变，包括与 DICER1 相关的肿瘤易感性。已报道 DICER 的两个催化域中存在与癌症相关的热点突变，并且预计会破坏 miRNA 的生物发生。为了了解这些热点突变如何促进癌症发展，我们生成了在内源性 DICER1 基因的催化 RNase IIIa (S1344L) 或 RNase IIIb (D1709N) 结构域内含有单氨基酸取代的细胞系。在这里，我们表明这两种突变都会导致 5p miRNA 的广泛丢失，以及加载到 AGO2 中的 3p 过客链的增加。两个突变体之间共有的相似性可归因于 S1344 残基与 RNase IIIb 催化中心的结构接近。从功能上讲，我们发现加载到 AGO2 中的 miRNA 库的变化会导致基因表达的改变，从而影响癌症发展的关键途径。此外，我们的结果表明，灭活 DICER 的加工活性不会导致基因组不稳定。相反，突变会导致转座元件上调，包括通过 miRNA 独立机制的人内源性逆转录病毒 H。这表明规范和非规范 DICER 功能对于理解 DICER1 相关肿瘤易感性都很重要。</w:t>
      </w:r>
    </w:p>
    <w:p>
      <w:pPr>
        <w:spacing w:before="0" w:after="200" w:lineRule="auto" w:line="276"/>
      </w:pPr>
      <w:r>
        <w:rPr>
          <w:b/>
        </w:rPr>
        <w:t xml:space="preserve">Abstract (EN): </w:t>
      </w:r>
      <w:r>
        <w:t>The DICER1 gene is mutated in cancer, including in DICER1-related tumour predisposition. Cancer-associated hotspot mutations have been reported in both catalytic domains of DICER and are predicted to disrupt miRNA biogenesis. To understand how these hotspot mutations contribute to cancer development, we generate cell lines harbouring single amino acid substitutions within the catalytic RNase IIIa (S1344L) or RNase IIIb (D1709N) domains of the endogenous DICER1 gene. Here we show that both mutations result in a widespread loss of 5p miRNAs, and an increase in 3p passenger strands loading into AGO2. The shared similarities between both mutants can be attributed to the structural proximity of the S1344 residue to the RNase IIIb catalytic centre. Functionally, we find that changes in the repertoire of miRNAs loaded into AGO2 result in altered gene expression, impacting critical pathways for cancer development. Additionally, our results indicate that inactivating the processing activity of DICER does not result in genomic instability. Instead, mutations cause upregulation of transposable elements, including the human endogenous retrovirus H through miRNA-independent mechanisms. This suggests that both canonical and non-canonical DICER functions are important to understand DICER1-related tumour predisposition.</w:t>
      </w:r>
    </w:p>
    <w:p>
      <w:pPr>
        <w:spacing w:before="120" w:after="120"/>
      </w:pPr>
      <w:r>
        <w:rPr>
          <w:sz w:val="18"/>
        </w:rPr>
        <w:t>——————————————————————————————————————————————————————————————————————</w:t>
      </w:r>
    </w:p>
    <w:p>
      <w:pPr>
        <w:spacing w:before="160" w:after="40" w:line="240" w:lineRule="auto"/>
      </w:pPr>
      <w:r>
        <w:rPr>
          <w:b/>
        </w:rPr>
        <w:t xml:space="preserve">[136] </w:t>
      </w:r>
      <w:hyperlink r:id="rId672">
        <w:r>
          <w:rPr>
            <w:color w:val="1155CC"/>
            <w:u w:val="single"/>
          </w:rPr>
          <w:t>氧化铝模板化苯酚的邻异戊二烯化</w:t>
        </w:r>
      </w:hyperlink>
    </w:p>
    <w:p>
      <w:pPr>
        <w:spacing w:before="0" w:after="80"/>
      </w:pPr>
      <w:r>
        <w:rPr>
          <w:i/>
          <w:sz w:val="20"/>
        </w:rPr>
        <w:t>EN: Alumina-Templated ortho-Prenylation of Phenols</w:t>
      </w:r>
    </w:p>
    <w:p>
      <w:pPr>
        <w:spacing w:before="0" w:after="120"/>
      </w:pPr>
      <w:r>
        <w:rPr>
          <w:b/>
        </w:rPr>
        <w:t xml:space="preserve">Source: </w:t>
      </w:r>
      <w:r>
        <w:t>Physical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异戊二烯化酚类天然产物因具有多种生物活性而受到重视，但由于区域选择性异戊二烯化的困难，提出了合成挑战。在这里，我们介绍了一种氧化铝促进的苯酚异戊二烯化反应，该反应对间苯二酚具有高度邻位选择性和显着的 C2 选择性。计算研究支持利用氧化铝表面上的路易斯酸性和布朗斯台德碱性位点的表面模板化过渡态。该方法适用于广泛的底物范围，包括敏感的官能团，并且在实际条件下可扩展。我们通过高效合成 15 种生物活性天然产物来强调其实用性，包括简单且可扩展的一步制备方法，这些产物以前需要多步路线，并且无法从天然来源大量获得，例如花生素 2、绿柄桑树、chiricanine A 和 amorphastibol。这种方法为许多具有生物医学意义的天然产物提供了经济有效的合成途径，并将加速他们对药物发现的探索。</w:t>
      </w:r>
    </w:p>
    <w:p>
      <w:pPr>
        <w:spacing w:before="0" w:after="200" w:lineRule="auto" w:line="276"/>
      </w:pPr>
      <w:r>
        <w:rPr>
          <w:b/>
        </w:rPr>
        <w:t xml:space="preserve">Abstract (EN): </w:t>
      </w:r>
      <w:r>
        <w:t>Prenylated phenolic natural products, prized for diverse bioactivities, pose a synthetic challenge due to the difficulty of regioselective prenylation. Here, we introduce an alumina-promoted phenol prenylation reaction that is highly ortho-selective and remarkably C2-selective for resorcinols. Computational studies support a surface-templated transition state leveraging both Lewis-acidic and Brønsted-basic sites on the alumina surface. The method accommodates a broad substrate scope, including sensitive functional groups, and is scalable under practical conditions. We highlight its utility with the efficient syntheses of fifteen bioactive natural products including simple and scalable one-step preparations of several that previously required multi-step routes and are not accessible in large quantities from their natural sources like arachidin 2, iroko, chiricanine A, and amorphastibol. This method offers cost-effective synthetic access to many natural products of biomedical interest and will accelerate their exploration for drug discovery.</w:t>
      </w:r>
    </w:p>
    <w:p>
      <w:pPr>
        <w:spacing w:before="120" w:after="120"/>
      </w:pPr>
      <w:r>
        <w:rPr>
          <w:sz w:val="18"/>
        </w:rPr>
        <w:t>——————————————————————————————————————————————————————————————————————</w:t>
      </w:r>
    </w:p>
    <w:p>
      <w:pPr>
        <w:spacing w:before="160" w:after="40" w:line="240" w:lineRule="auto"/>
      </w:pPr>
      <w:r>
        <w:rPr>
          <w:b/>
        </w:rPr>
        <w:t xml:space="preserve">[137] </w:t>
      </w:r>
      <w:hyperlink r:id="rId673">
        <w:r>
          <w:rPr>
            <w:color w:val="1155CC"/>
            <w:u w:val="single"/>
          </w:rPr>
          <w:t>海上风电场尾流引起的性能异质性多维评估的系统框架</w:t>
        </w:r>
      </w:hyperlink>
    </w:p>
    <w:p>
      <w:pPr>
        <w:spacing w:before="0" w:after="80"/>
      </w:pPr>
      <w:r>
        <w:rPr>
          <w:i/>
          <w:sz w:val="20"/>
        </w:rPr>
        <w:t>EN: A systematic framework for multidimensional assessment of wake-induced performance heterogeneity in offshore wind farms</w:t>
      </w:r>
    </w:p>
    <w:p>
      <w:pPr>
        <w:spacing w:before="0" w:after="120"/>
      </w:pPr>
      <w:r>
        <w:rPr>
          <w:b/>
        </w:rPr>
        <w:t xml:space="preserve">Source: </w:t>
      </w:r>
      <w:r>
        <w:t>ScienceDirect Publication: Applied Energy</w:t>
      </w:r>
      <w:r>
        <w:t xml:space="preserve">    </w:t>
      </w:r>
      <w:r>
        <w:rPr>
          <w:b/>
        </w:rPr>
        <w:t xml:space="preserve">Pub date: </w:t>
      </w:r>
      <w:r>
        <w:t>2026-07-25 00:00:00+00:00</w:t>
      </w:r>
      <w:r>
        <w:t xml:space="preserve">    </w:t>
      </w:r>
      <w:r>
        <w:rPr>
          <w:b/>
        </w:rPr>
        <w:t xml:space="preserve">DOI: </w:t>
      </w:r>
      <w:hyperlink r:id="rId674">
        <w:r>
          <w:rPr>
            <w:color w:val="1155CC"/>
            <w:u w:val="single"/>
          </w:rPr>
          <w:t>10.1016/j.apenergy.2026.128501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[138] </w:t>
      </w:r>
      <w:hyperlink r:id="rId675">
        <w:r>
          <w:rPr>
            <w:color w:val="1155CC"/>
            <w:u w:val="single"/>
          </w:rPr>
          <w:t>来自晶圆制造前驱体的可部署 3D 架构</w:t>
        </w:r>
      </w:hyperlink>
    </w:p>
    <w:p>
      <w:pPr>
        <w:spacing w:before="0" w:after="80"/>
      </w:pPr>
      <w:r>
        <w:rPr>
          <w:i/>
          <w:sz w:val="20"/>
        </w:rPr>
        <w:t>EN: Deployable 3D architectures from wafer-fabricated precursors</w:t>
      </w:r>
    </w:p>
    <w:p>
      <w:pPr>
        <w:spacing w:before="0" w:after="120"/>
      </w:pPr>
      <w:r>
        <w:rPr>
          <w:b/>
        </w:rPr>
        <w:t xml:space="preserve">Source: </w:t>
      </w:r>
      <w:r>
        <w:t>Physical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我们证明，标准晶圆制造可以生产具有规定高斯曲率的独立式、机械稳定的双曲 3D 结构，这是以前通过半导体制造无法实现的能力。展开结构的稳定性是通过其构成拉胀单元的双稳态性质实现的。为了通过部署施加规定的高斯曲率，我们将目标 3D 网格保形展平到 2D 平面上，并局部调整每个晶胞的微观结构，使其第二个稳定平衡发生在所需的各向同性膨胀处。由此产生的前体具有空间异质镶嵌的特征。该生成方法在通过压痕从平盘展开的球冠上进行了验证，并通过数值和实验证实了展开精度和结构稳定性。该方法还适用于一系列具有正曲率和负曲率的复杂 3D 形状。作为功​​能演示，制造并部署了焦距可调的抛物面反射器，其反射图案与几何光学预测一致。这项工作建立了从柔性电子产品到可部署电子产品的路线，拓宽了可实现的 3D 半导体器件的范围。</w:t>
      </w:r>
    </w:p>
    <w:p>
      <w:pPr>
        <w:spacing w:before="0" w:after="200" w:lineRule="auto" w:line="276"/>
      </w:pPr>
      <w:r>
        <w:rPr>
          <w:b/>
        </w:rPr>
        <w:t xml:space="preserve">Abstract (EN): </w:t>
      </w:r>
      <w:r>
        <w:t>We demonstrate that standard wafer fabrication can produce free-standing, mechanically stable, doubly-curved 3D structures with prescribed Gaussian curvature — a capability not previously achieved through semiconductor manufacturing. The stability of the deployed structures is realized through the bistable nature of their constituent auxetic unit cells. To impose prescribed Gaussian curvatures through deployment, we conformally flatten the target 3D mesh onto the 2D plane and locally tune the microstructure of each unit cell such that its second stable equilibrium occurs at the required isotropic expansion. The resulting precursor features a spatially heterogeneous tessellation. This generative method is validated on a spherical cap deployed from a flat disk through indentation, with deployment accuracy and structural stability confirmed numerically and experimentally. The method is further applied to a range of complex 3D shapes with both positive and negative curvatures. As a functional demonstration, paraboloidal reflectors with tunable focal lengths are fabricated and deployed, with reflected patterns agreeing with geometric optics predictions. This work establishes a route from flexible electronics towards deployable electronics, broadening the spectrum of realizable 3D semiconductor devices.</w:t>
      </w:r>
    </w:p>
    <w:p>
      <w:pPr>
        <w:spacing w:before="120" w:after="120"/>
      </w:pPr>
      <w:r>
        <w:rPr>
          <w:sz w:val="18"/>
        </w:rPr>
        <w:t>——————————————————————————————————————————————————————————————————————</w:t>
      </w:r>
    </w:p>
    <w:p>
      <w:pPr>
        <w:spacing w:before="160" w:after="40" w:line="240" w:lineRule="auto"/>
      </w:pPr>
      <w:r>
        <w:rPr>
          <w:b/>
        </w:rPr>
        <w:t xml:space="preserve">[139] </w:t>
      </w:r>
      <w:hyperlink r:id="rId676">
        <w:r>
          <w:rPr>
            <w:color w:val="1155CC"/>
            <w:u w:val="single"/>
          </w:rPr>
          <w:t>基于元学习启发的适应和共形分位数回归的细粒度潜在负载灵活性估计</w:t>
        </w:r>
      </w:hyperlink>
    </w:p>
    <w:p>
      <w:pPr>
        <w:spacing w:before="0" w:after="80"/>
      </w:pPr>
      <w:r>
        <w:rPr>
          <w:i/>
          <w:sz w:val="20"/>
        </w:rPr>
        <w:t>EN: Fine-grained potential load flexibility estimation based on meta-learning-inspired adaptation and conformal quantile regression</w:t>
      </w:r>
    </w:p>
    <w:p>
      <w:pPr>
        <w:spacing w:before="0" w:after="120"/>
      </w:pPr>
      <w:r>
        <w:rPr>
          <w:b/>
        </w:rPr>
        <w:t xml:space="preserve">Source: </w:t>
      </w:r>
      <w:r>
        <w:t>ScienceDirect Publication: Applied Energy</w:t>
      </w:r>
      <w:r>
        <w:t xml:space="preserve">    </w:t>
      </w:r>
      <w:r>
        <w:rPr>
          <w:b/>
        </w:rPr>
        <w:t xml:space="preserve">Pub date: </w:t>
      </w:r>
      <w:r>
        <w:t>2026-07-25 00:00:00+00:00</w:t>
      </w:r>
      <w:r>
        <w:t xml:space="preserve">    </w:t>
      </w:r>
      <w:r>
        <w:rPr>
          <w:b/>
        </w:rPr>
        <w:t xml:space="preserve">DOI: </w:t>
      </w:r>
      <w:hyperlink r:id="rId677">
        <w:r>
          <w:rPr>
            <w:color w:val="1155CC"/>
            <w:u w:val="single"/>
          </w:rPr>
          <w:t>10.1016/j.apenergy.2026.128502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[140] </w:t>
      </w:r>
      <w:hyperlink r:id="rId678">
        <w:r>
          <w:rPr>
            <w:color w:val="1155CC"/>
            <w:u w:val="single"/>
          </w:rPr>
          <w:t>墨西哥城市中心的规模扩大和人口流失</w:t>
        </w:r>
      </w:hyperlink>
    </w:p>
    <w:p>
      <w:pPr>
        <w:spacing w:before="0" w:after="80"/>
      </w:pPr>
      <w:r>
        <w:rPr>
          <w:i/>
          <w:sz w:val="20"/>
        </w:rPr>
        <w:t>EN: Scaling and Population Loss in Mexican Urban Centres</w:t>
      </w:r>
    </w:p>
    <w:p>
      <w:pPr>
        <w:spacing w:before="0" w:after="120"/>
      </w:pPr>
      <w:r>
        <w:rPr>
          <w:b/>
        </w:rPr>
        <w:t xml:space="preserve">Source: </w:t>
      </w:r>
      <w:r>
        <w:t>Physical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尽管其影响无处不在，但全球许多城市仍在以分散、横向的方式扩张。我们利用人口普查数据分析了 69 个墨西哥大都市区 1990 年至 2020 年的城市增长动态，开发了一个基于人口规模、密度和空间配置的城市形态变化模型。我们采用径向概率密度函数和城市扩张因子来创建一个框架，用于比较不同时间和不同地区的城市扩张。在过去三十年中，墨西哥的城市人口几乎增加了一倍。但人口向外转移，导致中部地区居民减少250万。我们的分析显示，由于中心地区人口减少和周边地区人口增长，距市中心的距离平均增加了 28%。</w:t>
      </w:r>
    </w:p>
    <w:p>
      <w:pPr>
        <w:spacing w:before="0" w:after="200" w:lineRule="auto" w:line="276"/>
      </w:pPr>
      <w:r>
        <w:rPr>
          <w:b/>
        </w:rPr>
        <w:t xml:space="preserve">Abstract (EN): </w:t>
      </w:r>
      <w:r>
        <w:t>Despite its pervasive implications, many cities worldwide continue to expand in a fragmented, horizontal manner. We analyse urban growth dynamics in 69 Mexican metropolitan areas from 1990 to 2020 using census data, developing a model of urban form change based on population size, density, and spatial configuration. We employ a radial probability density function and the urban expansion factor to create a framework for comparing urban expansion over time and across different regions. Over the past three decades, Mexico’s urban population has nearly doubled. However, populations have shifted outward, resulting in a decline of 2.5 million residents in central areas. Our analysis shows that distances from the city centre have increased by 28% on average, driven by population losses in central zones combined with growth in peripheral regions.</w:t>
      </w:r>
    </w:p>
    <w:p>
      <w:pPr>
        <w:spacing w:before="120" w:after="120"/>
      </w:pPr>
      <w:r>
        <w:rPr>
          <w:sz w:val="18"/>
        </w:rPr>
        <w:t>——————————————————————————————————————————————————————————————————————</w:t>
      </w:r>
    </w:p>
    <w:p>
      <w:pPr>
        <w:spacing w:before="160" w:after="40" w:line="240" w:lineRule="auto"/>
      </w:pPr>
      <w:r>
        <w:rPr>
          <w:b/>
        </w:rPr>
        <w:t xml:space="preserve">[141] </w:t>
      </w:r>
      <w:hyperlink r:id="rId679">
        <w:r>
          <w:rPr>
            <w:color w:val="1155CC"/>
            <w:u w:val="single"/>
          </w:rPr>
          <w:t>量子相关网络中相干空间模式混合的超损耗</w:t>
        </w:r>
      </w:hyperlink>
    </w:p>
    <w:p>
      <w:pPr>
        <w:spacing w:before="0" w:after="80"/>
      </w:pPr>
      <w:r>
        <w:rPr>
          <w:i/>
          <w:sz w:val="20"/>
        </w:rPr>
        <w:t>EN: Hyperloss from coherent spatial-mode mixing in quantum-correlated networks</w:t>
      </w:r>
    </w:p>
    <w:p>
      <w:pPr>
        <w:spacing w:before="0" w:after="120"/>
      </w:pPr>
      <w:r>
        <w:rPr>
          <w:b/>
        </w:rPr>
        <w:t xml:space="preserve">Source: </w:t>
      </w:r>
      <w:r>
        <w:t>Physical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量子相关网络分配量子资源，例如压缩态和纠缠态。它们是现代量子技术的核心，包括光子量子计算、量子通信、生物传感和引力波探测。即使对于压缩光（最强大的量子相关资源）而言，损耗引起的退相干仍然是强大量子优势的主要障碍。一个常见的设计假设是空间模式失配会导致不相干损失。然而，相干空间模式与高阶模式混合可能会产生超过完全初始压缩的明显损耗，我们将这种情况称为“超损耗”。在这里，我们通过实验证明，最小的两节点网络表现出超损耗，8% 的模式失配将 5.8 分贝的可观察压缩转换为有效的热状态，并且可以通过调整差分空间模式相位来恢复丢失的相关性，从而将超损耗建立为未来量子技术的实用设计约束。</w:t>
      </w:r>
    </w:p>
    <w:p>
      <w:pPr>
        <w:spacing w:before="0" w:after="200" w:lineRule="auto" w:line="276"/>
      </w:pPr>
      <w:r>
        <w:rPr>
          <w:b/>
        </w:rPr>
        <w:t xml:space="preserve">Abstract (EN): </w:t>
      </w:r>
      <w:r>
        <w:t>Quantum-correlated networks distribute quantum resources such as squeezed and entangled states. They are central to modern quantum technology, including photonic quantum computing, quantum communications, biological sensing and gravitational-wave detection. Even for squeezed light — the most robust quantum-correlated resource — loss-induced decoherence remains the dominant obstacle to strong quantum advantage. A common design assumption is that spatial-mode mismatch acts as an incoherent loss. Coherent spatial-mode mixing with higher-order modes, however, can produce an apparent loss exceeding the full initial squeezing, a regime we term hyperloss. Here, we show experimentally that a minimal two-node network exhibits hyperloss, with 8 per cent mode mismatch converting 5.8 decibels of observable squeezing into an effectively thermal state, and that the lost correlations can be recovered by tuning differential spatial-mode phases, establishing hyperloss as a practical design constraint for future quantum technologies.</w:t>
      </w:r>
    </w:p>
    <w:p>
      <w:pPr>
        <w:spacing w:before="120" w:after="120"/>
      </w:pPr>
      <w:r>
        <w:rPr>
          <w:sz w:val="18"/>
        </w:rPr>
        <w:t>——————————————————————————————————————————————————————————————————————</w:t>
      </w:r>
    </w:p>
    <w:p>
      <w:pPr>
        <w:spacing w:before="160" w:after="40" w:line="240" w:lineRule="auto"/>
      </w:pPr>
      <w:r>
        <w:rPr>
          <w:b/>
        </w:rPr>
        <w:t xml:space="preserve">[142] </w:t>
      </w:r>
      <w:hyperlink r:id="rId680">
        <w:r>
          <w:rPr>
            <w:color w:val="1155CC"/>
            <w:u w:val="single"/>
          </w:rPr>
          <w:t>通过聚合物接枝金纳米颗粒的调节自组装，高度可扩展、透析控制的胶体分子合成</w:t>
        </w:r>
      </w:hyperlink>
    </w:p>
    <w:p>
      <w:pPr>
        <w:spacing w:before="0" w:after="80"/>
      </w:pPr>
      <w:r>
        <w:rPr>
          <w:i/>
          <w:sz w:val="20"/>
        </w:rPr>
        <w:t>EN: Highly scalable, dialysis-controlled synthesis of colloidal molecules via regulated self-assembly of polymer-grafted gold nanoparticles</w:t>
      </w:r>
    </w:p>
    <w:p>
      <w:pPr>
        <w:spacing w:before="0" w:after="120"/>
      </w:pPr>
      <w:r>
        <w:rPr>
          <w:b/>
        </w:rPr>
        <w:t xml:space="preserve">Source: </w:t>
      </w:r>
      <w:r>
        <w:t>Physical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胶体分子 (CM) 是纳米颗粒 (NP) 的组装体，可准确复制实际分子的结构和对称性。 CM 被视为模块化构建块，可以创建分层结构，而通过单个 NP 的直接自组装来实现这种结构具有挑战性。然而，用于纳米级 CM 合成的高效且可扩展的方法的可用性有限，限制了它们在构建分层结构中的更广泛应用。在这里，我们表明，长程静电引力与短程氢键相互作用相结合，使得二元纳米粒子能够在水介质中组装成CM，获得高达95%的高产率，浓度比之前报道的值高出三个数量级。这些 CM 可以作为构建 CM 阵列和具有开孔的非密堆积分层结构的构建块。我们的方法标志着一种用于制造纳米级 CM 的有效自组装策略，并展示了它们在构建创新分层结构方面的潜力。</w:t>
      </w:r>
    </w:p>
    <w:p>
      <w:pPr>
        <w:spacing w:before="0" w:after="200" w:lineRule="auto" w:line="276"/>
      </w:pPr>
      <w:r>
        <w:rPr>
          <w:b/>
        </w:rPr>
        <w:t xml:space="preserve">Abstract (EN): </w:t>
      </w:r>
      <w:r>
        <w:t>Colloidal molecules (CMs) are assemblies of nanoparticles (NPs) that accurately replicate the structure and symmetry of actual molecules. Regarded as modular building blocks, CMs enable the creation of hierarchical structures that are challenging to achieve through the direct self-assembly of individual NPs. However, the limited availability of efficient and scalable methods for nanoscale CM synthesis has constrained their broader use in constructing hierarchical structures. Here we show that long-range electrostatic attraction, combined with short-range hydrogen-bonding interactions, enables the assembly of binary NPs into CMs in an aqueous medium, attaining high yields of up to 95% and concentrations three orders of magnitude higher than previously reported values. These CMs can serve as building blocks for constructing CM arrays and non-close-packed hierarchical structures with open pores. Our approach marks an efficient self-assembly strategy for fabricating nanoscale CMs and demonstrates their potential in constructing innovative hierarchical structures.</w:t>
      </w:r>
    </w:p>
    <w:p>
      <w:pPr>
        <w:spacing w:before="120" w:after="120"/>
      </w:pPr>
      <w:r>
        <w:rPr>
          <w:sz w:val="18"/>
        </w:rPr>
        <w:t>——————————————————————————————————————————————————————————————————————</w:t>
      </w:r>
    </w:p>
    <w:p>
      <w:pPr>
        <w:spacing w:before="160" w:after="40" w:line="240" w:lineRule="auto"/>
      </w:pPr>
      <w:r>
        <w:rPr>
          <w:b/>
        </w:rPr>
        <w:t xml:space="preserve">[143] </w:t>
      </w:r>
      <w:hyperlink r:id="rId681">
        <w:r>
          <w:rPr>
            <w:color w:val="1155CC"/>
            <w:u w:val="single"/>
          </w:rPr>
          <w:t>核-鞘耦合控制钩端螺旋体鞭毛曲率和运动性</w:t>
        </w:r>
      </w:hyperlink>
    </w:p>
    <w:p>
      <w:pPr>
        <w:spacing w:before="0" w:after="80"/>
      </w:pPr>
      <w:r>
        <w:rPr>
          <w:i/>
          <w:sz w:val="20"/>
        </w:rPr>
        <w:t>EN: Core–sheath coupling controls flagellar curvature and motility in Leptospira</w:t>
      </w:r>
    </w:p>
    <w:p>
      <w:pPr>
        <w:spacing w:before="0" w:after="120"/>
      </w:pPr>
      <w:r>
        <w:rPr>
          <w:b/>
        </w:rPr>
        <w:t xml:space="preserve">Source: </w:t>
      </w:r>
      <w:r>
        <w:t>Biological sciences : Nature Communications subject feeds</w:t>
      </w:r>
      <w:r>
        <w:t xml:space="preserve">    </w:t>
      </w:r>
      <w:r>
        <w:rPr>
          <w:b/>
        </w:rPr>
        <w:t xml:space="preserve">Pub date: </w:t>
      </w:r>
      <w:r>
        <w:t>2026-07-25 00:00:00+00:00</w:t>
      </w:r>
    </w:p>
    <w:p>
      <w:pPr>
        <w:spacing w:before="0" w:after="120"/>
      </w:pPr>
      <w:r>
        <w:rPr>
          <w:b/>
        </w:rPr>
        <w:t xml:space="preserve">Notes: </w:t>
      </w:r>
      <w:r>
        <w:t>abstract_source=nature_html</w:t>
      </w:r>
    </w:p>
    <w:p>
      <w:pPr>
        <w:spacing w:before="0" w:after="80" w:lineRule="auto" w:line="276"/>
      </w:pPr>
      <w:r>
        <w:rPr>
          <w:b/>
        </w:rPr>
        <w:t xml:space="preserve">摘要（ZH）: </w:t>
      </w:r>
      <w:r>
        <w:t>螺旋体病原体是已知最具侵袭性的细菌之一，可引起梅毒、莱姆病和钩端螺旋体病。它们的组织穿透取决于周质鞭毛丝，与其他细菌鞭毛不同，周质鞭毛丝被包裹在螺旋体特异性的多蛋白鞘中，并使细胞体变形为运动波。这些细丝如何实现侵入性运动所需的机械性能仍不清楚。在这里，我们确定了钩端螺旋体内鞭毛丝的完整原子结构，揭示了由 9 至 12 个不同的不对称排列蛋白质组成的复杂鞘。我们表明，形成细丝核心的鞭毛蛋白变体决定了鞘的组成，产生的曲率范围为~3.5 µm−1 至~5.6 µm−1。致病性问号钩端螺旋体采用的较低曲率结构被证明对于粘性环境和感染期间的运动至关重要。因此，钩端螺旋体通过模块化的核-鞘耦合实现了环境特异性运动，将原子尺度的结构可塑性与游泳行为的大规模变化联系起来。关键鞘成分的保守性表明这种机制可能延伸到螺旋体。</w:t>
      </w:r>
    </w:p>
    <w:p>
      <w:pPr>
        <w:spacing w:before="0" w:after="200" w:lineRule="auto" w:line="276"/>
      </w:pPr>
      <w:r>
        <w:rPr>
          <w:b/>
        </w:rPr>
        <w:t xml:space="preserve">Abstract (EN): </w:t>
      </w:r>
      <w:r>
        <w:t>Spirochaete pathogens are among the most invasive bacteria known, causing syphilis, Lyme disease, and leptospirosis. Their tissue penetration depends on periplasmic flagellar filaments that, unlike other bacterial flagella, are encased in a spirochaete-specific multi-protein sheath and deform the cell body into motile waves. How these filaments achieve the mechanical properties needed for invasive motility has remained unclear. Here we determine complete atomic structures of the Leptospira endoflagellar filament, revealing an elaborate sheath of 9 to 12 distinct asymmetrically arranged proteins. We show that the flagellin variant forming the filament core determines sheath composition, producing curvatures ranging from ~3.5 µm−1 to ~5.6 µm−1. The lower-curvature architecture, employed by pathogenic Leptospira interrogans, proves essential for motility in viscous environments and during infection. Thus, Leptospira achieves environment-specific motility through modular core–sheath coupling, linking atomic-scale structural plasticity to large-scale changes in swimming behaviour. Conservation of key sheath components suggests this mechanism may extend across spirochaetes.</w:t>
      </w:r>
    </w:p>
    <w:p>
      <w:pPr>
        <w:spacing w:before="120" w:after="120"/>
      </w:pPr>
      <w:r>
        <w:rPr>
          <w:sz w:val="18"/>
        </w:rPr>
        <w:t>——————————————————————————————————————————————————————————————————————</w:t>
      </w:r>
    </w:p>
    <w:p>
      <w:pPr>
        <w:spacing w:before="160" w:after="40" w:line="240" w:lineRule="auto"/>
      </w:pPr>
      <w:r>
        <w:rPr>
          <w:b/>
        </w:rPr>
        <w:t xml:space="preserve">[144] </w:t>
      </w:r>
      <w:hyperlink r:id="rId682">
        <w:r>
          <w:rPr>
            <w:color w:val="1155CC"/>
            <w:u w:val="single"/>
          </w:rPr>
          <w:t>利用 Rotaxane 结构对圆偏振发光进行力诱导控制</w:t>
        </w:r>
      </w:hyperlink>
    </w:p>
    <w:p>
      <w:pPr>
        <w:spacing w:before="0" w:after="80"/>
      </w:pPr>
      <w:r>
        <w:rPr>
          <w:i/>
          <w:sz w:val="20"/>
        </w:rPr>
        <w:t>EN: Force‐Induced Control of Circularly Polarized Luminescence With Rotaxane Architecture</w:t>
      </w:r>
    </w:p>
    <w:p>
      <w:pPr>
        <w:spacing w:before="0" w:after="120"/>
      </w:pPr>
      <w:r>
        <w:rPr>
          <w:b/>
        </w:rPr>
        <w:t xml:space="preserve">Source: </w:t>
      </w:r>
      <w:r>
        <w:t>Wiley: Angewandte Chemie International Edition: Table of Contents</w:t>
      </w:r>
      <w:r>
        <w:t xml:space="preserve">    </w:t>
      </w:r>
      <w:r>
        <w:rPr>
          <w:b/>
        </w:rPr>
        <w:t xml:space="preserve">Pub date: </w:t>
      </w:r>
      <w:r>
        <w:t>2026-07-25 03:51:45+00:00</w:t>
      </w:r>
      <w:r>
        <w:t xml:space="preserve">    </w:t>
      </w:r>
      <w:r>
        <w:rPr>
          <w:b/>
        </w:rPr>
        <w:t xml:space="preserve">DOI: </w:t>
      </w:r>
      <w:hyperlink r:id="rId683">
        <w:r>
          <w:rPr>
            <w:color w:val="1155CC"/>
            <w:u w:val="single"/>
          </w:rPr>
          <w:t>10.1002/anie.9590374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机械互锁分子（MIM）的可逆分子运动在实现刺激响应功能中发挥了至关重要的作用。虽然使用 MIM 通过改变 pH 值和/或添加化学物质实现了圆偏振发光 (CPL) 特性的可逆切换，但利用互锁结构的机械控制 CPL 尚未得到证实。在这里，我们介绍了一种基于轮烷的机械载体，设计用于力诱导 CPL 开/关切换。机械团由一个具有 CPL 活性螺旋烯发光团的环和一个带有匹配淬灭剂的轴组成。在双网络 (DN) 凝胶的交联点共价引入的轮烷机械载体可逆地激活和失活，以响应 DN 凝胶宏观膨胀和收缩过程中通过聚合物链传递的施加力的变化。 DN 凝胶的各向同性膨胀有效抑制了宏观样品取向产生的伪影，从而能够准确检测源自单个手性发射体的倒数 CPL。这项工作建立了第一个在单分子水平上对 CPL 进行机械控制的例子，并为软材料中力诱导的 CPL 转换提供了一种可靠的测量方法。</w:t>
      </w:r>
    </w:p>
    <w:p>
      <w:pPr>
        <w:spacing w:before="0" w:after="200" w:lineRule="auto" w:line="276"/>
      </w:pPr>
      <w:r>
        <w:rPr>
          <w:b/>
        </w:rPr>
        <w:t xml:space="preserve">Abstract (EN): </w:t>
      </w:r>
      <w:r>
        <w:t>The reversible molecular motions of mechanically interlocked molecules (MIMs) have played a crucial role in realizing stimuli‐responsive functions. While the reversible switching of circularly polarized luminescence (CPL) properties has been achieved using MIMs through pH change and/or addition of chemicals, the mechanically controlled CPL utilizing the interlocked architecture has not yet been demonstrated. Here, we introduce a rotaxane‐based mechanophore designed for force‐induced CPL on/off switching. The mechanophore consists of a ring featuring a CPL‐active helicene luminophore and an axle with a matching quencher. The rotaxane mechanophores covalently introduced at the cross‐linking points of a double‐network (DN) gel are reversibly activated and deactivated in response to changes in applied force transduced through the polymer chains during the macroscopic swelling and shrinking of the DN gel. The isotropic swelling of the DN gel effectively suppresses artifacts arising from macroscopic sample orientation, enabling accurate detection of reciprocal CPL derived from a single chiral emitter. This work establishes the first example of mechanical control of CPL at the single‐molecule level and provides a robust measurement methodology for force‐induced CPL switching in soft materials.</w:t>
      </w:r>
    </w:p>
    <w:p>
      <w:pPr>
        <w:spacing w:before="120" w:after="120"/>
      </w:pPr>
      <w:r>
        <w:rPr>
          <w:sz w:val="18"/>
        </w:rPr>
        <w:t>——————————————————————————————————————————————————————————————————————</w:t>
      </w:r>
    </w:p>
    <w:p>
      <w:pPr>
        <w:spacing w:before="160" w:after="40" w:line="240" w:lineRule="auto"/>
      </w:pPr>
      <w:r>
        <w:rPr>
          <w:b/>
        </w:rPr>
        <w:t xml:space="preserve">[145] </w:t>
      </w:r>
      <w:hyperlink r:id="rId684">
        <w:r>
          <w:rPr>
            <w:color w:val="1155CC"/>
            <w:u w:val="single"/>
          </w:rPr>
          <w:t>分层排序解耦单相中红外非线性光学晶体中的 SHG-双折射-LIDT 权衡</w:t>
        </w:r>
      </w:hyperlink>
    </w:p>
    <w:p>
      <w:pPr>
        <w:spacing w:before="0" w:after="80"/>
      </w:pPr>
      <w:r>
        <w:rPr>
          <w:i/>
          <w:sz w:val="20"/>
        </w:rPr>
        <w:t>EN: Hierarchical Ordering Decouples the SHG–Birefringence–LIDT Trade‐Off in a Single‐Phase Mid‐Infrared Nonlinear Optical Crystal</w:t>
      </w:r>
    </w:p>
    <w:p>
      <w:pPr>
        <w:spacing w:before="0" w:after="120"/>
      </w:pPr>
      <w:r>
        <w:rPr>
          <w:b/>
        </w:rPr>
        <w:t xml:space="preserve">Source: </w:t>
      </w:r>
      <w:r>
        <w:t>Wiley: Angewandte Chemie International Edition: Table of Contents</w:t>
      </w:r>
      <w:r>
        <w:t xml:space="preserve">    </w:t>
      </w:r>
      <w:r>
        <w:rPr>
          <w:b/>
        </w:rPr>
        <w:t xml:space="preserve">Pub date: </w:t>
      </w:r>
      <w:r>
        <w:t>2026-07-25 04:06:45+00:00</w:t>
      </w:r>
      <w:r>
        <w:t xml:space="preserve">    </w:t>
      </w:r>
      <w:r>
        <w:rPr>
          <w:b/>
        </w:rPr>
        <w:t xml:space="preserve">DOI: </w:t>
      </w:r>
      <w:hyperlink r:id="rId685">
        <w:r>
          <w:rPr>
            <w:color w:val="1155CC"/>
            <w:u w:val="single"/>
          </w:rPr>
          <w:t>10.1002/anie.7178987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高性能红外非线性光学晶体的追求永远受到二次谐波产生（SHG）效率、激光诱导损伤阈值（LIDT）和相位匹配双折射（PM）之间固有权衡的限制。寻求新配方的传统组成工程从根本上受到化合物固有电子结构的限制。在这里，我们通过固定化学成分内的分层顺序编辑引入了性能优化的范式转变。在模型化合物中 [Hg</w:t>
      </w:r>
      <w:r>
        <w:rPr>
          <w:vertAlign w:val="subscript"/>
        </w:rPr>
        <w:t>3</w:t>
      </w:r>
      <w:r>
        <w:t>硒</w:t>
      </w:r>
      <w:r>
        <w:rPr>
          <w:vertAlign w:val="subscript"/>
        </w:rPr>
        <w:t>2</w:t>
      </w:r>
      <w:r>
        <w:t>][氯化锌</w:t>
      </w:r>
      <w:r>
        <w:rPr>
          <w:vertAlign w:val="subscript"/>
        </w:rPr>
        <w:t>4</w:t>
      </w:r>
      <w:r>
        <w:t>]，我们展示了通过调整合成条件来调整其包含旋转孪生和上层结构的层次顺序，这产生了三种不同的变体（</w:t>
      </w:r>
      <w:r>
        <w:rPr>
          <w:vertAlign w:val="subscript"/>
        </w:rPr>
        <w:t>1</w:t>
      </w:r>
      <w:r>
        <w:t>–</w:t>
      </w:r>
      <w:r>
        <w:rPr>
          <w:vertAlign w:val="subscript"/>
        </w:rPr>
        <w:t>3</w:t>
      </w:r>
      <w:r>
        <w:t>) 来自单个公式。它们的光学特性从可忽略不计的二次谐波（SHG）逐渐演变而来（</w:t>
      </w:r>
      <w:r>
        <w:rPr>
          <w:vertAlign w:val="subscript"/>
        </w:rPr>
        <w:t>1</w:t>
      </w:r>
      <w:r>
        <w:t>），到弱非 PM SHG（</w:t>
      </w:r>
      <w:r>
        <w:rPr>
          <w:vertAlign w:val="subscript"/>
        </w:rPr>
        <w:t>2</w:t>
      </w:r>
      <w:r>
        <w:t>），最后到强 PM SHG 以及最高 LIDT（</w:t>
      </w:r>
      <w:r>
        <w:rPr>
          <w:vertAlign w:val="subscript"/>
        </w:rPr>
        <w:t>3</w:t>
      </w:r>
      <w:r>
        <w:t>）。我们揭示了这种可调性源于不同排序参数的解耦作用，孪生主要控制 SHG 系数和双折射，而超结构调制主要影响 LIDT。这项工作建立了分层顺序编辑作为一种权力</w:t>
      </w:r>
    </w:p>
    <w:p>
      <w:pPr>
        <w:spacing w:before="0" w:after="200" w:lineRule="auto" w:line="276"/>
      </w:pPr>
      <w:r>
        <w:rPr>
          <w:b/>
        </w:rPr>
        <w:t xml:space="preserve">Abstract (EN): </w:t>
      </w:r>
      <w:r>
        <w:t>The pursuit of high‐performance infrared nonlinear optical crystals is perpetually constrained by the inherent trade‐offs among second‐harmonic generation (SHG) efficiency, laser‐induced damage threshold (LIDT), and birefringence for phase‐matching (PM). Traditional compositional engineering, which seeks new formulas, is fundamentally limited by a compound's intrinsic electronic structure. Here, we introduce a paradigm shift of performance optimization through hierarchical order editing within a fixed chemical composition. In the model compound [Hg</w:t>
      </w:r>
      <w:r>
        <w:rPr>
          <w:vertAlign w:val="subscript"/>
        </w:rPr>
        <w:t>3</w:t>
      </w:r>
      <w:r>
        <w:t>Se</w:t>
      </w:r>
      <w:r>
        <w:rPr>
          <w:vertAlign w:val="subscript"/>
        </w:rPr>
        <w:t>2</w:t>
      </w:r>
      <w:r>
        <w:t>][ZnCl</w:t>
      </w:r>
      <w:r>
        <w:rPr>
          <w:vertAlign w:val="subscript"/>
        </w:rPr>
        <w:t>4</w:t>
      </w:r>
      <w:r>
        <w:t>], we demonstrate tuning of its hierarchical order encompassing both rotational twinning and superstructure by adjusting synthetic conditions, which yields three distinct variants (</w:t>
      </w:r>
      <w:r>
        <w:rPr>
          <w:vertAlign w:val="subscript"/>
        </w:rPr>
        <w:t>1</w:t>
      </w:r>
      <w:r>
        <w:t>–</w:t>
      </w:r>
      <w:r>
        <w:rPr>
          <w:vertAlign w:val="subscript"/>
        </w:rPr>
        <w:t>3</w:t>
      </w:r>
      <w:r>
        <w:t>) from a single formula. Their optical properties evolve progressively from negligible SHG (</w:t>
      </w:r>
      <w:r>
        <w:rPr>
          <w:vertAlign w:val="subscript"/>
        </w:rPr>
        <w:t>1</w:t>
      </w:r>
      <w:r>
        <w:t>), to weak non‐PM SHG (</w:t>
      </w:r>
      <w:r>
        <w:rPr>
          <w:vertAlign w:val="subscript"/>
        </w:rPr>
        <w:t>2</w:t>
      </w:r>
      <w:r>
        <w:t>), and finally to strong PM SHG alongside the highest LIDT (</w:t>
      </w:r>
      <w:r>
        <w:rPr>
          <w:vertAlign w:val="subscript"/>
        </w:rPr>
        <w:t>3</w:t>
      </w:r>
      <w:r>
        <w:t>). We reveal that this tunability stems from the decoupled roles of different ordering parameters, twinning primarily governs the SHG coefficient and birefringence, while superstructural modulation dominantly influences the LIDT. This work establishes hierarchical order editing​ as a powerful and general strategy for property optimization, transcending the limitations of compositional design.</w:t>
      </w:r>
    </w:p>
    <w:p>
      <w:pPr>
        <w:spacing w:before="120" w:after="120"/>
      </w:pPr>
      <w:r>
        <w:rPr>
          <w:sz w:val="18"/>
        </w:rPr>
        <w:t>——————————————————————————————————————————————————————————————————————</w:t>
      </w:r>
    </w:p>
    <w:p>
      <w:pPr>
        <w:spacing w:before="160" w:after="40" w:line="240" w:lineRule="auto"/>
      </w:pPr>
      <w:r>
        <w:rPr>
          <w:b/>
        </w:rPr>
        <w:t xml:space="preserve">[146] </w:t>
      </w:r>
      <w:hyperlink r:id="rId686">
        <w:r>
          <w:rPr>
            <w:color w:val="1155CC"/>
            <w:u w:val="single"/>
          </w:rPr>
          <w:t>不受干扰的 π-甲基静电相互作用使得石墨炔在高湿度下能够有效吸附甲苯</w:t>
        </w:r>
      </w:hyperlink>
    </w:p>
    <w:p>
      <w:pPr>
        <w:spacing w:before="0" w:after="80"/>
      </w:pPr>
      <w:r>
        <w:rPr>
          <w:i/>
          <w:sz w:val="20"/>
        </w:rPr>
        <w:t>EN: Unperturbed π‐Methyl Electrostatic Interactions Enable Efficient Toluene Adsorption on Graphdiyne Under High Humidity</w:t>
      </w:r>
    </w:p>
    <w:p>
      <w:pPr>
        <w:spacing w:before="0" w:after="120"/>
      </w:pPr>
      <w:r>
        <w:rPr>
          <w:b/>
        </w:rPr>
        <w:t xml:space="preserve">Source: </w:t>
      </w:r>
      <w:r>
        <w:t>Wiley: Angewandte Chemie International Edition: Table of Contents</w:t>
      </w:r>
      <w:r>
        <w:t xml:space="preserve">    </w:t>
      </w:r>
      <w:r>
        <w:rPr>
          <w:b/>
        </w:rPr>
        <w:t xml:space="preserve">Pub date: </w:t>
      </w:r>
      <w:r>
        <w:t>2026-07-25 04:08:09+00:00</w:t>
      </w:r>
      <w:r>
        <w:t xml:space="preserve">    </w:t>
      </w:r>
      <w:r>
        <w:rPr>
          <w:b/>
        </w:rPr>
        <w:t xml:space="preserve">DOI: </w:t>
      </w:r>
      <w:hyperlink r:id="rId687">
        <w:r>
          <w:rPr>
            <w:color w:val="1155CC"/>
            <w:u w:val="single"/>
          </w:rPr>
          <w:t>10.1002/anie.9905607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潮湿工业流中挥发性有机化合物 (VOC) 的去除效率受到竞争性水分吸附和传统吸附剂结构脆弱性的严重阻碍。在这里，我们展示了高度疏水性的石墨二炔（GDY）框架为高湿度条件下持续捕获 VOC 提供了一个强大的平台。动态突破测量表明，GDY 在 50% 相对湿度 (RH) 下保持 &gt; 98% 的甲苯吸收量 (102.5 mg/g)，具有出色的循环稳定性，而传统碳质吸附剂通常会经历严重的容量损失。结合实验表征和分子模拟表明，sp-C 连接引起电子密度重新分布，促进稳定甲苯吸附的 π-甲基静电相互作用。同时，sp杂化碳的高度离域π电子结构抑制了与水分子的偶极相互作用，阻碍了吸附剂表面氢键的形成，从而抑制了水的竞争吸附。我们的研究揭示了 GDY 耐湿性的起源，并为工业气体净化疏水吸附剂的合理设计提供了实用指导。</w:t>
      </w:r>
    </w:p>
    <w:p>
      <w:pPr>
        <w:spacing w:before="0" w:after="200" w:lineRule="auto" w:line="276"/>
      </w:pPr>
      <w:r>
        <w:rPr>
          <w:b/>
        </w:rPr>
        <w:t xml:space="preserve">Abstract (EN): </w:t>
      </w:r>
      <w:r>
        <w:t>The efficiency of volatile organic compounds (VOCs) abatement in humid industrial streams is critically hindered by competitive moisture adsorption and the structural vulnerability of conventional adsorbents. Here, we show that a highly hydrophobic graphdiyne (GDY) framework provides a robust platform for sustained VOC capture under highly humid conditions. Dynamic breakthrough measurements demonstrate that GDY maintains &amp;gt; 98% of its toluene uptake (102.5 mg/g) at 50% relative humidity (RH) with excellent cyclic stability, whereas conventional carbonaceous adsorbents usually undergo severe capacity loss. Combined experimental characterization and molecular simulations reveal that the sp‐C linkages induce electron density redistribution, fostering π‐methyl electrostatic interactions that stabilize toluene adsorption. Meanwhile, the highly delocalized π‐electron structure of sp‐hybridized carbon suppresses dipole interactions with water molecules and hinders hydrogen bond formation at the adsorbent surface, thereby suppressing competitive adsorption of water. Our study sheds light on the origin of GDY's moisture tolerance and offers practical guidance for the rational design of hydrophobic adsorbents for industrial gas purification.</w:t>
      </w:r>
    </w:p>
    <w:p>
      <w:pPr>
        <w:spacing w:before="120" w:after="120"/>
      </w:pPr>
      <w:r>
        <w:rPr>
          <w:sz w:val="18"/>
        </w:rPr>
        <w:t>——————————————————————————————————————————————————————————————————————</w:t>
      </w:r>
    </w:p>
    <w:p>
      <w:pPr>
        <w:spacing w:before="160" w:after="40" w:line="240" w:lineRule="auto"/>
      </w:pPr>
      <w:r>
        <w:rPr>
          <w:b/>
        </w:rPr>
        <w:t xml:space="preserve">[147] </w:t>
      </w:r>
      <w:hyperlink r:id="rId688">
        <w:r>
          <w:rPr>
            <w:color w:val="1155CC"/>
            <w:u w:val="single"/>
          </w:rPr>
          <w:t>钌 (II) 舒尼替尼酰肼复合物与蛋白质的多管结合可引发不依赖于 ROS 的免疫原性细胞死亡</w:t>
        </w:r>
      </w:hyperlink>
    </w:p>
    <w:p>
      <w:pPr>
        <w:spacing w:before="0" w:after="80"/>
      </w:pPr>
      <w:r>
        <w:rPr>
          <w:i/>
          <w:sz w:val="20"/>
        </w:rPr>
        <w:t>EN: Multipronged Protein Engagement by a Ruthenium(II) Sunitinib Hydrazide Complex Elicits ROS‐Independent Immunogenic Cell Death</w:t>
      </w:r>
    </w:p>
    <w:p>
      <w:pPr>
        <w:spacing w:before="0" w:after="120"/>
      </w:pPr>
      <w:r>
        <w:rPr>
          <w:b/>
        </w:rPr>
        <w:t xml:space="preserve">Source: </w:t>
      </w:r>
      <w:r>
        <w:t>Wiley: Angewandte Chemie International Edition: Table of Contents</w:t>
      </w:r>
      <w:r>
        <w:t xml:space="preserve">    </w:t>
      </w:r>
      <w:r>
        <w:rPr>
          <w:b/>
        </w:rPr>
        <w:t xml:space="preserve">Pub date: </w:t>
      </w:r>
      <w:r>
        <w:t>2026-07-25 04:12:26+00:00</w:t>
      </w:r>
      <w:r>
        <w:t xml:space="preserve">    </w:t>
      </w:r>
      <w:r>
        <w:rPr>
          <w:b/>
        </w:rPr>
        <w:t xml:space="preserve">DOI: </w:t>
      </w:r>
      <w:hyperlink r:id="rId689">
        <w:r>
          <w:rPr>
            <w:color w:val="1155CC"/>
            <w:u w:val="single"/>
          </w:rPr>
          <w:t>10.1002/anie.1497931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基于金属的免疫原性细胞死亡（ICD）诱导剂通常依赖于升高的活性氧（ROS）来触发内质网（ER）应激。炎症信号传导的核心调节因子 NF-κB 可以放大氧化应激反应并促进促肿瘤信号传导。因此，独立于 ROS 诱导 ICD 的策略可能代表了 ROS 驱动范式的概念转变。在这里，我们展示了使用临床血管生成抑制剂舒尼替尼的酰肼衍生物形成 Ru(II)-舒尼替尼酰肼复合物（</w:t>
      </w:r>
      <w:r>
        <w:rPr>
          <w:vertAlign w:val="subscript"/>
        </w:rPr>
        <w:t>5</w:t>
      </w:r>
      <w:r>
        <w:t>) 抑制 NF-κB 信号传导（减少 p65 磷酸化并阻断 p50-p65 核易位），抑制 VEGFR2 磷酸化，并降低端粒酶活性（无细胞 TRAP 测定），从而将细胞反应重定向至凋亡 ICD。舒尼替尼酰肼具有 VEGFR2 和端粒酶抑制特性，但它也促进 NF-κB (p50-p65) 核转位和 ROS 生成。相比之下，细胞内ROS水平基本保持不变</w:t>
      </w:r>
      <w:r>
        <w:rPr>
          <w:vertAlign w:val="subscript"/>
        </w:rPr>
        <w:t>5</w:t>
      </w:r>
      <w:r>
        <w:t>抑制 NF-κB 通路。同时抑制 VEGFR2、NF-κB 和端粒酶会增强持续的非氧化性 ER 线粒体应激，触发 DAMP 释放和凋亡性免疫原性细胞死亡。叶酸靶向 PEG-PCL 胶束递送（</w:t>
      </w:r>
      <w:r>
        <w:t xml:space="preserve"> </w:t>
      </w:r>
      <w:r>
        <w:t>5@PFC</w:t>
      </w:r>
      <w:r>
        <w:t xml:space="preserve"> </w:t>
      </w:r>
      <w:r>
        <w:t>) 将肿瘤选择性提高四倍并抑制免疫活性 4T1 小鼠的肿瘤生长，同时肿瘤内 CD4 增加：</w:t>
      </w:r>
    </w:p>
    <w:p>
      <w:pPr>
        <w:spacing w:before="0" w:after="200" w:lineRule="auto" w:line="276"/>
      </w:pPr>
      <w:r>
        <w:rPr>
          <w:b/>
        </w:rPr>
        <w:t xml:space="preserve">Abstract (EN): </w:t>
      </w:r>
      <w:r>
        <w:t>Metal‐based immunogenic cell death (ICD) inducers commonly rely on elevated reactive oxygen species (ROS) to trigger endoplasmic reticulum (ER) stress. The central regulator of inflammatory signaling, NF‐κB, can amplify oxidative stress responses and promote pro‐tumorigenic signaling. Thus, strategies that induce ICD independently of ROS may represent a conceptual shift from ROS‐driven paradigms. Here we show that using a hydrazide derivative of a clinical angiogenesis inhibitor sunitinib to form a Ru(II)–sunitinib hydrazide complex (</w:t>
      </w:r>
      <w:r>
        <w:rPr>
          <w:vertAlign w:val="subscript"/>
        </w:rPr>
        <w:t>5</w:t>
      </w:r>
      <w:r>
        <w:t>) inhibits NF‐κB signaling (reduced p65 phosphorylation and blocked p50–p65 nuclear translocation), suppresses VEGFR2 phosphorylation, and decreases telomerase activity (cell‐free TRAP assay), thereby redirecting cellular responses toward apoptotic ICD. The sunitinib hydrazide provides the VEGFR2 and telomerase inhibition properties but it also promotes NF‐κB (p50–p65) nuclear translocation and ROS generation. In contrast, the intracellular ROS levels remain largely unchanged with</w:t>
      </w:r>
      <w:r>
        <w:rPr>
          <w:vertAlign w:val="subscript"/>
        </w:rPr>
        <w:t>5</w:t>
      </w:r>
      <w:r>
        <w:t>which inhibits the NF‐κB pathway. Simultaneous inhibition of VEGFR2, NF‐κB, and telomerase enforces sustained non‐oxidative ER–mitochondrial stress, triggering DAMP release and apoptotic immunogenic cell death. Folate‐targeted PEG–PCL micellar delivery (</w:t>
      </w:r>
      <w:r>
        <w:t xml:space="preserve"> </w:t>
      </w:r>
      <w:r>
        <w:t>5@PFC</w:t>
      </w:r>
      <w:r>
        <w:t xml:space="preserve"> </w:t>
      </w:r>
      <w:r>
        <w:t>) improves tumor selectivity fourfold and suppresses tumor growth in immunocompetent 4T1 mice, accompanied by an increased intratumoral CD4:CD8 ratio, indicating enhanced immune activation.</w:t>
      </w:r>
    </w:p>
    <w:p>
      <w:pPr>
        <w:spacing w:before="120" w:after="120"/>
      </w:pPr>
      <w:r>
        <w:rPr>
          <w:sz w:val="18"/>
        </w:rPr>
        <w:t>——————————————————————————————————————————————————————————————————————</w:t>
      </w:r>
    </w:p>
    <w:p>
      <w:pPr>
        <w:spacing w:before="160" w:after="40" w:line="240" w:lineRule="auto"/>
      </w:pPr>
      <w:r>
        <w:rPr>
          <w:b/>
        </w:rPr>
        <w:t xml:space="preserve">[148] </w:t>
      </w:r>
      <w:hyperlink r:id="rId690">
        <w:r>
          <w:rPr>
            <w:color w:val="1155CC"/>
            <w:u w:val="single"/>
          </w:rPr>
          <w:t>硝酸盐和环己醇脉冲电合成环己酮肟</w:t>
        </w:r>
      </w:hyperlink>
    </w:p>
    <w:p>
      <w:pPr>
        <w:spacing w:before="0" w:after="80"/>
      </w:pPr>
      <w:r>
        <w:rPr>
          <w:i/>
          <w:sz w:val="20"/>
        </w:rPr>
        <w:t>EN: Pulsed Electrosynthesis of Cyclohexanone Oxime From Nitrate and Cyclohexanol</w:t>
      </w:r>
    </w:p>
    <w:p>
      <w:pPr>
        <w:spacing w:before="0" w:after="120"/>
      </w:pPr>
      <w:r>
        <w:rPr>
          <w:b/>
        </w:rPr>
        <w:t xml:space="preserve">Source: </w:t>
      </w:r>
      <w:r>
        <w:t>Wiley: Advanced Energy Materials: Table of Contents</w:t>
      </w:r>
      <w:r>
        <w:t xml:space="preserve">    </w:t>
      </w:r>
      <w:r>
        <w:rPr>
          <w:b/>
        </w:rPr>
        <w:t xml:space="preserve">Pub date: </w:t>
      </w:r>
      <w:r>
        <w:t>2026-07-25 14:28:10+00:00</w:t>
      </w:r>
      <w:r>
        <w:t xml:space="preserve">    </w:t>
      </w:r>
      <w:r>
        <w:rPr>
          <w:b/>
        </w:rPr>
        <w:t xml:space="preserve">DOI: </w:t>
      </w:r>
      <w:hyperlink r:id="rId691">
        <w:r>
          <w:rPr>
            <w:color w:val="1155CC"/>
            <w:u w:val="single"/>
          </w:rPr>
          <w:t>10.1002/aenm.71356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电催化C─N偶联为可持续肟合成提供了一条有前途的途径，但它存在反应动力学不匹配和传质限制的问题。在此，我们报告了从硝酸盐（NO）合成环己酮肟（CHOX）的脉冲电解策略</w:t>
      </w:r>
      <w:r>
        <w:rPr>
          <w:vertAlign w:val="subscript"/>
        </w:rPr>
        <w:t>3</w:t>
      </w:r>
      <w:r>
        <w:t>-</w:t>
      </w:r>
      <w:r>
        <w:t>）和环己醇（C</w:t>
      </w:r>
      <w:r>
        <w:rPr>
          <w:vertAlign w:val="subscript"/>
        </w:rPr>
        <w:t>6</w:t>
      </w:r>
      <w:r>
        <w:t>H</w:t>
      </w:r>
      <w:r>
        <w:rPr>
          <w:vertAlign w:val="subscript"/>
        </w:rPr>
        <w:t>12</w:t>
      </w:r>
      <w:r>
        <w:t>O）。 CuCe-cMOF 被设计并用作模型催化剂。机理研究揭示了脉冲电解与 CuCe-cMOF 协同富集 NO</w:t>
      </w:r>
      <w:r>
        <w:rPr>
          <w:vertAlign w:val="subscript"/>
        </w:rPr>
        <w:t>3</w:t>
      </w:r>
      <w:r>
        <w:t>-</w:t>
      </w:r>
      <w:r>
        <w:t>/C</w:t>
      </w:r>
      <w:r>
        <w:rPr>
          <w:vertAlign w:val="subscript"/>
        </w:rPr>
        <w:t>6</w:t>
      </w:r>
      <w:r>
        <w:t>H</w:t>
      </w:r>
      <w:r>
        <w:rPr>
          <w:vertAlign w:val="subscript"/>
        </w:rPr>
        <w:t>12</w:t>
      </w:r>
      <w:r>
        <w:t>O反应物和促进键</w:t>
      </w:r>
      <w:r>
        <w:t xml:space="preserve"> </w:t>
      </w:r>
      <w:r>
        <w:t>*</w:t>
      </w:r>
      <w:r>
        <w:t xml:space="preserve"> </w:t>
      </w:r>
      <w:r>
        <w:t>NH</w:t>
      </w:r>
      <w:r>
        <w:rPr>
          <w:vertAlign w:val="subscript"/>
        </w:rPr>
        <w:t>2</w:t>
      </w:r>
      <w:r>
        <w:t>哦/</w:t>
      </w:r>
      <w:r>
        <w:t>*</w:t>
      </w:r>
      <w:r>
        <w:t xml:space="preserve"> </w:t>
      </w:r>
      <w:r>
        <w:t>C</w:t>
      </w:r>
      <w:r>
        <w:rPr>
          <w:vertAlign w:val="subscript"/>
        </w:rPr>
        <w:t>6</w:t>
      </w:r>
      <w:r>
        <w:t>H</w:t>
      </w:r>
      <w:r>
        <w:rPr>
          <w:vertAlign w:val="subscript"/>
        </w:rPr>
        <w:t>10</w:t>
      </w:r>
      <w:r>
        <w:t>O中间体的形成和稳定，从而为增强CHOX合成的C─N偶联提供有利的微环境。在最佳脉冲电解条件下，我们实现了 2.8 mmol cm 的创纪录高 CHOX 产率</w:t>
      </w:r>
      <w:r>
        <w:t xml:space="preserve"> </w:t>
      </w:r>
      <w:r>
        <w:t>−2</w:t>
      </w:r>
      <w:r>
        <w:t xml:space="preserve"> </w:t>
      </w:r>
      <w:r>
        <w:t>小时</w:t>
      </w:r>
      <w:r>
        <w:t xml:space="preserve"> </w:t>
      </w:r>
      <w:r>
        <w:t>−1</w:t>
      </w:r>
      <w:r>
        <w:t xml:space="preserve"> </w:t>
      </w:r>
      <w:r>
        <w:t>法拉第效率为 82.2%。此外，将系统放大到 50 厘米</w:t>
      </w:r>
      <w:r>
        <w:rPr>
          <w:vertAlign w:val="subscript"/>
        </w:rPr>
        <w:t>2</w:t>
      </w:r>
      <w:r>
        <w:t>电解槽的产量为 274.1 克 CHOX/天，最低 CHOX 售价为 206,000 美元</w:t>
      </w:r>
    </w:p>
    <w:p>
      <w:pPr>
        <w:spacing w:before="0" w:after="200" w:lineRule="auto" w:line="276"/>
      </w:pPr>
      <w:r>
        <w:rPr>
          <w:b/>
        </w:rPr>
        <w:t xml:space="preserve">Abstract (EN): </w:t>
      </w:r>
      <w:r>
        <w:t>Electrocatalytic C─N coupling offers a promising route for sustainable oxime synthesis, yet it suffers from mismatched reaction kinetics and mass transport limitations. Herein, we report a pulsed electrolysis strategy for cyclohexanone oxime (CHOX) synthesis from nitrate (NO</w:t>
      </w:r>
      <w:r>
        <w:rPr>
          <w:vertAlign w:val="subscript"/>
        </w:rPr>
        <w:t>3</w:t>
      </w:r>
      <w:r>
        <w:t>−</w:t>
      </w:r>
      <w:r>
        <w:t>) and cyclohexanol (C</w:t>
      </w:r>
      <w:r>
        <w:rPr>
          <w:vertAlign w:val="subscript"/>
        </w:rPr>
        <w:t>6</w:t>
      </w:r>
      <w:r>
        <w:t>H</w:t>
      </w:r>
      <w:r>
        <w:rPr>
          <w:vertAlign w:val="subscript"/>
        </w:rPr>
        <w:t>12</w:t>
      </w:r>
      <w:r>
        <w:t>O). CuCe‐cMOF is designed and used as a model catalyst. Mechanistic investigations unravel that pulsed electrolysis synergizes with CuCe‐cMOF to enrich NO</w:t>
      </w:r>
      <w:r>
        <w:rPr>
          <w:vertAlign w:val="subscript"/>
        </w:rPr>
        <w:t>3</w:t>
      </w:r>
      <w:r>
        <w:t>−</w:t>
      </w:r>
      <w:r>
        <w:t>/C</w:t>
      </w:r>
      <w:r>
        <w:rPr>
          <w:vertAlign w:val="subscript"/>
        </w:rPr>
        <w:t>6</w:t>
      </w:r>
      <w:r>
        <w:t>H</w:t>
      </w:r>
      <w:r>
        <w:rPr>
          <w:vertAlign w:val="subscript"/>
        </w:rPr>
        <w:t>12</w:t>
      </w:r>
      <w:r>
        <w:t>O reactants and facilitate key</w:t>
      </w:r>
      <w:r>
        <w:t xml:space="preserve"> </w:t>
      </w:r>
      <w:r>
        <w:t>*</w:t>
      </w:r>
      <w:r>
        <w:t xml:space="preserve"> </w:t>
      </w:r>
      <w:r>
        <w:t>NH</w:t>
      </w:r>
      <w:r>
        <w:rPr>
          <w:vertAlign w:val="subscript"/>
        </w:rPr>
        <w:t>2</w:t>
      </w:r>
      <w:r>
        <w:t>OH/</w:t>
      </w:r>
      <w:r>
        <w:t>*</w:t>
      </w:r>
      <w:r>
        <w:t xml:space="preserve"> </w:t>
      </w:r>
      <w:r>
        <w:t>C</w:t>
      </w:r>
      <w:r>
        <w:rPr>
          <w:vertAlign w:val="subscript"/>
        </w:rPr>
        <w:t>6</w:t>
      </w:r>
      <w:r>
        <w:t>H</w:t>
      </w:r>
      <w:r>
        <w:rPr>
          <w:vertAlign w:val="subscript"/>
        </w:rPr>
        <w:t>10</w:t>
      </w:r>
      <w:r>
        <w:t>O intermediate formation and stabilization, thus offering a favorable microenvironment to enhance C─N coupling for CHOX synthesis. Under the optimum pulsed electrolysis conditions, we achieve the record‐high CHOX yield rate of 2.8 mmol cm</w:t>
      </w:r>
      <w:r>
        <w:t xml:space="preserve"> </w:t>
      </w:r>
      <w:r>
        <w:t>−2</w:t>
      </w:r>
      <w:r>
        <w:t xml:space="preserve"> </w:t>
      </w:r>
      <w:r>
        <w:t>h</w:t>
      </w:r>
      <w:r>
        <w:t xml:space="preserve"> </w:t>
      </w:r>
      <w:r>
        <w:t>−1</w:t>
      </w:r>
      <w:r>
        <w:t xml:space="preserve"> </w:t>
      </w:r>
      <w:r>
        <w:t>and Faradaic efficiency of 82.2%. Moreover, scaling up system to a 50 cm</w:t>
      </w:r>
      <w:r>
        <w:rPr>
          <w:vertAlign w:val="subscript"/>
        </w:rPr>
        <w:t>2</w:t>
      </w:r>
      <w:r>
        <w:t>electrolyzer leads to an output of 274.1 g CHOX/day with a minimum CHOX selling price of US$2.06 kg</w:t>
      </w:r>
      <w:r>
        <w:t xml:space="preserve"> </w:t>
      </w:r>
      <w:r>
        <w:t>−1</w:t>
      </w:r>
      <w:r>
        <w:t xml:space="preserve"> </w:t>
      </w:r>
      <w:r>
        <w:t>, demonstrating a scalable and economically viable paradigm for industrial oxime synthesis.</w:t>
      </w:r>
    </w:p>
    <w:p>
      <w:pPr>
        <w:spacing w:before="120" w:after="120"/>
      </w:pPr>
      <w:r>
        <w:rPr>
          <w:sz w:val="18"/>
        </w:rPr>
        <w:t>——————————————————————————————————————————————————————————————————————</w:t>
      </w:r>
    </w:p>
    <w:p>
      <w:pPr>
        <w:spacing w:before="160" w:after="40" w:line="240" w:lineRule="auto"/>
      </w:pPr>
      <w:r>
        <w:rPr>
          <w:b/>
        </w:rPr>
        <w:t xml:space="preserve">[149] </w:t>
      </w:r>
      <w:hyperlink r:id="rId692">
        <w:r>
          <w:rPr>
            <w:color w:val="1155CC"/>
            <w:u w:val="single"/>
          </w:rPr>
          <w:t>高色饱和度宽温全彩电泳胶体晶体显示器</w:t>
        </w:r>
      </w:hyperlink>
    </w:p>
    <w:p>
      <w:pPr>
        <w:spacing w:before="0" w:after="80"/>
      </w:pPr>
      <w:r>
        <w:rPr>
          <w:i/>
          <w:sz w:val="20"/>
        </w:rPr>
        <w:t>EN: Wide‐Temperature Full‐Color Electrophoretic Colloidal Crystal Displays With High Color Saturation</w:t>
      </w:r>
    </w:p>
    <w:p>
      <w:pPr>
        <w:spacing w:before="0" w:after="120"/>
      </w:pPr>
      <w:r>
        <w:rPr>
          <w:b/>
        </w:rPr>
        <w:t xml:space="preserve">Source: </w:t>
      </w:r>
      <w:r>
        <w:t>Wiley: Advanced Materials: Table of Contents</w:t>
      </w:r>
      <w:r>
        <w:t xml:space="preserve">    </w:t>
      </w:r>
      <w:r>
        <w:rPr>
          <w:b/>
        </w:rPr>
        <w:t xml:space="preserve">Pub date: </w:t>
      </w:r>
      <w:r>
        <w:t>2026-07-25 14:53:18+00:00</w:t>
      </w:r>
      <w:r>
        <w:t xml:space="preserve">    </w:t>
      </w:r>
      <w:r>
        <w:rPr>
          <w:b/>
        </w:rPr>
        <w:t xml:space="preserve">DOI: </w:t>
      </w:r>
      <w:hyperlink r:id="rId693">
        <w:r>
          <w:rPr>
            <w:color w:val="1155CC"/>
            <w:u w:val="single"/>
          </w:rPr>
          <w:t>10.1002/adma.74318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泳胶体晶体显示器（ECCD）在下一代可持续、低能量全彩反射显示器方面具有巨大潜力，但其实际发展却因开关动力学缓慢和低温下可操作性差而受到阻碍。在这里，我们报告了一种宽温、低功耗的电泳彩色显示器，其基于在改性低共熔溶剂（MDES）介电介质中定制的碳壳涂层聚苯乙烯纳米球（PS@C）。在施加的电场下，PS@C纳米球由于其窄的尺寸分布和高的有效折射率（~1.67）而形成具有理想阻带的高度有序的3D胶体晶体。 PS@C 纳米球模仿孔雀羽毛中基于黑色素的光子结构，可实现具有高纯度和亮度的生动结构颜色。该系统表现出从深棕色关闭状态到全彩状态的动态颜色切换。它还可以在 160 nm 光谱范围内实现可逆的红蓝颜色调制，快速调谐速率为 ∼267 nm s</w:t>
      </w:r>
      <w:r>
        <w:t xml:space="preserve"> </w:t>
      </w:r>
      <w:r>
        <w:t>−1</w:t>
      </w:r>
      <w:r>
        <w:t xml:space="preserve"> </w:t>
      </w:r>
      <w:r>
        <w:t>。 MDES 介导的 ECCD 展示了器件在 45°C 至 -20°C 的宽温度范围内可靠运行。这在冷链物流展示、寒冷地区户外电子标签等领域呈现出独特的应用前景。</w:t>
      </w:r>
    </w:p>
    <w:p>
      <w:pPr>
        <w:spacing w:before="0" w:after="200" w:lineRule="auto" w:line="276"/>
      </w:pPr>
      <w:r>
        <w:rPr>
          <w:b/>
        </w:rPr>
        <w:t xml:space="preserve">Abstract (EN): </w:t>
      </w:r>
      <w:r>
        <w:t>Electrophoretic colloidal crystal displays (ECCDs) hold great potential in next‐generation sustainable, low‐energy full‐color reflective displays, yet their practical development has been hindered by sluggish switching dynamics and poor operability at low temperatures. Here, we report a wide‐temperature, low‐power electrophoretic color display based on tailored carbon shell‐coated polystyrene nanospheres (PS@C) in a modified deep‐eutectic‐solvent (MDES) dielectric medium. Under an applied electric field, PS@C nanospheres form highly ordered 3D colloidal crystals with ideal stopbands due to their narrow size distribution and high effective refractive index (∼1.67). Mimicking melanin‐based photonic structures in peacock feathers, the PS@C nanospheres enable vivid structural colors with high purity and brightness. The system exhibits dynamic color switching from a dark‐brown off‐state to full‐color states. It also enables reversible red‐to‐blue color modulation over a spectral range of 160 nm, with a fast tuning rate of ∼267 nm s</w:t>
      </w:r>
      <w:r>
        <w:t xml:space="preserve"> </w:t>
      </w:r>
      <w:r>
        <w:t>−1</w:t>
      </w:r>
      <w:r>
        <w:t xml:space="preserve"> </w:t>
      </w:r>
      <w:r>
        <w:t>. The MDES‐mediated ECCD demonstrates reliable device operation over a wide temperature range from 45°C down to −20°C. This presents unique application prospects in fields such as cold‐chain logistics displays and outdoor electronic tags in cold regions.</w:t>
      </w:r>
    </w:p>
    <w:p>
      <w:pPr>
        <w:spacing w:before="120" w:after="120"/>
      </w:pPr>
      <w:r>
        <w:rPr>
          <w:sz w:val="18"/>
        </w:rPr>
        <w:t>——————————————————————————————————————————————————————————————————————</w:t>
      </w:r>
    </w:p>
    <w:p>
      <w:pPr>
        <w:spacing w:before="160" w:after="40" w:line="240" w:lineRule="auto"/>
      </w:pPr>
      <w:r>
        <w:rPr>
          <w:b/>
        </w:rPr>
        <w:t xml:space="preserve">[150] </w:t>
      </w:r>
      <w:hyperlink r:id="rId694">
        <w:r>
          <w:rPr>
            <w:color w:val="1155CC"/>
            <w:u w:val="single"/>
          </w:rPr>
          <w:t>用于片上光谱成像的垂直带隙级联钙钛矿单晶膜异质结</w:t>
        </w:r>
      </w:hyperlink>
    </w:p>
    <w:p>
      <w:pPr>
        <w:spacing w:before="0" w:after="80"/>
      </w:pPr>
      <w:r>
        <w:rPr>
          <w:i/>
          <w:sz w:val="20"/>
        </w:rPr>
        <w:t>EN: A Vertically Bandgap‐Cascaded Perovskite Single‐Crystal Film Heterojunction for On‐Chip Spectral Imaging</w:t>
      </w:r>
    </w:p>
    <w:p>
      <w:pPr>
        <w:spacing w:before="0" w:after="120"/>
      </w:pPr>
      <w:r>
        <w:rPr>
          <w:b/>
        </w:rPr>
        <w:t xml:space="preserve">Source: </w:t>
      </w:r>
      <w:r>
        <w:t>Wiley: Advanced Materials: Table of Contents</w:t>
      </w:r>
      <w:r>
        <w:t xml:space="preserve">    </w:t>
      </w:r>
      <w:r>
        <w:rPr>
          <w:b/>
        </w:rPr>
        <w:t xml:space="preserve">Pub date: </w:t>
      </w:r>
      <w:r>
        <w:t>2026-07-25 14:55:21+00:00</w:t>
      </w:r>
      <w:r>
        <w:t xml:space="preserve">    </w:t>
      </w:r>
      <w:r>
        <w:rPr>
          <w:b/>
        </w:rPr>
        <w:t xml:space="preserve">DOI: </w:t>
      </w:r>
      <w:hyperlink r:id="rId695">
        <w:r>
          <w:rPr>
            <w:color w:val="1155CC"/>
            <w:u w:val="single"/>
          </w:rPr>
          <w:t>10.1002/adma.74281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片上光谱成像对于便携式传感、精密检测、生物医学分析和智能视觉系统极具吸引力，但在紧凑的设备架构中同时实现快速响应和准确的光谱解码仍然具有挑战性。在这里，我们开发了一种用于计算光谱成像的垂直带隙级联钙钛矿单晶薄膜异质结。整体式 MAPbCl</w:t>
      </w:r>
      <w:r>
        <w:rPr>
          <w:vertAlign w:val="subscript"/>
        </w:rPr>
        <w:t>3</w:t>
      </w:r>
      <w:r>
        <w:t>/MAPbBr</w:t>
      </w:r>
      <w:r>
        <w:rPr>
          <w:vertAlign w:val="subscript"/>
        </w:rPr>
        <w:t>3</w:t>
      </w:r>
      <w:r>
        <w:t>/MAPbI</w:t>
      </w:r>
      <w:r>
        <w:rPr>
          <w:vertAlign w:val="subscript"/>
        </w:rPr>
        <w:t>3</w:t>
      </w:r>
      <w:r>
        <w:t>单晶薄膜异质结（∼200 µm）通过顺序溶液外延制造，将波长相关的吸收深度与阶梯型 I 型能带排列相结合，实现了在整个器件厚度上的偏置极性可切换和深度选择性载流子收集。该设计产生电可编程光谱响应代码，同时保持高量子效率和快速光响应。该器件的最大外量子效率 (EQE) 约为 82%，上升时间短至 8 µs，峰值波长精度约为 1.4 nm，光谱分辨率约为 2.7 nm，宽带运行范围为 400-820 nm。薄膜晶体管基板上的集成进一步实现了高光谱成像和精确的光谱/颜色重建，凸显了垂直工程钙钛矿异质结作为紧凑、高性能光谱成像的有前途的平台。</w:t>
      </w:r>
    </w:p>
    <w:p>
      <w:pPr>
        <w:spacing w:before="0" w:after="200" w:lineRule="auto" w:line="276"/>
      </w:pPr>
      <w:r>
        <w:rPr>
          <w:b/>
        </w:rPr>
        <w:t xml:space="preserve">Abstract (EN): </w:t>
      </w:r>
      <w:r>
        <w:t>On‐chip spectral imaging is highly attractive for portable sensing, precision inspection, biomedical analysis, and intelligent vision systems, yet it remains challenging to simultaneously achieve fast response and accurate spectral decoding within a compact device architecture. Here, we develop a vertically bandgap‐cascaded perovskite single‐crystal film heterojunction for computational spectral imaging. The monolithic MAPbCl</w:t>
      </w:r>
      <w:r>
        <w:rPr>
          <w:vertAlign w:val="subscript"/>
        </w:rPr>
        <w:t>3</w:t>
      </w:r>
      <w:r>
        <w:t>/MAPbBr</w:t>
      </w:r>
      <w:r>
        <w:rPr>
          <w:vertAlign w:val="subscript"/>
        </w:rPr>
        <w:t>3</w:t>
      </w:r>
      <w:r>
        <w:t>/MAPbI</w:t>
      </w:r>
      <w:r>
        <w:rPr>
          <w:vertAlign w:val="subscript"/>
        </w:rPr>
        <w:t>3</w:t>
      </w:r>
      <w:r>
        <w:t>single‐crystal film heterojunction (∼200 µm), fabricated by sequential solution epitaxy, integrates wavelength‐dependent absorption depth with staircase type‐I band alignment, enabling bias‐polarity‐switchable and depth‐selective carrier collection across the device thickness. This design produces electrically programmable spectral response codes while preserving high quantum efficiency and rapid photoresponse. The device exhibits a maximum external quantum efficiency (EQE) of ∼82%, a rise time as short as 8 µs, a peak‐wavelength accuracy of ∼1.4 nm, a spectral resolution of ∼2.7 nm, and broadband operation spanning ∼400–820 nm. Integration on a thin‐film transistor substrate further enables hyperspectral imaging and accurate spectral/color reconstruction, highlighting vertically engineered perovskite heterojunctions as a promising platform for compact, high‐performance spectral imaging.</w:t>
      </w:r>
    </w:p>
    <w:p>
      <w:pPr>
        <w:spacing w:before="120" w:after="120"/>
      </w:pPr>
      <w:r>
        <w:rPr>
          <w:sz w:val="18"/>
        </w:rPr>
        <w:t>——————————————————————————————————————————————————————————————————————</w:t>
      </w:r>
    </w:p>
    <w:p>
      <w:pPr>
        <w:spacing w:before="160" w:after="40" w:line="240" w:lineRule="auto"/>
      </w:pPr>
      <w:r>
        <w:rPr>
          <w:b/>
        </w:rPr>
        <w:t xml:space="preserve">[151] </w:t>
      </w:r>
      <w:hyperlink r:id="rId696">
        <w:r>
          <w:rPr>
            <w:color w:val="1155CC"/>
            <w:u w:val="single"/>
          </w:rPr>
          <w:t>基于生物集成电池的电子药品</w:t>
        </w:r>
      </w:hyperlink>
    </w:p>
    <w:p>
      <w:pPr>
        <w:spacing w:before="0" w:after="80"/>
      </w:pPr>
      <w:r>
        <w:rPr>
          <w:i/>
          <w:sz w:val="20"/>
        </w:rPr>
        <w:t>EN: Biointegrated Battery‐Based Electroceuticals</w:t>
      </w:r>
    </w:p>
    <w:p>
      <w:pPr>
        <w:spacing w:before="0" w:after="120"/>
      </w:pPr>
      <w:r>
        <w:rPr>
          <w:b/>
        </w:rPr>
        <w:t xml:space="preserve">Source: </w:t>
      </w:r>
      <w:r>
        <w:t>Wiley: Advanced Materials: Table of Contents</w:t>
      </w:r>
      <w:r>
        <w:t xml:space="preserve">    </w:t>
      </w:r>
      <w:r>
        <w:rPr>
          <w:b/>
        </w:rPr>
        <w:t xml:space="preserve">Pub date: </w:t>
      </w:r>
      <w:r>
        <w:t>2026-07-25 14:58:55+00:00</w:t>
      </w:r>
      <w:r>
        <w:t xml:space="preserve">    </w:t>
      </w:r>
      <w:r>
        <w:rPr>
          <w:b/>
        </w:rPr>
        <w:t xml:space="preserve">DOI: </w:t>
      </w:r>
      <w:hyperlink r:id="rId697">
        <w:r>
          <w:rPr>
            <w:color w:val="1155CC"/>
            <w:u w:val="single"/>
          </w:rPr>
          <w:t>10.1002/adma.74265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集成电池为组织再生和疾病治疗提供创新技术平台。除了充当医疗设备的电源之外，它们还通过产生局部电场（EF）和释放对治疗有益的产品来积极促进治疗。因此，生物集成电池支持广泛的生物医学应用，包括组织再生、癌症治疗、心脏起搏和药物输送。本综述概述了基于生物集成电池的电药物的最新进展，强调了它们在电刺激、电化学产品介导的治疗和药物输送方面的应用。本综述简要概述了基于电池的电催化剂的工作原理，重点关注其治疗机制，并强调其在推进疾病治疗策略方面的独特贡献。最后，我们讨论了未来的方向，并就基于电池的电疗法技术在下一代生物医学治疗中的广泛采用提供了见解。</w:t>
      </w:r>
    </w:p>
    <w:p>
      <w:pPr>
        <w:spacing w:before="0" w:after="200" w:lineRule="auto" w:line="276"/>
      </w:pPr>
      <w:r>
        <w:rPr>
          <w:b/>
        </w:rPr>
        <w:t xml:space="preserve">Abstract (EN): </w:t>
      </w:r>
      <w:r>
        <w:t>Biointegrated batteries offer innovative technological platforms for tissue regeneration and disease treatment. Beyond serving as a power source for medical devices, they actively contribute to therapy by generating localized electric fields (EFs) and releasing therapeutically beneficial products. Accordingly, biointegrated batteries support a wide range of biomedical applications, including tissue regeneration, cancer therapy, cardiac pacing, and drug delivery. This review offers an overview of the recent advances in biointegrated battery‐based electroceuticals, emphasizing their applications in electrostimulation, electrochemical product‐mediated therapy, and drug delivery. This review provides a brief overview of the working principles of battery‐based electrocatalysts, focusing on their therapeutic mechanisms and highlighting their unique contributions in advancing disease treatment strategies. Finally, we discuss the future directions and provide insights into the broad adoption of battery‐based electroceutical technologies in next‐generation biomedical therapeutics.</w:t>
      </w:r>
    </w:p>
    <w:p>
      <w:pPr>
        <w:spacing w:before="120" w:after="120"/>
      </w:pPr>
      <w:r>
        <w:rPr>
          <w:sz w:val="18"/>
        </w:rPr>
        <w:t>——————————————————————————————————————————————————————————————————————</w:t>
      </w:r>
    </w:p>
    <w:p>
      <w:pPr>
        <w:spacing w:before="160" w:after="40" w:line="240" w:lineRule="auto"/>
      </w:pPr>
      <w:r>
        <w:rPr>
          <w:b/>
        </w:rPr>
        <w:t xml:space="preserve">[152] </w:t>
      </w:r>
      <w:hyperlink r:id="rId698">
        <w:r>
          <w:rPr>
            <w:color w:val="1155CC"/>
            <w:u w:val="single"/>
          </w:rPr>
          <w:t>CVD 生长的混合 MoSe2-WSe2 横向/垂直异质结构，具有强层间激子发射</w:t>
        </w:r>
      </w:hyperlink>
    </w:p>
    <w:p>
      <w:pPr>
        <w:spacing w:before="0" w:after="80"/>
      </w:pPr>
      <w:r>
        <w:rPr>
          <w:i/>
          <w:sz w:val="20"/>
        </w:rPr>
        <w:t>EN: CVD Grown Hybrid MoSe2–WSe2 Lateral/Vertical Heterostructures With Strong Interlayer Exciton Emission</w:t>
      </w:r>
    </w:p>
    <w:p>
      <w:pPr>
        <w:spacing w:before="0" w:after="120"/>
      </w:pPr>
      <w:r>
        <w:rPr>
          <w:b/>
        </w:rPr>
        <w:t xml:space="preserve">Source: </w:t>
      </w:r>
      <w:r>
        <w:t>Wiley: Advanced Materials: Table of Contents</w:t>
      </w:r>
      <w:r>
        <w:t xml:space="preserve">    </w:t>
      </w:r>
      <w:r>
        <w:rPr>
          <w:b/>
        </w:rPr>
        <w:t xml:space="preserve">Pub date: </w:t>
      </w:r>
      <w:r>
        <w:t>2026-07-25 14:59:39+00:00</w:t>
      </w:r>
      <w:r>
        <w:t xml:space="preserve">    </w:t>
      </w:r>
      <w:r>
        <w:rPr>
          <w:b/>
        </w:rPr>
        <w:t xml:space="preserve">DOI: </w:t>
      </w:r>
      <w:hyperlink r:id="rId699">
        <w:r>
          <w:rPr>
            <w:color w:val="1155CC"/>
            <w:u w:val="single"/>
          </w:rPr>
          <w:t>10.1002/adma.74172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二维过渡金属二硫属化物 (TMD) 的横向异质结构 (LHS) 提供了一个强大的平台来研究原子锐界面处的光子和电子现象。然而，他们的受控工程，包括调整横向域尺寸以及与其他二维材料集成到垂直范德华异质结构中，仍然具有挑战性。在这里，我们提出了一种合成两种类型异质结构（HS）的简便途径，其中由 MoSe 单层（ML）组成</w:t>
      </w:r>
      <w:r>
        <w:rPr>
          <w:vertAlign w:val="subscript"/>
        </w:rPr>
        <w:t>2</w:t>
      </w:r>
      <w:r>
        <w:t>和硒化钨</w:t>
      </w:r>
      <w:r>
        <w:rPr>
          <w:vertAlign w:val="subscript"/>
        </w:rPr>
        <w:t>2</w:t>
      </w:r>
      <w:r>
        <w:t>- 纯横向 (HS I) 和混合横向/垂直 (HS II) - 使用过渡金属盐的液体前体和化学气相沉积 (CVD)。根据生长参数，可以调整异质结构类型及其横向尺寸。我们通过互补的光谱和显微技术表征了 HS I 和 HS II 的特性，包括拉曼光谱和光致发光 (PL) 光谱、光学和原子力显微镜 (AFM) 以及扫描和透射电子显微镜 (TEM)。 PL 测量揭示了 MoSe 中强烈的层间激子 (IE) 发射</w:t>
      </w:r>
      <w:r>
        <w:rPr>
          <w:vertAlign w:val="subscript"/>
        </w:rPr>
        <w:t>2</w:t>
      </w:r>
      <w:r>
        <w:t>/硒化钨</w:t>
      </w:r>
      <w:r>
        <w:rPr>
          <w:vertAlign w:val="subscript"/>
        </w:rPr>
        <w:t>2</w:t>
      </w:r>
      <w:r>
        <w:t>HS II 区域，该区域在 4 K 处的光谱中占主导地位，并且一直持续到室温 (RT)。这些结果证明了所生长的 HS 的高光学质量，这与所开发方法的可扩展性相结合，为基础研究和器件铺平了道路。</w:t>
      </w:r>
    </w:p>
    <w:p>
      <w:pPr>
        <w:spacing w:before="0" w:after="200" w:lineRule="auto" w:line="276"/>
      </w:pPr>
      <w:r>
        <w:rPr>
          <w:b/>
        </w:rPr>
        <w:t xml:space="preserve">Abstract (EN): </w:t>
      </w:r>
      <w:r>
        <w:t>Lateral heterostructures (LHSs) of 2D transition metal dichalcogenides (TMDs) offer a powerful platform to investigate photonic and electronic phenomena at atomically sharp interfaces. However, their controlled engineering, including tuning lateral domain size and integration into vertical van der Waals heterostructures with other 2D materials, remains challenging. Here, we present a facile route for the synthesis of two types of heterostructures (HSs), consisting of monolayers (MLs) of MoSe</w:t>
      </w:r>
      <w:r>
        <w:rPr>
          <w:vertAlign w:val="subscript"/>
        </w:rPr>
        <w:t>2</w:t>
      </w:r>
      <w:r>
        <w:t>and WSe</w:t>
      </w:r>
      <w:r>
        <w:rPr>
          <w:vertAlign w:val="subscript"/>
        </w:rPr>
        <w:t>2</w:t>
      </w:r>
      <w:r>
        <w:t>—purely lateral (HS I) and hybrid lateral/vertical (HS II)—using liquid precursors of transition metal salts and chemical vapor deposition (CVD). Depending on the growth parameters, the heterostructure type and its lateral dimensions can be adjusted. We characterized properties of the HS I and HS II by complementary spectroscopic and microscopic techniques, including Raman and photoluminescence (PL) spectroscopy, optical and atomic force microscopy (AFM), and scanning and transmission electron microscopy (TEM). The PL measurements reveal strong interlayer exciton (IE) emission in the MoSe</w:t>
      </w:r>
      <w:r>
        <w:rPr>
          <w:vertAlign w:val="subscript"/>
        </w:rPr>
        <w:t>2</w:t>
      </w:r>
      <w:r>
        <w:t>/WSe</w:t>
      </w:r>
      <w:r>
        <w:rPr>
          <w:vertAlign w:val="subscript"/>
        </w:rPr>
        <w:t>2</w:t>
      </w:r>
      <w:r>
        <w:t>region of HS II, which dominates the spectrum at 4 K and persists up to room temperature (RT). These results demonstrate high optical quality of the grown HSs, which in combination with the scalability of the developed approach, pave the way for fundamental studies and device applications based on these unique 2D quantum materials.</w:t>
      </w:r>
    </w:p>
    <w:p>
      <w:pPr>
        <w:spacing w:before="120" w:after="120"/>
      </w:pPr>
      <w:r>
        <w:rPr>
          <w:sz w:val="18"/>
        </w:rPr>
        <w:t>——————————————————————————————————————————————————————————————————————</w:t>
      </w:r>
    </w:p>
    <w:p>
      <w:pPr>
        <w:spacing w:before="160" w:after="40" w:line="240" w:lineRule="auto"/>
      </w:pPr>
      <w:r>
        <w:rPr>
          <w:b/>
        </w:rPr>
        <w:t xml:space="preserve">[153] </w:t>
      </w:r>
      <w:hyperlink r:id="rId700">
        <w:r>
          <w:rPr>
            <w:color w:val="1155CC"/>
            <w:u w:val="single"/>
          </w:rPr>
          <w:t>手性编码生物材料调节移植中的局部和全身免疫反应</w:t>
        </w:r>
      </w:hyperlink>
    </w:p>
    <w:p>
      <w:pPr>
        <w:spacing w:before="0" w:after="80"/>
      </w:pPr>
      <w:r>
        <w:rPr>
          <w:i/>
          <w:sz w:val="20"/>
        </w:rPr>
        <w:t>EN: Chirality‐Encoded Biomaterials Regulate Local and Systemic Immune Responses in Transplantation</w:t>
      </w:r>
    </w:p>
    <w:p>
      <w:pPr>
        <w:spacing w:before="0" w:after="120"/>
      </w:pPr>
      <w:r>
        <w:rPr>
          <w:b/>
        </w:rPr>
        <w:t xml:space="preserve">Source: </w:t>
      </w:r>
      <w:r>
        <w:t>Wiley: Advanced Materials: Table of Contents</w:t>
      </w:r>
      <w:r>
        <w:t xml:space="preserve">    </w:t>
      </w:r>
      <w:r>
        <w:rPr>
          <w:b/>
        </w:rPr>
        <w:t xml:space="preserve">Pub date: </w:t>
      </w:r>
      <w:r>
        <w:t>2026-07-25 15:03:09+00:00</w:t>
      </w:r>
      <w:r>
        <w:t xml:space="preserve">    </w:t>
      </w:r>
      <w:r>
        <w:rPr>
          <w:b/>
        </w:rPr>
        <w:t xml:space="preserve">DOI: </w:t>
      </w:r>
      <w:hyperlink r:id="rId701">
        <w:r>
          <w:rPr>
            <w:color w:val="1155CC"/>
            <w:u w:val="single"/>
          </w:rPr>
          <w:t>10.1002/adma.74185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生物材料的免疫调节提供了在无需全身免疫抑制的情况下实现局部移植物接受的机会。在这里，我们证明微孔退火颗粒（MAP）水凝胶内的分子手性控制皮肤移植中的先天性和适应性免疫反应，并与同种免疫结果的调节相关。通过设计由与 L 肽或 D 肽交联的微凝胶组成的可注射 MAP 支架，我们发现手性指导引流淋巴结中的早期抗原呈递细胞 (APC) 激活和运输，从而导致不同的 T 细胞极化特征。由 L-和 D-微凝胶组成的混合手性制剂 (R-MAP) 与减少 APC 共刺激信号（MHC II、CD80、CD86）相关，并在同基因移植物中保留移植物结构和组织整合。在完全同种异体皮肤移植中，局部混合手性 MAP 植入与减少供体特异性抗体 (DSA) 形成以及减弱抗物质和抗供体 IgG 反应相关，从而在研究的实验条件下实现体液同种免疫的持续减弱。这些发现确立了生物材料成分的立体化学控制作为调节 APC-T-B 细胞串扰的设计原则，将局部材料线索与系统免疫结果联系起来。因此，混合手性 MAP 支架为空间受限、手性引导的免疫调节提供了一个多功能平台，对移植、再生医学和生物材料驱动的耐受策略具有影响。</w:t>
      </w:r>
    </w:p>
    <w:p>
      <w:pPr>
        <w:spacing w:before="0" w:after="200" w:lineRule="auto" w:line="276"/>
      </w:pPr>
      <w:r>
        <w:rPr>
          <w:b/>
        </w:rPr>
        <w:t xml:space="preserve">Abstract (EN): </w:t>
      </w:r>
      <w:r>
        <w:t>Biomaterial‐based immune modulation offers an opportunity to achieve localized graft acceptance without systemic immunosuppression. Here, we demonstrate that molecular chirality within microporous annealed particle (MAP) hydrogels governs innate and adaptive immune responses in skin transplantation and is associated with modulation of alloimmune outcomes. By engineering injectable MAP scaffolds composed of microgels crosslinked with L‐ or D‐peptides, we show that chirality directs early antigen‐presenting cell (APC) activation and trafficking in draining lymph nodes, leading to distinct T cell polarization profiles. A mixed‐chirality formulation (R‐MAP) composed of L‐ and D‐microgels is associated with reduced APC co‐stimulatory signaling (MHC II, CD80, CD86) and preserves graft architecture and tissue integration in syngeneic transplants. In fully allogeneic skin grafts, local mixed‐chirality MAP implantation is associated with reduced donor‐specific antibody (DSA) formation and attenuated antimaterial and antidonor IgG responses, achieving sustained attenuation of humoral alloimmunity within the experimental conditions studied. These findings establish stereochemical control of biomaterial composition as a design principle for modulating APC‐T‐B cell crosstalk, linking local material cues to systemic immune outcomes. Mixed‐chirality MAP scaffolds thus provide a versatile platform for spatially confined, chirality‐guided immunomodulation, with implications for transplantation, regenerative medicine, and biomaterial‐driven tolerance strategies.</w:t>
      </w:r>
    </w:p>
    <w:p>
      <w:pPr>
        <w:spacing w:before="120" w:after="120"/>
      </w:pPr>
      <w:r>
        <w:rPr>
          <w:sz w:val="18"/>
        </w:rPr>
        <w:t>——————————————————————————————————————————————————————————————————————</w:t>
      </w:r>
    </w:p>
    <w:p>
      <w:pPr>
        <w:spacing w:before="160" w:after="40" w:line="240" w:lineRule="auto"/>
      </w:pPr>
      <w:r>
        <w:rPr>
          <w:b/>
        </w:rPr>
        <w:t xml:space="preserve">[154] </w:t>
      </w:r>
      <w:hyperlink r:id="rId702">
        <w:r>
          <w:rPr>
            <w:color w:val="1155CC"/>
            <w:u w:val="single"/>
          </w:rPr>
          <w:t>通过胶体化学相选择性合成单层 TMD 的通用策略</w:t>
        </w:r>
      </w:hyperlink>
    </w:p>
    <w:p>
      <w:pPr>
        <w:spacing w:before="0" w:after="80"/>
      </w:pPr>
      <w:r>
        <w:rPr>
          <w:i/>
          <w:sz w:val="20"/>
        </w:rPr>
        <w:t>EN: Universal Strategy for Phase‐Selective Synthesis of Monolayer TMDs via Colloidal Chemistry</w:t>
      </w:r>
    </w:p>
    <w:p>
      <w:pPr>
        <w:spacing w:before="0" w:after="120"/>
      </w:pPr>
      <w:r>
        <w:rPr>
          <w:b/>
        </w:rPr>
        <w:t xml:space="preserve">Source: </w:t>
      </w:r>
      <w:r>
        <w:t>Wiley: Advanced Materials: Table of Contents</w:t>
      </w:r>
      <w:r>
        <w:t xml:space="preserve">    </w:t>
      </w:r>
      <w:r>
        <w:rPr>
          <w:b/>
        </w:rPr>
        <w:t xml:space="preserve">Pub date: </w:t>
      </w:r>
      <w:r>
        <w:t>2026-07-25 15:08:55+00:00</w:t>
      </w:r>
      <w:r>
        <w:t xml:space="preserve">    </w:t>
      </w:r>
      <w:r>
        <w:rPr>
          <w:b/>
        </w:rPr>
        <w:t xml:space="preserve">DOI: </w:t>
      </w:r>
      <w:hyperlink r:id="rId703">
        <w:r>
          <w:rPr>
            <w:color w:val="1155CC"/>
            <w:u w:val="single"/>
          </w:rPr>
          <w:t>10.1002/adma.74335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单层过渡金属二硫属化物（TMD）的胶体合成在均匀的尺寸、厚度和晶相方面仍然具有挑战性。虽然相工程取得了重大进展，但在单一化学合成策略中跨多个 TMD 系统按需选择 2H 和 1T' 相的统一化学策略仍然难以实现。在这里，我们报告了一种通用胶体策略，用于在四种代表性 TMD 中选择性合成 2H 和 1T' 相 - MoS2</w:t>
      </w:r>
      <w:r>
        <w:rPr>
          <w:vertAlign w:val="subscript"/>
        </w:rPr>
        <w:t>2</w:t>
      </w:r>
      <w:r>
        <w:t>, 硒化钼</w:t>
      </w:r>
      <w:r>
        <w:rPr>
          <w:vertAlign w:val="subscript"/>
        </w:rPr>
        <w:t>2</w:t>
      </w:r>
      <w:r>
        <w:t>, WS</w:t>
      </w:r>
      <w:r>
        <w:rPr>
          <w:vertAlign w:val="subscript"/>
        </w:rPr>
        <w:t>2</w:t>
      </w:r>
      <w:r>
        <w:t>, 和 WSe</w:t>
      </w:r>
      <w:r>
        <w:rPr>
          <w:vertAlign w:val="subscript"/>
        </w:rPr>
        <w:t>2</w:t>
      </w:r>
      <w:r>
        <w:t>- 通过调整金属与硫族元素前驱体的比例（[M]:[X]）和配体组成。我们证明，W 基 TMD 中的相选择主要受前驱体化学计量影响：相对较低的硫族元素比例有利于亚稳态 1T' 相，而较高的比例则稳定热力学 2H 相。相比之下，无论前体比例如何，Mo 基 TMD 仍锁定在 2H 相；然而，将油酸引入基于油胺的配体环境中会成功合成1T'相。这项工作首次提出了使用常见前体和配体相选择性合成所有四种 TMD 类似物的通用方法。这些结果为TMDs的相选择性胶体合成建立了通用的设计原理，并为探索相依赖的问题提供了基础。</w:t>
      </w:r>
    </w:p>
    <w:p>
      <w:pPr>
        <w:spacing w:before="0" w:after="200" w:lineRule="auto" w:line="276"/>
      </w:pPr>
      <w:r>
        <w:rPr>
          <w:b/>
        </w:rPr>
        <w:t xml:space="preserve">Abstract (EN): </w:t>
      </w:r>
      <w:r>
        <w:t>Colloidal synthesis of monolayer transition metal dichalcogenides (TMDs) remains challenging regarding uniform size, thickness, and crystalline phase. While significant progress has been made in phase engineering, a unified chemical strategy for on‐demand selection of both 2H and 1T′ phases across multiple TMD systems within a single chemical synthesis strategy has remained elusive. Here, we report a universal colloidal strategy for selective synthesis of both 2H and 1T′ phases across four representative TMDs — MoS</w:t>
      </w:r>
      <w:r>
        <w:rPr>
          <w:vertAlign w:val="subscript"/>
        </w:rPr>
        <w:t>2</w:t>
      </w:r>
      <w:r>
        <w:t>, MoSe</w:t>
      </w:r>
      <w:r>
        <w:rPr>
          <w:vertAlign w:val="subscript"/>
        </w:rPr>
        <w:t>2</w:t>
      </w:r>
      <w:r>
        <w:t>, WS</w:t>
      </w:r>
      <w:r>
        <w:rPr>
          <w:vertAlign w:val="subscript"/>
        </w:rPr>
        <w:t>2</w:t>
      </w:r>
      <w:r>
        <w:t>, and WSe</w:t>
      </w:r>
      <w:r>
        <w:rPr>
          <w:vertAlign w:val="subscript"/>
        </w:rPr>
        <w:t>2</w:t>
      </w:r>
      <w:r>
        <w:t>— by tuning the metal‐to‐chalcogen precursor ratio ([M]:[X]) and ligand composition. We demonstrate that phase selection in W‐based TMDs is governed primarily by precursor stoichiometry: relatively lower chalcogen ratios favor the metastable 1T′ phase, while higher ratios stabilize the thermodynamic 2H phase. In contrast, Mo‐based TMDs remain locked in the 2H phase regardless of precursor ratios; however, the introduction of oleic acid into an oleylamine‐based ligand environment induces successful synthesis of 1T′ phase. This work represents, for the first time, a general approach for phase‐selective synthesis of all four TMD analogues using common precursors and ligands. These results establish a generalized design principle for phase‐selective colloidal synthesis of TMDs and provide a foundation for exploring phase‐dependent quantum phenomena and functional properties.</w:t>
      </w:r>
    </w:p>
    <w:p>
      <w:pPr>
        <w:spacing w:before="120" w:after="120"/>
      </w:pPr>
      <w:r>
        <w:rPr>
          <w:sz w:val="18"/>
        </w:rPr>
        <w:t>——————————————————————————————————————————————————————————————————————</w:t>
      </w:r>
    </w:p>
    <w:p>
      <w:pPr>
        <w:spacing w:before="160" w:after="40" w:line="240" w:lineRule="auto"/>
      </w:pPr>
      <w:r>
        <w:rPr>
          <w:b/>
        </w:rPr>
        <w:t xml:space="preserve">[155] </w:t>
      </w:r>
      <w:hyperlink r:id="rId704">
        <w:r>
          <w:rPr>
            <w:color w:val="1155CC"/>
            <w:u w:val="single"/>
          </w:rPr>
          <w:t>通过超声界面焊接实现应变不敏感电子产品的免活化液态金属复合弹性体</w:t>
        </w:r>
      </w:hyperlink>
    </w:p>
    <w:p>
      <w:pPr>
        <w:spacing w:before="0" w:after="80"/>
      </w:pPr>
      <w:r>
        <w:rPr>
          <w:i/>
          <w:sz w:val="20"/>
        </w:rPr>
        <w:t>EN: Activation‐Free Liquid‐Metal Composite Elastomers via Ultrasonic‐Enabled Interface Welding for Strain‐Insensitive Electronics</w:t>
      </w:r>
    </w:p>
    <w:p>
      <w:pPr>
        <w:spacing w:before="0" w:after="120"/>
      </w:pPr>
      <w:r>
        <w:rPr>
          <w:b/>
        </w:rPr>
        <w:t xml:space="preserve">Source: </w:t>
      </w:r>
      <w:r>
        <w:t>Wiley: Advanced Materials: Table of Contents</w:t>
      </w:r>
      <w:r>
        <w:t xml:space="preserve">    </w:t>
      </w:r>
      <w:r>
        <w:rPr>
          <w:b/>
        </w:rPr>
        <w:t xml:space="preserve">Pub date: </w:t>
      </w:r>
      <w:r>
        <w:t>2026-07-25 15:10:26+00:00</w:t>
      </w:r>
      <w:r>
        <w:t xml:space="preserve">    </w:t>
      </w:r>
      <w:r>
        <w:rPr>
          <w:b/>
        </w:rPr>
        <w:t xml:space="preserve">DOI: </w:t>
      </w:r>
      <w:hyperlink r:id="rId705">
        <w:r>
          <w:rPr>
            <w:color w:val="1155CC"/>
            <w:u w:val="single"/>
          </w:rPr>
          <w:t>10.1002/adma.74044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液态金属（LM）的可拉伸电子产品通常受到其天然绝缘氧化物外壳的限制，通常需要破坏性的后激活或导致混合物的极端应变能力有限。在此，我们报告了一种免活化LM复合弹性体（ALCE），其在LM纳米颗粒和银纳米线（Ag NW）之间具有坚固的冶金界面。与传统的物理混合不同，我们利用声空化来促进原位合金化。随着溶剂随后蒸发，焊接部件优先沉积以产生宏观梯度结构。这建立了一个由富含聚合物的上层保护的连续导电底部网络，提供 2.4 × 10 的电导率</w:t>
      </w:r>
      <w:r>
        <w:rPr>
          <w:vertAlign w:val="subscript"/>
        </w:rPr>
        <w:t>6</w:t>
      </w:r>
      <w:r>
        <w:t>S/米。受益于这些坚固的焊接接头，ALCE 在高达 400% 应变的情况下表现出独特的初始电阻下降，补偿变形引起的电阻增加，以实现卓越的应变不敏感性（</w:t>
      </w:r>
      <w:r>
        <w:t xml:space="preserve"> </w:t>
      </w:r>
      <w:r>
        <w:t>收/收</w:t>
      </w:r>
      <w:r>
        <w:rPr>
          <w:vertAlign w:val="subscript"/>
        </w:rPr>
        <w:t>0</w:t>
      </w:r>
      <w:r>
        <w:t>= 1.8（1200% 应变）。最后，我们通过强大的可拉伸传感器和适合皮肤的人与动物交互系统展示了其实际性能，建立了高性能生物电子学的可扩展策略。</w:t>
      </w:r>
    </w:p>
    <w:p>
      <w:pPr>
        <w:spacing w:before="0" w:after="200" w:lineRule="auto" w:line="276"/>
      </w:pPr>
      <w:r>
        <w:rPr>
          <w:b/>
        </w:rPr>
        <w:t xml:space="preserve">Abstract (EN): </w:t>
      </w:r>
      <w:r>
        <w:t>Liquid metal (LM)‐based stretchable electronics are often limited by their native insulating oxide shell, typically necessitating destructive post‐activation or resulting in blends with limited extreme‐strain capabilities. Herein, we report an activation‐free LM composite elastomer (ALCE) featuring a robust metallurgical interface between LM nanoparticles and silver nanowires (Ag NWs). Unlike conventional physical mixing, we harness acoustic cavitation to facilitate in situ alloying. As the solvent subsequently evaporates, the welded components preferentially sediment to yield a macroscopic gradient architecture. This establishes a continuous conductive bottom network protected by a polymer‐rich upper layer, delivering a conductivity of 2.4 × 10</w:t>
      </w:r>
      <w:r>
        <w:rPr>
          <w:vertAlign w:val="subscript"/>
        </w:rPr>
        <w:t>6</w:t>
      </w:r>
      <w:r>
        <w:t>S/m. Benefiting from these robust welded junctions, the ALCE exhibits a distinctive initial decrease in resistance up to 400% strain, compensating for deformation‐induced resistance increases to achieve exceptional strain insensitivity (</w:t>
      </w:r>
      <w:r>
        <w:t xml:space="preserve"> </w:t>
      </w:r>
      <w:r>
        <w:t>R/R</w:t>
      </w:r>
      <w:r>
        <w:rPr>
          <w:vertAlign w:val="subscript"/>
        </w:rPr>
        <w:t>0</w:t>
      </w:r>
      <w:r>
        <w:t>= 1.8 at 1200% strain). Finally, we demonstrate its practical performance with robust stretchable sensors and a skin‐conformable human‐animal interactive system, establishing a scalable strategy toward high‐performance bioelectronics.</w:t>
      </w:r>
    </w:p>
    <w:p>
      <w:pPr>
        <w:spacing w:before="120" w:after="120"/>
      </w:pPr>
      <w:r>
        <w:rPr>
          <w:sz w:val="18"/>
        </w:rPr>
        <w:t>——————————————————————————————————————————————————————————————————————</w:t>
      </w:r>
    </w:p>
    <w:p>
      <w:pPr>
        <w:spacing w:before="160" w:after="40" w:line="240" w:lineRule="auto"/>
      </w:pPr>
      <w:r>
        <w:rPr>
          <w:b/>
        </w:rPr>
        <w:t xml:space="preserve">[156] </w:t>
      </w:r>
      <w:hyperlink r:id="rId706">
        <w:r>
          <w:rPr>
            <w:color w:val="1155CC"/>
            <w:u w:val="single"/>
          </w:rPr>
          <w:t>亚纳米曲率解锁石墨烯中的量子轨道挠曲电</w:t>
        </w:r>
      </w:hyperlink>
    </w:p>
    <w:p>
      <w:pPr>
        <w:spacing w:before="0" w:after="80"/>
      </w:pPr>
      <w:r>
        <w:rPr>
          <w:i/>
          <w:sz w:val="20"/>
        </w:rPr>
        <w:t>EN: Sub‐Nanometer Curvature Unlocks Quantum Orbital Flexoelectricity in Graphene</w:t>
      </w:r>
    </w:p>
    <w:p>
      <w:pPr>
        <w:spacing w:before="0" w:after="120"/>
      </w:pPr>
      <w:r>
        <w:rPr>
          <w:b/>
        </w:rPr>
        <w:t xml:space="preserve">Source: </w:t>
      </w:r>
      <w:r>
        <w:t>Wiley: Advanced Materials: Table of Contents</w:t>
      </w:r>
      <w:r>
        <w:t xml:space="preserve">    </w:t>
      </w:r>
      <w:r>
        <w:rPr>
          <w:b/>
        </w:rPr>
        <w:t xml:space="preserve">Pub date: </w:t>
      </w:r>
      <w:r>
        <w:t>2026-07-25 21:23:14+00:00</w:t>
      </w:r>
      <w:r>
        <w:t xml:space="preserve">    </w:t>
      </w:r>
      <w:r>
        <w:rPr>
          <w:b/>
        </w:rPr>
        <w:t xml:space="preserve">DOI: </w:t>
      </w:r>
      <w:hyperlink r:id="rId707">
        <w:r>
          <w:rPr>
            <w:color w:val="1155CC"/>
            <w:u w:val="single"/>
          </w:rPr>
          <w:t>10.1002/adma.202518224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挠曲电被定义为由应变梯度引起的极化，由于其机械灵活性和对变形的敏感性，在二维（2D）材料中尤其明显。在具有纳米级曲率的纳米结构中，弯曲可以扰乱面外 π 轨道，并产生超越经典晶格畸变的量子机械极化和静电调制。在这里，我们结合扫描探针测量和第一性原理计算，为石墨烯纳米皱纹（GNWrs）中的大本征量子轨道挠曲电性提供实验和理论证据，并估计极化密度为 P</w:t>
      </w:r>
      <w:r>
        <w:t xml:space="preserve"> </w:t>
      </w:r>
      <w:r>
        <w:t>th</w:t>
      </w:r>
      <w:r>
        <w:t xml:space="preserve"> </w:t>
      </w:r>
      <w:r>
        <w:t>～ 4 厘米</w:t>
      </w:r>
      <w:r>
        <w:t xml:space="preserve"> </w:t>
      </w:r>
      <w:r>
        <w:t>−2</w:t>
      </w:r>
      <w:r>
        <w:t xml:space="preserve"> </w:t>
      </w:r>
      <w:r>
        <w:t>和P</w:t>
      </w:r>
      <w:r>
        <w:t xml:space="preserve"> </w:t>
      </w:r>
      <w:r>
        <w:t>经验值</w:t>
      </w:r>
      <w:r>
        <w:t xml:space="preserve"> </w:t>
      </w:r>
      <w:r>
        <w:t>～ 1 厘米</w:t>
      </w:r>
      <w:r>
        <w:t xml:space="preserve"> </w:t>
      </w:r>
      <w:r>
        <w:t>−2</w:t>
      </w:r>
      <w:r>
        <w:t xml:space="preserve"> </w:t>
      </w:r>
      <w:r>
        <w:t>，超过中尺度系统 5 到 7 个数量级。这些 GNWrs 表现出高顶点曲率，经历原子级屈曲，并产生局部应变场，这得到了原子力显微镜分析和拉曼光谱的支持。开尔文探针力显微镜揭示了曲率相关的功函数变化，而传导原子力显微镜则检测到具有阈值电压的可重复的 GNWr 相关电流（</w:t>
      </w:r>
      <w:r>
        <w:t xml:space="preserve"> </w:t>
      </w:r>
      <w:r>
        <w:t>Φ</w:t>
      </w:r>
      <w:r>
        <w:t xml:space="preserve"> </w:t>
      </w:r>
      <w:r>
        <w:t>th</w:t>
      </w:r>
      <w:r>
        <w:t xml:space="preserve"> </w:t>
      </w:r>
      <w:r>
        <w:t>∼ 1 V) 与从头计算预测的能带偏移 (∼ 1.2 V) 相当。这些结果支持曲率引起的挠曲电偶极子重塑的解释</w:t>
      </w:r>
    </w:p>
    <w:p>
      <w:pPr>
        <w:spacing w:before="0" w:after="200" w:lineRule="auto" w:line="276"/>
      </w:pPr>
      <w:r>
        <w:rPr>
          <w:b/>
        </w:rPr>
        <w:t xml:space="preserve">Abstract (EN): </w:t>
      </w:r>
      <w:r>
        <w:t>Flexoelectricity, defined as polarization induced by strain gradients, is especially pronounced in two‐dimensional (2D) materials due to their mechanical flexibility and sensitivity to deformation. In nanostructures with nanometer‐scale curvature, bending can perturb out‐of‐plane π orbitals and generate quantum‐mechanical polarization and electrostatic modulation beyond classical lattice distortion alone. Here, we combine scanning probe measurements and first‐principles calculations to provide experimental and theoretical evidence for large intrinsic quantum orbital flexoelectricity in graphene nanowrinkles (GNWrs) with estimated polarization densities of P</w:t>
      </w:r>
      <w:r>
        <w:t xml:space="preserve"> </w:t>
      </w:r>
      <w:r>
        <w:t>th</w:t>
      </w:r>
      <w:r>
        <w:t xml:space="preserve"> </w:t>
      </w:r>
      <w:r>
        <w:t>∼ 4 C m</w:t>
      </w:r>
      <w:r>
        <w:t xml:space="preserve"> </w:t>
      </w:r>
      <w:r>
        <w:t>−2</w:t>
      </w:r>
      <w:r>
        <w:t xml:space="preserve"> </w:t>
      </w:r>
      <w:r>
        <w:t>and P</w:t>
      </w:r>
      <w:r>
        <w:t xml:space="preserve"> </w:t>
      </w:r>
      <w:r>
        <w:t>exp</w:t>
      </w:r>
      <w:r>
        <w:t xml:space="preserve"> </w:t>
      </w:r>
      <w:r>
        <w:t>∼ 1 C m</w:t>
      </w:r>
      <w:r>
        <w:t xml:space="preserve"> </w:t>
      </w:r>
      <w:r>
        <w:t>−2</w:t>
      </w:r>
      <w:r>
        <w:t xml:space="preserve"> </w:t>
      </w:r>
      <w:r>
        <w:t>, exceeding those of mesoscale systems by 5 to 7 orders of magnitude. These GNWrs exhibit high apex curvature, undergo atomic‐level buckling, and produce localized strain fields, as supported by atomic force microscopy analysis and Raman spectroscopy. Kelvin probe force microscopy reveals curvature‐dependent work‐function shifts, while conductive atomic force microscopy detects reproducible GNWr‐associated currents with a threshold voltage (</w:t>
      </w:r>
      <w:r>
        <w:t xml:space="preserve"> </w:t>
      </w:r>
      <w:r>
        <w:t>Φ</w:t>
      </w:r>
      <w:r>
        <w:t xml:space="preserve"> </w:t>
      </w:r>
      <w:r>
        <w:t>th</w:t>
      </w:r>
      <w:r>
        <w:t xml:space="preserve"> </w:t>
      </w:r>
      <w:r>
        <w:t>∼ 1 V) comparable to the band offset predicted by ab initio calculations (∼ 1.2 V). These results support an interpretation in which curvature‐induced flexoelectric dipoles reshape the local electronic potential. GNWrs therefore provide a structurally simple carbon‐based platform for probing quantum‐mechanical flexoelectricity.</w:t>
      </w:r>
    </w:p>
    <w:p>
      <w:pPr>
        <w:spacing w:before="120" w:after="120"/>
      </w:pPr>
      <w:r>
        <w:rPr>
          <w:sz w:val="18"/>
        </w:rPr>
        <w:t>——————————————————————————————————————————————————————————————————————</w:t>
      </w:r>
    </w:p>
    <w:p>
      <w:pPr>
        <w:spacing w:before="160" w:after="40" w:line="240" w:lineRule="auto"/>
      </w:pPr>
      <w:r>
        <w:rPr>
          <w:b/>
        </w:rPr>
        <w:t xml:space="preserve">[157] </w:t>
      </w:r>
      <w:hyperlink r:id="rId708">
        <w:r>
          <w:rPr>
            <w:color w:val="1155CC"/>
            <w:u w:val="single"/>
          </w:rPr>
          <w:t>通过三阶段自适应吸热水凝胶激活 TRPV1 驱动神经血管-免疫耦合</w:t>
        </w:r>
      </w:hyperlink>
    </w:p>
    <w:p>
      <w:pPr>
        <w:spacing w:before="0" w:after="80"/>
      </w:pPr>
      <w:r>
        <w:rPr>
          <w:i/>
          <w:sz w:val="20"/>
        </w:rPr>
        <w:t>EN: TRPV1 Activation via a Three‐Stage Adaptive Heat‐Absorbing Hydrogel Drives Neurovascular–Immune Coupling</w:t>
      </w:r>
    </w:p>
    <w:p>
      <w:pPr>
        <w:spacing w:before="0" w:after="120"/>
      </w:pPr>
      <w:r>
        <w:rPr>
          <w:b/>
        </w:rPr>
        <w:t xml:space="preserve">Source: </w:t>
      </w:r>
      <w:r>
        <w:t>Wiley: Advanced Materials: Table of Contents</w:t>
      </w:r>
      <w:r>
        <w:t xml:space="preserve">    </w:t>
      </w:r>
      <w:r>
        <w:rPr>
          <w:b/>
        </w:rPr>
        <w:t xml:space="preserve">Pub date: </w:t>
      </w:r>
      <w:r>
        <w:t>2026-07-25 21:25:21+00:00</w:t>
      </w:r>
      <w:r>
        <w:t xml:space="preserve">    </w:t>
      </w:r>
      <w:r>
        <w:rPr>
          <w:b/>
        </w:rPr>
        <w:t xml:space="preserve">DOI: </w:t>
      </w:r>
      <w:hyperlink r:id="rId709">
        <w:r>
          <w:rPr>
            <w:color w:val="1155CC"/>
            <w:u w:val="single"/>
          </w:rPr>
          <w:t>10.1002/adma.74307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神经血管-免疫耦合受损严重阻碍慢性伤口愈合。尽管瞬时受体电位香草酸 1 (TRPV1) 通道代表了一个有前途的治疗靶点，但其治疗应用仍然受到不精确激活的限制。在这里，我们开发了一种三阶段自适应吸热水凝胶（称为 HMCG），能够在近红外（NIR）照射下实现可编程和局部 TRPV1 激活。 HMCG 在 PVA 和 TSPBA 之间形成可逆的硼酸酯键，从而实现溶胶-气溶胶-凝胶的适应性，具有可喷雾处理、自适应和复杂伤口拓扑的保形覆盖。这种动态行为确保了刺激过程中紧密的生物界面接触和受控的热调节。嵌入的钙没食子酸金属有机框架（MOF）充当光热转换器，其中配体金属电荷转移和π-π堆积驱动快速非辐射弛豫，从而实现高效且可控的热吸收。短暂的近红外暴露会触发辣椒素和钙的持续释放</w:t>
      </w:r>
      <w:r>
        <w:t xml:space="preserve"> </w:t>
      </w:r>
      <w:r>
        <w:t>2+</w:t>
      </w:r>
      <w:r>
        <w:t xml:space="preserve"> </w:t>
      </w:r>
      <w:r>
        <w:t>，在 TRPV1 激活窗口内将局部温度升高至 43°C，并降低非特异性热过度刺激的风险。总之，三级自适应设计有助于缓冲热量，保持拓扑适应性，并同步温和的光热和生化线索。这种受控的光热化学耦合支持神经血管免疫耦合的恢复并促进糖尿病皮肤病变模型的组织再生</w:t>
      </w:r>
    </w:p>
    <w:p>
      <w:pPr>
        <w:spacing w:before="0" w:after="200" w:lineRule="auto" w:line="276"/>
      </w:pPr>
      <w:r>
        <w:rPr>
          <w:b/>
        </w:rPr>
        <w:t xml:space="preserve">Abstract (EN): </w:t>
      </w:r>
      <w:r>
        <w:t>Impaired neurovascular–immune coupling severely hampers chronic wound healing. Although the transient receptor potential vanilloid 1 (TRPV1) channel represents a promising therapeutic target, its therapeutic application remains limited by imprecise activation. Here, we developed a three‐stage adaptive and heat‐absorbing hydrogel (termed HMCG) that enables programmable and localized TRPV1 activation under near‐infrared (NIR) irradiation. HMCG forms reversible boronate ester bonds between PVA and TSPBA, enabling a sol–aerosol–gel adaptive with sprayable handling, self‐adaptation, and conformal coverage of complex wound topologies. This dynamic behavior ensures close biointerface contact and controlled thermal regulation during stimulation. Embedded Ca‐gallic acid metal–organic frameworks (MOFs) act as photon‐thermal converters, where ligand‐metal charge transfer and π–π stacking drive rapid nonradiative relaxation, leading to efficient and controllable heat absorption. Brief NIR exposure triggers the sustained release of capsaicin and Ca</w:t>
      </w:r>
      <w:r>
        <w:t xml:space="preserve"> </w:t>
      </w:r>
      <w:r>
        <w:t>2+</w:t>
      </w:r>
      <w:r>
        <w:t xml:space="preserve"> </w:t>
      </w:r>
      <w:r>
        <w:t>, elevating the local temperature to 43°C, within the TRPV1 activation window and with a reduced risk of nonspecific thermal overstimulation. Together, the tri‐stage adaptive design helps buffer heat, maintains topological adaptability, and synchronizes mild photothermal and biochemical cues. This controlled light‐heat‐chemical coupling supports the restoration of neurovascular–immune coupling and promotes tissue regeneration in diabetic skin lesion models, establishing a controlled, programmable platform for TRPV1‐targeted regenerative therapy.</w:t>
      </w:r>
    </w:p>
    <w:p>
      <w:pPr>
        <w:spacing w:before="120" w:after="120"/>
      </w:pPr>
      <w:r>
        <w:rPr>
          <w:sz w:val="18"/>
        </w:rPr>
        <w:t>——————————————————————————————————————————————————————————————————————</w:t>
      </w:r>
    </w:p>
    <w:p>
      <w:pPr>
        <w:spacing w:before="160" w:after="40" w:line="240" w:lineRule="auto"/>
      </w:pPr>
      <w:r>
        <w:rPr>
          <w:b/>
        </w:rPr>
        <w:t xml:space="preserve">[158] </w:t>
      </w:r>
      <w:hyperlink r:id="rId710">
        <w:r>
          <w:rPr>
            <w:color w:val="1155CC"/>
            <w:u w:val="single"/>
          </w:rPr>
          <w:t>用于工程细胞外囊泡生物界面以推进精准治疗的化学框架</w:t>
        </w:r>
      </w:hyperlink>
    </w:p>
    <w:p>
      <w:pPr>
        <w:spacing w:before="0" w:after="80"/>
      </w:pPr>
      <w:r>
        <w:rPr>
          <w:i/>
          <w:sz w:val="20"/>
        </w:rPr>
        <w:t>EN: A Chemical Framework for Engineering Extracellular Vesicles’ Biointerface to Advance Precision Therapeutics</w:t>
      </w:r>
    </w:p>
    <w:p>
      <w:pPr>
        <w:spacing w:before="0" w:after="120"/>
      </w:pPr>
      <w:r>
        <w:rPr>
          <w:b/>
        </w:rPr>
        <w:t xml:space="preserve">Source: </w:t>
      </w:r>
      <w:r>
        <w:t>Wiley: Advanced Materials: Table of Contents</w:t>
      </w:r>
      <w:r>
        <w:t xml:space="preserve">    </w:t>
      </w:r>
      <w:r>
        <w:rPr>
          <w:b/>
        </w:rPr>
        <w:t xml:space="preserve">Pub date: </w:t>
      </w:r>
      <w:r>
        <w:t>2026-07-25 21:27:44+00:00</w:t>
      </w:r>
      <w:r>
        <w:t xml:space="preserve">    </w:t>
      </w:r>
      <w:r>
        <w:rPr>
          <w:b/>
        </w:rPr>
        <w:t xml:space="preserve">DOI: </w:t>
      </w:r>
      <w:hyperlink r:id="rId711">
        <w:r>
          <w:rPr>
            <w:color w:val="1155CC"/>
            <w:u w:val="single"/>
          </w:rPr>
          <w:t>10.1002/adma.74203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细胞外囊泡（EV）是所有细胞类型普遍分泌的膜结合纳米颗粒，具有多种生理和病理功能。由于 EV 在病理生理过程中的关键作用及其固有的仿生特性，EV 作为生物标志物以及组织工程和药物输送引起了广泛关注。电动汽车的表面化学决定了它们与环境的相互作用。在定制这种生化接口方面已经取得了长足的进步，旨在增强货物输送、目标特异性、免疫逃避和跟踪能力，同时保持电动汽车的稳定性和功能完整性。表面修饰的方法主要包括亲本细胞的遗传和代谢操作、物理力的应用和化学反应。在这篇手稿中，我们介绍了一个以化学为中心的全面的电动汽车表面工程框架，该框架将已证实的电动汽车修饰策略与尚未应用于电动汽车的蛋白质和细胞表面化学相结合，描述了它们的功能范围和推进基于电动汽车的治疗的转化潜力。</w:t>
      </w:r>
    </w:p>
    <w:p>
      <w:pPr>
        <w:spacing w:before="0" w:after="200" w:lineRule="auto" w:line="276"/>
      </w:pPr>
      <w:r>
        <w:rPr>
          <w:b/>
        </w:rPr>
        <w:t xml:space="preserve">Abstract (EN): </w:t>
      </w:r>
      <w:r>
        <w:t>Extracellular vesicles (EVs) are membrane‐bound nanoparticles ubiquitously secreted by all cell types and serve diverse physiological and pathological functions. Due to their pivotal roles in pathophysiological processes and their inherent biomimetic properties, EVs have attracted significant attention as biomarkers, as well as for tissue engineering and drug delivery. The surface chemistry of EVs dictates their interactions with their environment. Great strides have been made to tailor this biochemical interface with the aim of enhancing cargo delivery, target specificity, immune evasion, and tracking capabilities, while preserving EVs’ stability and functional integrity. Approaches to surface modification primarily encompass genetic and metabolic manipulation of parent cells, application of physical forces, and chemical reactions. In this manuscript, we introduce a comprehensive chemistry‐centric framework for EV surface engineering that integrates demonstrated EV modification strategies with protein‐ and cell‐surface chemistries not yet applied to EVs, delineating their functional scope and translational potential for advancing EV‐based therapeutics.</w:t>
      </w:r>
    </w:p>
    <w:p>
      <w:pPr>
        <w:spacing w:before="120" w:after="120"/>
      </w:pPr>
      <w:r>
        <w:rPr>
          <w:sz w:val="18"/>
        </w:rPr>
        <w:t>——————————————————————————————————————————————————————————————————————</w:t>
      </w:r>
    </w:p>
    <w:p>
      <w:pPr>
        <w:spacing w:before="160" w:after="40" w:line="240" w:lineRule="auto"/>
      </w:pPr>
      <w:r>
        <w:rPr>
          <w:b/>
        </w:rPr>
        <w:t xml:space="preserve">[159] </w:t>
      </w:r>
      <w:hyperlink r:id="rId712">
        <w:r>
          <w:rPr>
            <w:color w:val="1155CC"/>
            <w:u w:val="single"/>
          </w:rPr>
          <w:t>手性钙钛矿微腔中的圆偏振激光和超快光学螺旋度切换</w:t>
        </w:r>
      </w:hyperlink>
    </w:p>
    <w:p>
      <w:pPr>
        <w:spacing w:before="0" w:after="80"/>
      </w:pPr>
      <w:r>
        <w:rPr>
          <w:i/>
          <w:sz w:val="20"/>
        </w:rPr>
        <w:t>EN: Circularly Polarized Lasing and Ultrafast Optical Helicity Switching in Chiral Perovskite Microcavities</w:t>
      </w:r>
    </w:p>
    <w:p>
      <w:pPr>
        <w:spacing w:before="0" w:after="120"/>
      </w:pPr>
      <w:r>
        <w:rPr>
          <w:b/>
        </w:rPr>
        <w:t xml:space="preserve">Source: </w:t>
      </w:r>
      <w:r>
        <w:t>Wiley: Advanced Materials: Table of Contents</w:t>
      </w:r>
      <w:r>
        <w:t xml:space="preserve">    </w:t>
      </w:r>
      <w:r>
        <w:rPr>
          <w:b/>
        </w:rPr>
        <w:t xml:space="preserve">Pub date: </w:t>
      </w:r>
      <w:r>
        <w:t>2026-07-25 21:31:37+00:00</w:t>
      </w:r>
      <w:r>
        <w:t xml:space="preserve">    </w:t>
      </w:r>
      <w:r>
        <w:rPr>
          <w:b/>
        </w:rPr>
        <w:t xml:space="preserve">DOI: </w:t>
      </w:r>
      <w:hyperlink r:id="rId713">
        <w:r>
          <w:rPr>
            <w:color w:val="1155CC"/>
            <w:u w:val="single"/>
          </w:rPr>
          <w:t>10.1002/adma.74308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以内在产生并在超快时间尺度上控制的鲁棒螺旋性将为太赫兹光子开关和手性敏感量子器件带来有吸引力的机会。然而，这种控制仍然具有挑战性，因为分子发射体的固有手性扰动通常太小，无法建立强大的螺旋偏差，而螺旋偏差可以打破对称性并维持螺旋选择光学状态的超快出现和切换。在本研究中，我们通过设计手性 R/S 准二维钙钛矿微腔 (R/S-2DPM) 并在该平台中建立手性放大的分层框架来应对这一挑战。由此产生的 R/S 2DPM 支持品质因数约为 10 的单模激光</w:t>
      </w:r>
      <w:r>
        <w:rPr>
          <w:vertAlign w:val="subscript"/>
        </w:rPr>
        <w:t>3</w:t>
      </w:r>
      <w:r>
        <w:t>。偏振分辨测量显示分子不对称性产生明显的不对称性放大</w:t>
      </w:r>
      <w:r>
        <w:t xml:space="preserve"> </w:t>
      </w:r>
      <w:r>
        <w:t>克</w:t>
      </w:r>
      <w:r>
        <w:t xml:space="preserve"> </w:t>
      </w:r>
      <w:r>
        <w:t>摩尔</w:t>
      </w:r>
      <w:r>
        <w:t xml:space="preserve"> </w:t>
      </w:r>
      <w:r>
        <w:t>〜10</w:t>
      </w:r>
      <w:r>
        <w:t xml:space="preserve"> </w:t>
      </w:r>
      <w:r>
        <w:t>−4</w:t>
      </w:r>
      <w:r>
        <w:t xml:space="preserve"> </w:t>
      </w:r>
      <w:r>
        <w:t>自发辐射不对称性</w:t>
      </w:r>
      <w:r>
        <w:t xml:space="preserve"> </w:t>
      </w:r>
      <w:r>
        <w:t>克</w:t>
      </w:r>
      <w:r>
        <w:t xml:space="preserve"> </w:t>
      </w:r>
      <w:r>
        <w:t>sp</w:t>
      </w:r>
      <w:r>
        <w:t xml:space="preserve"> </w:t>
      </w:r>
      <w:r>
        <w:t>〜10</w:t>
      </w:r>
      <w:r>
        <w:t xml:space="preserve"> </w:t>
      </w:r>
      <w:r>
        <w:t>−2</w:t>
      </w:r>
      <w:r>
        <w:t xml:space="preserve"> </w:t>
      </w:r>
      <w:r>
        <w:t>然后通过受激发射不对称</w:t>
      </w:r>
      <w:r>
        <w:t xml:space="preserve"> </w:t>
      </w:r>
      <w:r>
        <w:t>克</w:t>
      </w:r>
      <w:r>
        <w:t xml:space="preserve"> </w:t>
      </w:r>
      <w:r>
        <w:t>激光</w:t>
      </w:r>
      <w:r>
        <w:t xml:space="preserve"> </w:t>
      </w:r>
      <w:r>
        <w:t>〜0.78。时间分辨光谱进一步揭示了 R/S 对映体微腔中 1 ∼ 3 ps 时间尺度上相反的超快螺旋度切换。这些结果</w:t>
      </w:r>
    </w:p>
    <w:p>
      <w:pPr>
        <w:spacing w:before="0" w:after="200" w:lineRule="auto" w:line="276"/>
      </w:pPr>
      <w:r>
        <w:rPr>
          <w:b/>
        </w:rPr>
        <w:t xml:space="preserve">Abstract (EN): </w:t>
      </w:r>
      <w:r>
        <w:t>Robust helicity that can be generated intrinsically and controlled on ultrafast timescales would open attractive opportunities for terahertz photonic switching and chirality‐sensitive quantum devices. Yet such control remains challenging because the intrinsic chiral perturbation of molecular emitters is usually too small to establish a robust helicity bias that can break symmetry and sustain the ultrafast emergence and switching of a helicity‐selected optical state. In this study, we address this challenge by engineering chiral R/S quasi‐2D perovskite microcavities (R/S‐2DPMs) and establishing a hierarchical framework for chirality amplification in this platform. The resulting R/S 2DPMs support single‐mode lasing with quality factors on the order of 10</w:t>
      </w:r>
      <w:r>
        <w:rPr>
          <w:vertAlign w:val="subscript"/>
        </w:rPr>
        <w:t>3</w:t>
      </w:r>
      <w:r>
        <w:t>. Polarization‐resolved measurements show pronounced dissymmetry amplification from molecule dissymmetry of</w:t>
      </w:r>
      <w:r>
        <w:t xml:space="preserve"> </w:t>
      </w:r>
      <w:r>
        <w:t>g</w:t>
      </w:r>
      <w:r>
        <w:t xml:space="preserve"> </w:t>
      </w:r>
      <w:r>
        <w:t>mol</w:t>
      </w:r>
      <w:r>
        <w:t xml:space="preserve"> </w:t>
      </w:r>
      <w:r>
        <w:t>∼ 10</w:t>
      </w:r>
      <w:r>
        <w:t xml:space="preserve"> </w:t>
      </w:r>
      <w:r>
        <w:t>−4</w:t>
      </w:r>
      <w:r>
        <w:t xml:space="preserve"> </w:t>
      </w:r>
      <w:r>
        <w:t>to spontaneous emission dissymmetry of</w:t>
      </w:r>
      <w:r>
        <w:t xml:space="preserve"> </w:t>
      </w:r>
      <w:r>
        <w:t>g</w:t>
      </w:r>
      <w:r>
        <w:t xml:space="preserve"> </w:t>
      </w:r>
      <w:r>
        <w:t>sp</w:t>
      </w:r>
      <w:r>
        <w:t xml:space="preserve"> </w:t>
      </w:r>
      <w:r>
        <w:t>∼ 10</w:t>
      </w:r>
      <w:r>
        <w:t xml:space="preserve"> </w:t>
      </w:r>
      <w:r>
        <w:t>−2</w:t>
      </w:r>
      <w:r>
        <w:t xml:space="preserve"> </w:t>
      </w:r>
      <w:r>
        <w:t>and then through stimulated emission dissymmetry of</w:t>
      </w:r>
      <w:r>
        <w:t xml:space="preserve"> </w:t>
      </w:r>
      <w:r>
        <w:t>g</w:t>
      </w:r>
      <w:r>
        <w:t xml:space="preserve"> </w:t>
      </w:r>
      <w:r>
        <w:t>laser</w:t>
      </w:r>
      <w:r>
        <w:t xml:space="preserve"> </w:t>
      </w:r>
      <w:r>
        <w:t>∼ 0.78. Time‐resolved spectroscopy further reveals opposite ultrafast helicity switching on 1 ∼ 3 ps timescales in R/S‐enantiomeric microcavities. These results establish chiral quasi‐2D perovskite microcavities as a compact platform that converts weak microscopic chirality into robust circularly polarized lasing and ultrafast helicity switching, opening new opportunities for chiral photonics and helicity‐programmable coherent light sources.</w:t>
      </w:r>
    </w:p>
    <w:p>
      <w:pPr>
        <w:spacing w:before="120" w:after="120"/>
      </w:pPr>
      <w:r>
        <w:rPr>
          <w:sz w:val="18"/>
        </w:rPr>
        <w:t>——————————————————————————————————————————————————————————————————————</w:t>
      </w:r>
    </w:p>
    <w:p>
      <w:pPr>
        <w:spacing w:before="160" w:after="40" w:line="240" w:lineRule="auto"/>
      </w:pPr>
      <w:r>
        <w:rPr>
          <w:b/>
        </w:rPr>
        <w:t xml:space="preserve">[160] </w:t>
      </w:r>
      <w:hyperlink r:id="rId714">
        <w:r>
          <w:rPr>
            <w:color w:val="1155CC"/>
            <w:u w:val="single"/>
          </w:rPr>
          <w:t>受灯塔启发的工程仿生皮肤通过 DAZAP1 相分离相关线粒体代谢重编程促进老化伤口修复</w:t>
        </w:r>
      </w:hyperlink>
    </w:p>
    <w:p>
      <w:pPr>
        <w:spacing w:before="0" w:after="80"/>
      </w:pPr>
      <w:r>
        <w:rPr>
          <w:i/>
          <w:sz w:val="20"/>
        </w:rPr>
        <w:t>EN: Turritopsis nutricula‐Inspired Engineered Biomimetic Skin Promoting Aged Wound Repair via DAZAP1 Phase Separation‐Related Mitochondrial Metabolism Reprogramming</w:t>
      </w:r>
    </w:p>
    <w:p>
      <w:pPr>
        <w:spacing w:before="0" w:after="120"/>
      </w:pPr>
      <w:r>
        <w:rPr>
          <w:b/>
        </w:rPr>
        <w:t xml:space="preserve">Source: </w:t>
      </w:r>
      <w:r>
        <w:t>Wiley: Advanced Materials: Table of Contents</w:t>
      </w:r>
      <w:r>
        <w:t xml:space="preserve">    </w:t>
      </w:r>
      <w:r>
        <w:rPr>
          <w:b/>
        </w:rPr>
        <w:t xml:space="preserve">Pub date: </w:t>
      </w:r>
      <w:r>
        <w:t>2026-07-25 21:32:53+00:00</w:t>
      </w:r>
      <w:r>
        <w:t xml:space="preserve">    </w:t>
      </w:r>
      <w:r>
        <w:rPr>
          <w:b/>
        </w:rPr>
        <w:t xml:space="preserve">DOI: </w:t>
      </w:r>
      <w:hyperlink r:id="rId715">
        <w:r>
          <w:rPr>
            <w:color w:val="1155CC"/>
            <w:u w:val="single"/>
          </w:rPr>
          <w:t>10.1002/adma.74352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与衰老相关的伤口愈合缺陷会导致多种健康并发症，给患者带来巨大的经济和心理负担，目前的治疗方法无法解决潜在的病理生理学和衰老相关的损伤。灵感来自</w:t>
      </w:r>
      <w:r>
        <w:t xml:space="preserve"> </w:t>
      </w:r>
      <w:r>
        <w:t>灯塔螺</w:t>
      </w:r>
      <w:r>
        <w:t xml:space="preserve"> </w:t>
      </w:r>
      <w:r>
        <w:t>，我们通过脱细胞直接从人体脂肪组织（AT）中制备仿生皮肤基质（BSM），然后与氨基功能化的凋亡小体（FABs）结合构建仿生皮肤（BSM@FABs）。 BSM@FABs 有效地表现出高成纤维细胞亲和力，同时逆转细胞衰老、加速迁移并刺激老化伤口中的新血管形成。从机理上讲，我们发现了由 BSM@FAB 触发的开创性 DAZAP1 液-液相分离 (LLPS)。 LLPS 过程中的这些生物分子缩合物增强了三羧酸 (TCA) 循环通量和氧化磷酸化 (OXPHOS)，同时抑制糖酵解并减少线粒体活性氧，从而解决衰老受损的线粒体功能障碍。我们的工作引入了一种新的 LLPS 靶向策略，通过重新编程线粒体能量代谢来治疗老化伤口。</w:t>
      </w:r>
    </w:p>
    <w:p>
      <w:pPr>
        <w:spacing w:before="0" w:after="200" w:lineRule="auto" w:line="276"/>
      </w:pPr>
      <w:r>
        <w:rPr>
          <w:b/>
        </w:rPr>
        <w:t xml:space="preserve">Abstract (EN): </w:t>
      </w:r>
      <w:r>
        <w:t>Aging‐associated wound healing deficiency causes a variety of health complications and makes both economic and psychological burdens on patients greatly, with current therapies failing to address underlying pathophysiology and aging‐related impairments. Inspired by</w:t>
      </w:r>
      <w:r>
        <w:t xml:space="preserve"> </w:t>
      </w:r>
      <w:r>
        <w:t>Turritopsis nutricula</w:t>
      </w:r>
      <w:r>
        <w:t xml:space="preserve"> </w:t>
      </w:r>
      <w:r>
        <w:t>, we directly fabricated biomimetic skin matrix (BSM) from human adipose tissue (AT) by decellularization, then incorporated with amino‐functionalized apoptotic bodies (FABs) to construct a biomimetic skin (BSM@FABs). BSM@FABs effectively displayed high fibroblast affinity while reversing cellular senescence, accelerating migration, and stimulating neovascularization in aged wounds. Mechanistically, we identified a pioneering DAZAP1 liquid‐liquid phase separation (LLPS) triggered by BSM@FABs. These biomolecular condensates in the LLPS process enhanced tricarboxylic acid (TCA) cycle flux and oxidative phosphorylation (OXPHOS), concomitant with suppressed glycolysis and reduced mitochondrial reactive oxygen species, thereby resolving aging‐impaired mitochondrial dysfunction. Our work introduces a novel LLPS‐targeted strategy for aged wound treatment by reprogramming mitochondrial energy metabolism.</w:t>
      </w:r>
    </w:p>
    <w:p>
      <w:pPr>
        <w:spacing w:before="120" w:after="120"/>
      </w:pPr>
      <w:r>
        <w:rPr>
          <w:sz w:val="18"/>
        </w:rPr>
        <w:t>——————————————————————————————————————————————————————————————————————</w:t>
      </w:r>
    </w:p>
    <w:p>
      <w:pPr>
        <w:spacing w:before="160" w:after="40" w:line="240" w:lineRule="auto"/>
      </w:pPr>
      <w:r>
        <w:rPr>
          <w:b/>
        </w:rPr>
        <w:t xml:space="preserve">[161] </w:t>
      </w:r>
      <w:hyperlink r:id="rId716">
        <w:r>
          <w:rPr>
            <w:color w:val="1155CC"/>
            <w:u w:val="single"/>
          </w:rPr>
          <w:t>用于情感感应和交互的超薄、可渗透且无电池的单片集成系统</w:t>
        </w:r>
      </w:hyperlink>
    </w:p>
    <w:p>
      <w:pPr>
        <w:spacing w:before="0" w:after="80"/>
      </w:pPr>
      <w:r>
        <w:rPr>
          <w:i/>
          <w:sz w:val="20"/>
        </w:rPr>
        <w:t>EN: An Ultrathin, Permeable, and Battery‐Free Monolithically Integrated System for Emotion Sensing and Interaction</w:t>
      </w:r>
    </w:p>
    <w:p>
      <w:pPr>
        <w:spacing w:before="0" w:after="120"/>
      </w:pPr>
      <w:r>
        <w:rPr>
          <w:b/>
        </w:rPr>
        <w:t xml:space="preserve">Source: </w:t>
      </w:r>
      <w:r>
        <w:t>Wiley: Advanced Materials: Table of Contents</w:t>
      </w:r>
      <w:r>
        <w:t xml:space="preserve">    </w:t>
      </w:r>
      <w:r>
        <w:rPr>
          <w:b/>
        </w:rPr>
        <w:t xml:space="preserve">Pub date: </w:t>
      </w:r>
      <w:r>
        <w:t>2026-07-25 21:33:39+00:00</w:t>
      </w:r>
      <w:r>
        <w:t xml:space="preserve">    </w:t>
      </w:r>
      <w:r>
        <w:rPr>
          <w:b/>
        </w:rPr>
        <w:t xml:space="preserve">DOI: </w:t>
      </w:r>
      <w:hyperlink r:id="rId717">
        <w:r>
          <w:rPr>
            <w:color w:val="1155CC"/>
            <w:u w:val="single"/>
          </w:rPr>
          <w:t>10.1002/adma.74311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情绪调节对于身心健康至关重要。体液中的多巴胺和皮质醇等生物标志物与情绪状态相关，但缺乏可行的设备来实现干扰最小化的个性化情绪管理。这项研究提出了一种超薄且无电池的单片集成传感系统，用于通过人机交互无线跟踪压力相关生物标记物。该系统可以打印在厚度约为 36 µm 的柔性多孔热塑性聚氨酯 (TPU) 膜上，表现出 162 mm/s 和 1230 g/m 的卓越透气/透湿性</w:t>
      </w:r>
      <w:r>
        <w:rPr>
          <w:vertAlign w:val="subscript"/>
        </w:rPr>
        <w:t>2</w:t>
      </w:r>
      <w:r>
        <w:t>/天。它可实现多巴胺和皮质醇分析，检测限低至 0.25 µM 和 1.65 nM。集成的近场通信模块可实现无线能量收集和数据传输，以便在日常活动期间进行连续压力监测，并伴有情绪互动反馈。所提出的可打印方法使得多功能设备能够在超薄且可渗透的平台上进行单片集成，以可穿戴方式实现心理健康管理。</w:t>
      </w:r>
    </w:p>
    <w:p>
      <w:pPr>
        <w:spacing w:before="0" w:after="200" w:lineRule="auto" w:line="276"/>
      </w:pPr>
      <w:r>
        <w:rPr>
          <w:b/>
        </w:rPr>
        <w:t xml:space="preserve">Abstract (EN): </w:t>
      </w:r>
      <w:r>
        <w:t>Emotion regulation is critical for mental and physical health. Biomarkers such as dopamine and cortisol in body fluids are relevant to emotional status, while there is a lack of feasible devices to achieve personalized emotion management with minimized interferences. This study presents an ultrathin and battery‐free monolithically integrated sensing system for wireless tracking of stress‐related biomarkers with human–machine interaction. The system can be printed on a flexible and porous thermoplastic polyurethane (TPU) membrane with a thickness of around 36 µm, exhibiting remarkable air/moisture permeability of 162 mm/s and 1230 g/m</w:t>
      </w:r>
      <w:r>
        <w:rPr>
          <w:vertAlign w:val="subscript"/>
        </w:rPr>
        <w:t>2</w:t>
      </w:r>
      <w:r>
        <w:t>/day. It achieves dopamine and cortisol analysis with detection limits down to 0.25 µM and 1.65 nM. An integrated near‐field communication module enables wireless power harvesting and data transmission for continuous stress monitoring during daily activities, accompanied by emotion‐interactive feedback. The proposed printable method enables monolithic integration of multifunctional devices on ultrathin and permeable platforms toward mental health management in a wearable fashion.</w:t>
      </w:r>
    </w:p>
    <w:p>
      <w:pPr>
        <w:spacing w:before="120" w:after="120"/>
      </w:pPr>
      <w:r>
        <w:rPr>
          <w:sz w:val="18"/>
        </w:rPr>
        <w:t>——————————————————————————————————————————————————————————————————————</w:t>
      </w:r>
    </w:p>
    <w:p>
      <w:pPr>
        <w:spacing w:before="160" w:after="40" w:line="240" w:lineRule="auto"/>
      </w:pPr>
      <w:r>
        <w:rPr>
          <w:b/>
        </w:rPr>
        <w:t xml:space="preserve">[162] </w:t>
      </w:r>
      <w:hyperlink r:id="rId718">
        <w:r>
          <w:rPr>
            <w:color w:val="1155CC"/>
            <w:u w:val="single"/>
          </w:rPr>
          <w:t>基于花粉的人工酶具有高效生物催化和免疫启动作用，可预防原发性和继发性伤口感染</w:t>
        </w:r>
      </w:hyperlink>
    </w:p>
    <w:p>
      <w:pPr>
        <w:spacing w:before="0" w:after="80"/>
      </w:pPr>
      <w:r>
        <w:rPr>
          <w:i/>
          <w:sz w:val="20"/>
        </w:rPr>
        <w:t>EN: Pollen‐Based Artificial Enzyme With Efficient Biocatalysis and Immune‐Priming to Prevent Primary and Secondary Wound Infection</w:t>
      </w:r>
    </w:p>
    <w:p>
      <w:pPr>
        <w:spacing w:before="0" w:after="120"/>
      </w:pPr>
      <w:r>
        <w:rPr>
          <w:b/>
        </w:rPr>
        <w:t xml:space="preserve">Source: </w:t>
      </w:r>
      <w:r>
        <w:t>Wiley: Advanced Materials: Table of Contents</w:t>
      </w:r>
      <w:r>
        <w:t xml:space="preserve">    </w:t>
      </w:r>
      <w:r>
        <w:rPr>
          <w:b/>
        </w:rPr>
        <w:t xml:space="preserve">Pub date: </w:t>
      </w:r>
      <w:r>
        <w:t>2026-07-25 21:38:18+00:00</w:t>
      </w:r>
      <w:r>
        <w:t xml:space="preserve">    </w:t>
      </w:r>
      <w:r>
        <w:rPr>
          <w:b/>
        </w:rPr>
        <w:t xml:space="preserve">DOI: </w:t>
      </w:r>
      <w:hyperlink r:id="rId719">
        <w:r>
          <w:rPr>
            <w:color w:val="1155CC"/>
            <w:u w:val="single"/>
          </w:rPr>
          <w:t>10.1002/adma.74304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细菌感染由于耐药性的出现和高复发风险对临床治疗构成重大威胁。在这里，我们报告了一种基于尖刺花粉的钒人工酶颗粒（VAE-花粉）的从头设计，该颗粒将有效的活性氧（ROS）催化活性与免疫启动相结合，以预防原发性和继发性细菌感染。实验和理论分析证实，细菌被 VAE-花粉的微结构表面有效捕获，并且氧空位的引入调节了钒催化位点的电子构型，显着增强了其多功能 ROS 催化性能。同时，VAE-花粉增强细菌捕获和ROS触发的细菌抗原释放，模仿天然花粉的持续过敏原暴露特征，从而有效激活全身防御反应，并提供持续的抗感染监测，以防止继发伤口感染。值得注意的是，VAE-Pollen 在治疗耐甲氧西林方面表现出显着疗效</w:t>
      </w:r>
      <w:r>
        <w:t xml:space="preserve"> </w:t>
      </w:r>
      <w:r>
        <w:t>金黄色葡萄球菌</w:t>
      </w:r>
      <w:r>
        <w:t xml:space="preserve"> </w:t>
      </w:r>
      <w:r>
        <w:t>（</w:t>
      </w:r>
      <w:r>
        <w:t xml:space="preserve"> </w:t>
      </w:r>
      <w:r>
        <w:t>耐甲氧西林金黄色葡萄球菌</w:t>
      </w:r>
      <w:r>
        <w:t xml:space="preserve"> </w:t>
      </w:r>
      <w:r>
        <w:t>）并防止其复发，提供一种有效且智能的抗菌替代品，可以规避传统抗生素的局限性。</w:t>
      </w:r>
    </w:p>
    <w:p>
      <w:pPr>
        <w:spacing w:before="0" w:after="200" w:lineRule="auto" w:line="276"/>
      </w:pPr>
      <w:r>
        <w:rPr>
          <w:b/>
        </w:rPr>
        <w:t xml:space="preserve">Abstract (EN): </w:t>
      </w:r>
      <w:r>
        <w:t>Bacterial infection poses a significant threat to clinical treatment due to the emergence of drug resistance and the high risk of recurrence. Here, we report the de novo design of a spiky pollen‐based vanadium artificial enzyme particle (VAE‐Pollen) that integrates potent reactive oxygen species (ROS)‐catalytic activity with immune priming to prevent both primary and secondary bacterial infections. Experimental and theoretical analyses confirm that bacteria are efficiently captured by the micro‐structured surface of VAE‐Pollen, and the introduction of oxygen vacancies modulates the electronic configuration of vanadium catalytic sites, significantly enhancing their versatile ROS‐catalytic performance. Meanwhile, VAE‐Pollen enhances bacterial capture and ROS‐triggered release of bacterial antigens, which mimics the sustained allergen exposure characteristic of natural pollen, thereby potently activating systemic defensive responses and providing sustained anti‐infective surveillance to prevent secondary wound infection. Notably, the VAE‐Pollen demonstrates significant efficacy in treating methicillin‐resistant</w:t>
      </w:r>
      <w:r>
        <w:t xml:space="preserve"> </w:t>
      </w:r>
      <w:r>
        <w:t>Staphylococcus aureus</w:t>
      </w:r>
      <w:r>
        <w:t xml:space="preserve"> </w:t>
      </w:r>
      <w:r>
        <w:t>(</w:t>
      </w:r>
      <w:r>
        <w:t xml:space="preserve"> </w:t>
      </w:r>
      <w:r>
        <w:t>MRSA</w:t>
      </w:r>
      <w:r>
        <w:t xml:space="preserve"> </w:t>
      </w:r>
      <w:r>
        <w:t>) and preventing its recurrence, offering a potent and intelligent antibacterial alternative that may circumvent the limitations of conventional antibiotics.</w:t>
      </w:r>
    </w:p>
    <w:p>
      <w:pPr>
        <w:spacing w:before="120" w:after="120"/>
      </w:pPr>
      <w:r>
        <w:rPr>
          <w:sz w:val="18"/>
        </w:rPr>
        <w:t>——————————————————————————————————————————————————————————————————————</w:t>
      </w:r>
    </w:p>
    <w:p>
      <w:pPr>
        <w:spacing w:before="160" w:after="40" w:line="240" w:lineRule="auto"/>
      </w:pPr>
      <w:r>
        <w:rPr>
          <w:b/>
        </w:rPr>
        <w:t xml:space="preserve">[163] </w:t>
      </w:r>
      <w:hyperlink r:id="rId720">
        <w:r>
          <w:rPr>
            <w:color w:val="1155CC"/>
            <w:u w:val="single"/>
          </w:rPr>
          <w:t>病理响应自组装水凝胶实现时空控制外泌体释放和氧化还原调节以促进椎间盘再生</w:t>
        </w:r>
      </w:hyperlink>
    </w:p>
    <w:p>
      <w:pPr>
        <w:spacing w:before="0" w:after="80"/>
      </w:pPr>
      <w:r>
        <w:rPr>
          <w:i/>
          <w:sz w:val="20"/>
        </w:rPr>
        <w:t>EN: Pathology‐Responsive Self‐Assembling Hydrogel Enabling Spatiotemporally Controlled Exosome Release and Redox Regulation for Intervertebral Disc Regeneration</w:t>
      </w:r>
    </w:p>
    <w:p>
      <w:pPr>
        <w:spacing w:before="0" w:after="120"/>
      </w:pPr>
      <w:r>
        <w:rPr>
          <w:b/>
        </w:rPr>
        <w:t xml:space="preserve">Source: </w:t>
      </w:r>
      <w:r>
        <w:t>Wiley: Advanced Materials: Table of Contents</w:t>
      </w:r>
      <w:r>
        <w:t xml:space="preserve">    </w:t>
      </w:r>
      <w:r>
        <w:rPr>
          <w:b/>
        </w:rPr>
        <w:t xml:space="preserve">Pub date: </w:t>
      </w:r>
      <w:r>
        <w:t>2026-07-25 21:44:04+00:00</w:t>
      </w:r>
      <w:r>
        <w:t xml:space="preserve">    </w:t>
      </w:r>
      <w:r>
        <w:rPr>
          <w:b/>
        </w:rPr>
        <w:t xml:space="preserve">DOI: </w:t>
      </w:r>
      <w:hyperlink r:id="rId721">
        <w:r>
          <w:rPr>
            <w:color w:val="1155CC"/>
            <w:u w:val="single"/>
          </w:rPr>
          <w:t>10.1002/adma.74189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椎间盘退变 (IVDD) 是由代谢紊乱和氧化还原失衡引起的，严重损害髓核 (NP) 细胞修复细胞外基质 (ECM) 的能力。 IVDD 的早期阶段以过度氧化应激、脂质过氧化、铁失调和持续的分解代谢酶活性为标志，而晚期细胞衰老最终使 NP 细胞高度容易受到铁依赖性细胞死亡的影响。为了解决这些特定阶段的挑战，我们开发了一种病理适应性自组装水凝胶，它利用动态变化的分解代谢酶活性来触发抗氧化剂分子和生物活性细胞外囊泡的按需递送。在识别出病理性升高的 MMP13 后，水凝胶会发生位点特异性结构破坏，从而实现时空控制的外泌体释放。水凝胶复合物通过增加细胞内谷胱甘肽、减轻脂质过氧化和恢复铁稳态来稳定氧化还原平衡。此外，它还能激活 PI3K-Akt 信号传导并恢复关键的抗铁死亡蛋白。同时，它促进蛋白聚糖和 II 型胶原蛋白的合成，共同重建 ECM 生态位。恢复的氧化还原平衡和再生信号的综合作用导致受损椎间盘的结构和功能显着恢复，体内动物研究有力地证明了这一点。总的来说，这个时空自适应平台为再生工程建立了多方面的策略，为再生工程提供了一个有前途的选择</w:t>
      </w:r>
    </w:p>
    <w:p>
      <w:pPr>
        <w:spacing w:before="0" w:after="200" w:lineRule="auto" w:line="276"/>
      </w:pPr>
      <w:r>
        <w:rPr>
          <w:b/>
        </w:rPr>
        <w:t xml:space="preserve">Abstract (EN): </w:t>
      </w:r>
      <w:r>
        <w:t>Intervertebral disc degeneration (IVDD) arises from disrupted metabolism and redox imbalance, severely impairing nucleus pulposus (NP) cells’ ability to repair the extracellular matrix (ECM). The early stage of IVDD is marked by excessive oxidative stress, lipid peroxidation, iron dysregulation and sustained catabolic enzyme activity, while late‐stage cellular aging ultimately renders NP cells highly susceptible to iron‐dependent cell death. To address these stage‐specific challenges, we developed a pathology‐adaptive self‐assembling hydrogel that exploits dynamically varying catabolic enzyme activity to trigger on‐demand delivery of antioxidant molecules and bioactive extracellular vesicles. Upon recognition of pathologically elevated MMP13, the hydrogel undergoes site‐specific structural disruption, thereby enabling spatiotemporally controlled exosome release. The hydrogel complex stabilizes redox balance by boosting intracellular glutathione, mitigating lipid peroxidation and restoring iron homeostasis. Furthermore, it activates PI3K‐Akt signaling and reinstates key anti‐ferroptosis proteins. Simultaneously, it promotes the synthesis of proteoglycans and type II collagen, collectively rebuilding the ECM niche. The combined effect of restored redox balance and regenerative signaling leads to significant structural and functional recovery of the damaged disc, as strongly evidenced in vivo animal studies. Overall, this spatiotemporal‐adaptive platform establishes a multifaceted strategy for regenerative engineering, offering a promising option for complex degenerative diseases.</w:t>
      </w:r>
    </w:p>
    <w:p>
      <w:pPr>
        <w:spacing w:before="120" w:after="120"/>
      </w:pPr>
      <w:r>
        <w:rPr>
          <w:sz w:val="18"/>
        </w:rPr>
        <w:t>——————————————————————————————————————————————————————————————————————</w:t>
      </w:r>
    </w:p>
    <w:p>
      <w:pPr>
        <w:spacing w:before="160" w:after="40" w:line="240" w:lineRule="auto"/>
      </w:pPr>
      <w:r>
        <w:rPr>
          <w:b/>
        </w:rPr>
        <w:t xml:space="preserve">[164] </w:t>
      </w:r>
      <w:hyperlink r:id="rId722">
        <w:r>
          <w:rPr>
            <w:color w:val="1155CC"/>
            <w:u w:val="single"/>
          </w:rPr>
          <w:t>用于缺血性中风后组织修复的从头设计的肽工程多模式平台</w:t>
        </w:r>
      </w:hyperlink>
    </w:p>
    <w:p>
      <w:pPr>
        <w:spacing w:before="0" w:after="80"/>
      </w:pPr>
      <w:r>
        <w:rPr>
          <w:i/>
          <w:sz w:val="20"/>
        </w:rPr>
        <w:t>EN: De Novo‐Designed Peptide‐Engineered Multimodal Platform for Post‐Ischemic Stroke Tissue Repair</w:t>
      </w:r>
    </w:p>
    <w:p>
      <w:pPr>
        <w:spacing w:before="0" w:after="120"/>
      </w:pPr>
      <w:r>
        <w:rPr>
          <w:b/>
        </w:rPr>
        <w:t xml:space="preserve">Source: </w:t>
      </w:r>
      <w:r>
        <w:t>Wiley: Advanced Materials: Table of Contents</w:t>
      </w:r>
      <w:r>
        <w:t xml:space="preserve">    </w:t>
      </w:r>
      <w:r>
        <w:rPr>
          <w:b/>
        </w:rPr>
        <w:t xml:space="preserve">Pub date: </w:t>
      </w:r>
      <w:r>
        <w:t>2026-07-25 21:44:42+00:00</w:t>
      </w:r>
      <w:r>
        <w:t xml:space="preserve">    </w:t>
      </w:r>
      <w:r>
        <w:rPr>
          <w:b/>
        </w:rPr>
        <w:t xml:space="preserve">DOI: </w:t>
      </w:r>
      <w:hyperlink r:id="rId723">
        <w:r>
          <w:rPr>
            <w:color w:val="1155CC"/>
            <w:u w:val="single"/>
          </w:rPr>
          <w:t>10.1002/adma.74330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缺血性中风等复杂病理中协调组织再生需要能够精确调节多种信号通路的材料。一个核心挑战是设计一个集成机械、电气和生化线索的单一平台，以重定向这些病理网络。在这里，我们提出了一种计算驱动的多模式水凝胶，旨在充当可编程调节节点。该系统集成了经过计算筛选的从头血管生成肽支架和表面工程的炎症响应性导电 MXene 纳米片。这种合理的表面工程解决了 MXene 不稳定的关键瓶颈，使胶体稳定性保持超过 2 个月，并在注射系统内保持高电导率 (1.2 mS/cm)。在缺血性中风的小鼠模型中，这种靶向调节重建了神经血管单元的完整性，抑制了神经胶质疤痕形成，并促进了髓鞘再生和突触修复。至关重要的是，该平台重新建立了神经电信号传输，导致神经功能恢复。从机制上讲，机器学习驱动的转录组学强调 Akt2 作为候选调控中心，而由显着的头发变黄表型引发的非靶向代谢组学表明涉及磷脂酶 D 信号通路的代谢重塑。我们的研究结果展示了先进生物电子组织修复材料的一种有前途的数据驱动、自下而上的理性设计范式。</w:t>
      </w:r>
    </w:p>
    <w:p>
      <w:pPr>
        <w:spacing w:before="0" w:after="200" w:lineRule="auto" w:line="276"/>
      </w:pPr>
      <w:r>
        <w:rPr>
          <w:b/>
        </w:rPr>
        <w:t xml:space="preserve">Abstract (EN): </w:t>
      </w:r>
      <w:r>
        <w:t>Orchestrating tissue regeneration in complex pathologies like post‐ischemic stroke requires materials that can precisely regulate multiple signaling pathways. A central challenge is engineering a single platform integrating mechanical, electrical, and biochemical cues to redirect these pathological networks. Here, we present a computation‐driven, multimodal hydrogel engineered to function as a programmable regulatory node. The system integrates a computationally screened de novo vasculogenic peptide scaffold and surface‐engineered, inflammation‐responsive conductive MXene nanosheets. This rational surface engineering solves the critical bottleneck of MXene instability, preserving colloidal stability for over 2 months and maintaining high conductivity (1.2 mS/cm) within the injectable system. In a mouse model of ischemic stroke, this targeted modulation reconstructed the neurovascular unit integrity, suppressed glial scarring, and promoted remyelination and synaptic repair. Crucially, the platform re‐established neural electrical signal transmission, leading to the recovery of neural function. Mechanistically, machine learning‐driven transcriptomics highlighted Akt2 as a candidate regulatory hub, while untargeted metabolomics, prompted by a striking hair yellowing phenotype, suggested metabolic remodeling involving the phospholipase D signaling pathway. Our findings demonstrate a promising data‐driven, bottom‐up rational design paradigm for advanced bioelectronic tissue repair materials.</w:t>
      </w:r>
    </w:p>
    <w:p>
      <w:pPr>
        <w:spacing w:before="120" w:after="120"/>
      </w:pPr>
      <w:r>
        <w:rPr>
          <w:sz w:val="18"/>
        </w:rPr>
        <w:t>——————————————————————————————————————————————————————————————————————</w:t>
      </w:r>
    </w:p>
    <w:p>
      <w:pPr>
        <w:spacing w:before="160" w:after="40" w:line="240" w:lineRule="auto"/>
      </w:pPr>
      <w:r>
        <w:rPr>
          <w:b/>
        </w:rPr>
        <w:t xml:space="preserve">[165] </w:t>
      </w:r>
      <w:hyperlink r:id="rId724">
        <w:r>
          <w:rPr>
            <w:color w:val="1155CC"/>
            <w:u w:val="single"/>
          </w:rPr>
          <w:t>构象偏差和传输驱动共价有机框架的结构分化</w:t>
        </w:r>
      </w:hyperlink>
    </w:p>
    <w:p>
      <w:pPr>
        <w:spacing w:before="0" w:after="80"/>
      </w:pPr>
      <w:r>
        <w:rPr>
          <w:i/>
          <w:sz w:val="20"/>
        </w:rPr>
        <w:t>EN: Conformational Bias and Transmission Drive Structural Differentiation of Covalent 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25">
        <w:r>
          <w:rPr>
            <w:color w:val="1155CC"/>
            <w:u w:val="single"/>
          </w:rPr>
          <w:t>10.1021/jacs.6c11370</w:t>
        </w:r>
      </w:hyperlink>
    </w:p>
    <w:p>
      <w:pPr>
        <w:spacing w:before="0" w:after="120"/>
      </w:pPr>
      <w:r>
        <w:rPr>
          <w:b/>
        </w:rPr>
        <w:t xml:space="preserve">Notes: </w:t>
      </w:r>
      <w:r>
        <w:t>abstract_source=pubmed</w:t>
      </w:r>
    </w:p>
    <w:p>
      <w:pPr>
        <w:spacing w:before="0" w:after="80" w:lineRule="auto" w:line="276"/>
      </w:pPr>
      <w:r>
        <w:rPr>
          <w:b/>
        </w:rPr>
        <w:t xml:space="preserve">摘要（ZH）: </w:t>
      </w:r>
      <w:r>
        <w:t>在COF结晶过程中，弱相互作用不断地使晶体成核和生长过程中单体的构象分布产生偏差。构象演化和选择通常发生在多个时间和长度尺度上，这对使用当前的原位结构技术进行直接观察提出了重大挑战。因此，目前尚不清楚单体构象偏差是如何选择、传递和逐渐积累以产生最终的结构分化的。在这里，我们提出了一种利用分子构象自由度在 COF 结晶过程中同步和传递构象偏差的策略。基于这一策略，我们成功实现了COF的结构差异化。值得注意的是，具有高构象自由度的构建块表现出较低的扭转势垒，从而能够在晶体生长过程中更有效地传输堆叠信息。这导致了三种堆叠异构体，包括单向倾斜堆叠、双向倾斜堆叠和交替双向倾斜堆叠。这些不同的堆积模式直接调节光催化还原活性。这项工作不仅实现了COF堆叠异构体的受控合成和功能剪裁，更重要的是，提出了一种通过构象选择来调节共价组装过程的新策略。该策略为理解 COF 结晶中的构象选择和设计复杂的框架材料提供了新的视角。</w:t>
      </w:r>
    </w:p>
    <w:p>
      <w:pPr>
        <w:spacing w:before="0" w:after="200" w:lineRule="auto" w:line="276"/>
      </w:pPr>
      <w:r>
        <w:rPr>
          <w:b/>
        </w:rPr>
        <w:t xml:space="preserve">Abstract (EN): </w:t>
      </w:r>
      <w:r>
        <w:t>During COF crystallization, weak interactions continuously bias the conformational distribution of monomers during crystal nucleation and growth. Conformational evolution and selection typically occur across multiple time and length scales, posing significant challenges for direct observation using current in situ structural techniques. Therefore, it remains unclear how monomer conformational bias is selected, transmitted, and progressively accumulated to yield the final structural differentiation. Here, we proposed a strategy using molecular conformational freedom to synchronize and transmit conformational bias during COF crystallization. Based on this strategy, we successfully achieved structural differentiation in COFs. Notably, building blocks with high conformational freedom exhibited lower torsional barriers, enabling more efficient transmission of stacking information during crystal growth. This led to three stacking isomers, including unidirectional inclined stacking, bidirectional inclined stacking, and alternately bidirectional inclined stacking. These different stacking modes directly regulated the photocatalytic reduction activity. This work not only enabled the controlled synthesis and functional tailoring of COF stacking isomers, but more importantly, proposed a new strategy to regulate the covalent assembly process through conformational selection. This strategy provided a new perspective for understanding conformational selection in COF crystallization and for designing complex framework materials.</w:t>
      </w:r>
    </w:p>
    <w:p>
      <w:pPr>
        <w:spacing w:before="120" w:after="120"/>
      </w:pPr>
      <w:r>
        <w:rPr>
          <w:sz w:val="18"/>
        </w:rPr>
        <w:t>——————————————————————————————————————————————————————————————————————</w:t>
      </w:r>
    </w:p>
    <w:p>
      <w:pPr>
        <w:spacing w:before="160" w:after="40" w:line="240" w:lineRule="auto"/>
      </w:pPr>
      <w:r>
        <w:rPr>
          <w:b/>
        </w:rPr>
        <w:t xml:space="preserve">[166] </w:t>
      </w:r>
      <w:hyperlink r:id="rId726">
        <w:r>
          <w:rPr>
            <w:color w:val="1155CC"/>
            <w:u w:val="single"/>
          </w:rPr>
          <w:t>利用高通量细胞 Dropout 筛选鉴定抗菌环肽</w:t>
        </w:r>
      </w:hyperlink>
    </w:p>
    <w:p>
      <w:pPr>
        <w:spacing w:before="0" w:after="80"/>
      </w:pPr>
      <w:r>
        <w:rPr>
          <w:i/>
          <w:sz w:val="20"/>
        </w:rPr>
        <w:t>EN: Identification of Antibacterial Cyclic Peptides with a High-Throughput Cell-Based Dropout Screen</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27">
        <w:r>
          <w:rPr>
            <w:color w:val="1155CC"/>
            <w:u w:val="single"/>
          </w:rPr>
          <w:t>10.1021/jacs.6c09188</w:t>
        </w:r>
      </w:hyperlink>
    </w:p>
    <w:p>
      <w:pPr>
        <w:spacing w:before="0" w:after="120"/>
      </w:pPr>
      <w:r>
        <w:rPr>
          <w:b/>
        </w:rPr>
        <w:t xml:space="preserve">Notes: </w:t>
      </w:r>
      <w:r>
        <w:t>abstract_source=pubmed</w:t>
      </w:r>
    </w:p>
    <w:p>
      <w:pPr>
        <w:spacing w:before="0" w:after="80" w:lineRule="auto" w:line="276"/>
      </w:pPr>
      <w:r>
        <w:rPr>
          <w:b/>
        </w:rPr>
        <w:t xml:space="preserve">摘要（ZH）: </w:t>
      </w:r>
      <w:r>
        <w:t>抗生素耐药性是一个日益严重的全球健康威胁，需要新的抗生素和发现策略。在这里，我们报告了一个与目标无关的阴性选择筛选平台，该平台将 320 万个环肽的细胞内文库与新一代测序相结合，通过消除环肽的编码序列来识别抗菌环肽。通过共享药效团对耗尽序列进行聚类可以实现稳健的命中识别并允许有针对性的文库设计。使用这种方法，我们确定了一种环肽支架，可以抑制以前未靶向的必需铁硫簇载体蛋白 ErpA。这项工作为直接在活细胞中发现细胞内抗菌靶点和相关抑制剂建立了一个通用且可扩展的框架。</w:t>
      </w:r>
    </w:p>
    <w:p>
      <w:pPr>
        <w:spacing w:before="0" w:after="200" w:lineRule="auto" w:line="276"/>
      </w:pPr>
      <w:r>
        <w:rPr>
          <w:b/>
        </w:rPr>
        <w:t xml:space="preserve">Abstract (EN): </w:t>
      </w:r>
      <w:r>
        <w:t>Antimicrobial resistance is a growing global health threat, necessitating new antibiotics and discovery strategies. Here, we report a target-agnostic negative-selection screening platform that combines an intracellular library of 3.2 million cyclic peptides with next-generation sequencing to identify antibacterial cyclic peptides through the depletion of their encoding sequences. Clustering of depleted sequences by shared pharmacophores enables robust hit identification and allows focused library design. Using this approach, we identify a cyclic peptide scaffold that inhibits the previously untargeted essential iron-sulfur cluster carrier protein ErpA. This work establishes a general and scalable framework for the discovery of intracellular antibacterial targets and associated inhibitors directly in living cells.</w:t>
      </w:r>
    </w:p>
    <w:p>
      <w:pPr>
        <w:spacing w:before="120" w:after="120"/>
      </w:pPr>
      <w:r>
        <w:rPr>
          <w:sz w:val="18"/>
        </w:rPr>
        <w:t>——————————————————————————————————————————————————————————————————————</w:t>
      </w:r>
    </w:p>
    <w:p>
      <w:pPr>
        <w:spacing w:before="160" w:after="40" w:line="240" w:lineRule="auto"/>
      </w:pPr>
      <w:r>
        <w:rPr>
          <w:b/>
        </w:rPr>
        <w:t xml:space="preserve">[167] </w:t>
      </w:r>
      <w:hyperlink r:id="rId728">
        <w:r>
          <w:rPr>
            <w:color w:val="1155CC"/>
            <w:u w:val="single"/>
          </w:rPr>
          <w:t>了解熔盐中的拓扑化学微晶转化以产生高纵横比钙钛矿颗粒</w:t>
        </w:r>
      </w:hyperlink>
    </w:p>
    <w:p>
      <w:pPr>
        <w:spacing w:before="0" w:after="80"/>
      </w:pPr>
      <w:r>
        <w:rPr>
          <w:i/>
          <w:sz w:val="20"/>
        </w:rPr>
        <w:t>EN: Understanding Topochemical Microcrystal Conversion in Molten Salt to Produce High-Aspect-Ratio Perovskites Particles</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29">
        <w:r>
          <w:rPr>
            <w:color w:val="1155CC"/>
            <w:u w:val="single"/>
          </w:rPr>
          <w:t>10.1021/jacs.6c06773</w:t>
        </w:r>
      </w:hyperlink>
    </w:p>
    <w:p>
      <w:pPr>
        <w:spacing w:before="0" w:after="120"/>
      </w:pPr>
      <w:r>
        <w:rPr>
          <w:b/>
        </w:rPr>
        <w:t xml:space="preserve">Notes: </w:t>
      </w:r>
      <w:r>
        <w:t>abstract_source=pubmed</w:t>
      </w:r>
    </w:p>
    <w:p>
      <w:pPr>
        <w:spacing w:before="0" w:after="80" w:lineRule="auto" w:line="276"/>
      </w:pPr>
      <w:r>
        <w:rPr>
          <w:b/>
        </w:rPr>
        <w:t xml:space="preserve">摘要（ZH）: </w:t>
      </w:r>
      <w:r>
        <w:t>高度各向异性的片状颗粒可用于增强结构和功能应用。各向异性钙钛矿最近因其功能特性（包括光电和压电）而特别受到关注。熔盐中的拓扑化学微晶转化（TMC）已被确立为一种可扩展且稳健的方法，用于从模板制造各向异性钙钛矿颗粒。然而，TMC 通常对颗粒尺寸和长宽比的控制程度较低。对颗粒形状的控制是最终材料的晶体结构和机械性能的关键。仍然缺乏对整个反应过程的全面检查，很大程度上导致潜在的反应机制尚未解决。在这项工作中，我们采用原位时间分辨同步加速器 X 射线衍射来监测不同 TiO2 缺陷下 Bi4Ti3O12 (BiT) 模板的 Bi0.5Na0.5TiO3 (BNT) 的 TMC，并揭示了对成核和生长机制的新见解。我们证明，对成核和初始各向异性微晶生长的控制持续决定了最终 BNT 颗粒的形态。基于这些新见解，我们生产的 BNT 片晶的中值长径比比之前报道的高 1.2 ～ 2.1 倍。此外，我们制造了薄（170 nm）Bi0.5Na0.5TiO3-BaTiO3片晶，其中值和第90百分位纵横比分别比BiT模板（~12和15）高17和41、1.4和2.9倍，进一步确定了我们的生长模型及其对其他基于BNT的复合材料的适用性。</w:t>
      </w:r>
    </w:p>
    <w:p>
      <w:pPr>
        <w:spacing w:before="0" w:after="200" w:lineRule="auto" w:line="276"/>
      </w:pPr>
      <w:r>
        <w:rPr>
          <w:b/>
        </w:rPr>
        <w:t xml:space="preserve">Abstract (EN): </w:t>
      </w:r>
      <w:r>
        <w:t>Highly anisotropic platelet-shaped particles can be used to enhance both structural and functional applications. Anisotropic perovskites are especially in recent focus for their functional properties, including opto- and piezo-electric. Topochemical microcrystal conversion (TMC) in molten salt has been established as a scalable and robust way to fabricate anisotropic perovskite particles from templates. However, TMC often provides a low degree of control on the particle size and aspect ratio. The control over the particle shape is key to the crystallographic texture and mechanical properties of the final material. A comprehensive examination of the full reaction process is still lacking, leaving the underlying reaction mechanisms in large part unresolved. In this work, we employed in situ time-resolved synchrotron X-ray diffraction to monitor the TMC of Bi0.5Na0.5TiO3 (BNT) from Bi4Ti3O12 (BiT) templates under varying TiO2 deficiencies and uncovered new insights into the nucleation and growth mechanisms. We demonstrate that control over nucleation and initial anisotropic crystallite growth continuously dictates the final BNT particles' morphologies. Based on these new insights, we produce BNT platelets with a 1.2- ∼2.1-times higher median aspect ratio than previously reported. In addition, we fabricated thin (170 nm) Bi0.5Na0.5TiO3-BaTiO3 platelets with a median and 90th percentile aspect ratio of up to 17 and 41, 1.4- and 2.9-fold higher than that of BiT templates (∼12 and 15), respectively, further ascertaining our growth model and its applicability to other BNT-based compositions. Our results expand our knowledge of the TMC process and open the way to producing high-aspect-ratio and quality perovskite platelets.</w:t>
      </w:r>
    </w:p>
    <w:p>
      <w:pPr>
        <w:spacing w:before="120" w:after="120"/>
      </w:pPr>
      <w:r>
        <w:rPr>
          <w:sz w:val="18"/>
        </w:rPr>
        <w:t>——————————————————————————————————————————————————————————————————————</w:t>
      </w:r>
    </w:p>
    <w:p>
      <w:pPr>
        <w:spacing w:before="160" w:after="40" w:line="240" w:lineRule="auto"/>
      </w:pPr>
      <w:r>
        <w:rPr>
          <w:b/>
        </w:rPr>
        <w:t xml:space="preserve">[168] </w:t>
      </w:r>
      <w:hyperlink r:id="rId730">
        <w:r>
          <w:rPr>
            <w:color w:val="1155CC"/>
            <w:u w:val="single"/>
          </w:rPr>
          <w:t>从金属有机螺旋到类沸石超分子组装体</w:t>
        </w:r>
      </w:hyperlink>
    </w:p>
    <w:p>
      <w:pPr>
        <w:spacing w:before="0" w:after="80"/>
      </w:pPr>
      <w:r>
        <w:rPr>
          <w:i/>
          <w:sz w:val="20"/>
        </w:rPr>
        <w:t>EN: From Metal–Organic Helices to Zeolite-like Supramolecular Assemblies</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31">
        <w:r>
          <w:rPr>
            <w:color w:val="1155CC"/>
            <w:u w:val="single"/>
          </w:rPr>
          <w:t>10.1021/jacs.6c12866</w:t>
        </w:r>
      </w:hyperlink>
    </w:p>
    <w:p>
      <w:pPr>
        <w:spacing w:before="0" w:after="120"/>
      </w:pPr>
      <w:r>
        <w:rPr>
          <w:b/>
        </w:rPr>
        <w:t xml:space="preserve">Notes: </w:t>
      </w:r>
      <w:r>
        <w:t>abstract_source=pubmed</w:t>
      </w:r>
    </w:p>
    <w:p>
      <w:pPr>
        <w:spacing w:before="0" w:after="80" w:lineRule="auto" w:line="276"/>
      </w:pPr>
      <w:r>
        <w:rPr>
          <w:b/>
        </w:rPr>
        <w:t xml:space="preserve">摘要（ZH）: </w:t>
      </w:r>
      <w:r>
        <w:t>类沸石金属有机框架（ZMOF）连接了沸石的结构顺序和网状化学的合理设计，但实现其可预测的结构仍然具有挑战性。在这里，我们提出了一种通用的构建策略，采用金属有机螺旋（MOH）作为组装类沸石超分子组件（ZSA）的通用蓝图，ZSA是ZMOF或金属氢键有机框架（M-HOF）的独特子类。在初始阶段，对表现出典型 MOH 特征的网络子集进行了分析，确定了 29 个可能源自 MOH 的可行框架。基于这些见解，我们建立了基于 MOH 的组装的结构先决条件，并通过实验实现了几个代表性框架：ZSA-14，由具有 gis 型沸石拓扑的 41 型和 43 型 MOH 构建； ZSA-15和ZSA-16，由具有sod型沸石拓扑的31型和32型MOH构成；化合物 1，由具有 pts 拓扑的 21 型 MOH 组装而成。这些结果证明了 MOH 概念在编码多种类沸石拓扑中的通用性及其与等网状设计原理的兼容性。这项工作引入了螺旋蓝图作为 ZMOF 系统设计的新范例，并为从一维构建单元派生的可编程框架架构开辟了一条途径。</w:t>
      </w:r>
    </w:p>
    <w:p>
      <w:pPr>
        <w:spacing w:before="0" w:after="200" w:lineRule="auto" w:line="276"/>
      </w:pPr>
      <w:r>
        <w:rPr>
          <w:b/>
        </w:rPr>
        <w:t xml:space="preserve">Abstract (EN): </w:t>
      </w:r>
      <w:r>
        <w:t>Zeolite-like metal-organic frameworks (ZMOFs) bridge the structural order of zeolites and the rational design of reticular chemistry, yet achieving their predictable construction remains challenging. Here, we present a generalizable construction strategy that employs metal-organic helices (MOHs) as versatile blueprints for assembling zeolite-like supramolecular assemblies (ZSAs), a unique subclass of ZMOFs or metal-hydrogen bonded organic frameworks (M-HOFs). In the initial stage, a subset of networks exhibiting typical MOH features was analyzed, identifying 29 feasible frameworks potentially derivable from MOHs. Building on these insights, we established the structural prerequisites for MOH-based assembly and experimentally realized several representative frameworks: ZSA-14, constructed from 41- and 43-type MOHs with a gis-type zeolitic topology; ZSA-15 and ZSA-16, built from 31- and 32-type MOHs with sod-type zeolitic topology; and Compound 1, assembled from 21-type MOH with a pts topology. These results demonstrate the generality of the MOH concept in encoding diverse zeolite-like topologies and its compatibility with isoreticular design principles. This work introduces helical blueprints as a new paradigm for the systematic design of ZMOFs and opens a pathway toward programmable framework architectures derived from one-dimensional building units.</w:t>
      </w:r>
    </w:p>
    <w:p>
      <w:pPr>
        <w:spacing w:before="120" w:after="120"/>
      </w:pPr>
      <w:r>
        <w:rPr>
          <w:sz w:val="18"/>
        </w:rPr>
        <w:t>——————————————————————————————————————————————————————————————————————</w:t>
      </w:r>
    </w:p>
    <w:p>
      <w:pPr>
        <w:spacing w:before="160" w:after="40" w:line="240" w:lineRule="auto"/>
      </w:pPr>
      <w:r>
        <w:rPr>
          <w:b/>
        </w:rPr>
        <w:t xml:space="preserve">[169] </w:t>
      </w:r>
      <w:hyperlink r:id="rId732">
        <w:r>
          <w:rPr>
            <w:color w:val="1155CC"/>
            <w:u w:val="single"/>
          </w:rPr>
          <w:t>用于选择性加氢的具有开放式三钯节点的 Pd 24 Cu 12 笼</w:t>
        </w:r>
      </w:hyperlink>
    </w:p>
    <w:p>
      <w:pPr>
        <w:spacing w:before="0" w:after="80"/>
      </w:pPr>
      <w:r>
        <w:rPr>
          <w:i/>
          <w:sz w:val="20"/>
        </w:rPr>
        <w:t>EN: Pd 24 Cu 12 Cages with Open Tripalladium Nodes for Selective Hydrogenation</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33">
        <w:r>
          <w:rPr>
            <w:color w:val="1155CC"/>
            <w:u w:val="single"/>
          </w:rPr>
          <w:t>10.1021/jacs.6c05465</w:t>
        </w:r>
      </w:hyperlink>
    </w:p>
    <w:p>
      <w:pPr>
        <w:spacing w:before="0" w:after="120"/>
      </w:pPr>
      <w:r>
        <w:rPr>
          <w:b/>
        </w:rPr>
        <w:t xml:space="preserve">Notes: </w:t>
      </w:r>
      <w:r>
        <w:t>abstract_source=pubmed</w:t>
      </w:r>
    </w:p>
    <w:p>
      <w:pPr>
        <w:spacing w:before="0" w:after="80" w:lineRule="auto" w:line="276"/>
      </w:pPr>
      <w:r>
        <w:rPr>
          <w:b/>
        </w:rPr>
        <w:t xml:space="preserve">摘要（ZH）: </w:t>
      </w:r>
      <w:r>
        <w:t>以钯节点为特色的金属有机笼（MOC）已成为超分子配位化学领域的基石。尽管人们主要强调 Pd(II)，它为 MOC 组装奠定了基础，但研究更广泛的结构构件仍然存在大量机会。因此，新型钯基构建模块的创新对于实现新兴功能和扩展 MOC 的应用前景至关重要。在这项研究中，我们提出了{Pd3(SR')3[PR3]3}+（缩写为Pd3）簇作为一种独特的构建单元，其特征在于有利于MOC催化活性的可接近金属位点。该团簇与 Cu2 单元进行一锅共组装，产生 Pd24Cu12 笼，呈现面心立方结构。在此框架内，八个 Pd3 节点位于拐角处，而六个 Cu2 单元位于面中心。该结构由 24 个 4-巯基苯甲酸配体维持，其中硫醇盐基团与 Pd3 节点配位，羧酸盐基团与 Cu2 单元结合。这种刚性的框架，加上金属中心之间的电子通讯，使得笼子具有出色的热稳定性和有氧稳定性。值得注意的是，该笼在偶氮苯加氢中表现出高催化活性和选择性。这些发现不仅引入了一类具有催化活性的钯节点，用于组装化学性质不同的钯-有机笼，而且为进一步探索笼型催化剂铺平了道路</w:t>
      </w:r>
    </w:p>
    <w:p>
      <w:pPr>
        <w:spacing w:before="0" w:after="200" w:lineRule="auto" w:line="276"/>
      </w:pPr>
      <w:r>
        <w:rPr>
          <w:b/>
        </w:rPr>
        <w:t xml:space="preserve">Abstract (EN): </w:t>
      </w:r>
      <w:r>
        <w:t>Metal-organic cages (MOCs) featuring palladium nodes have become a cornerstone in the field of supramolecular coordination chemistry. Despite the predominant emphasis on Pd(II), which has laid a fundamental basis for MOC assembly, substantial opportunities persist for the investigation of a wider array of structural building blocks. Consequently, the innovation of new palladium-based building blocks is of critical importance for realizing emergent functionalities and extending the application landscape of MOCs. In this study, we present the {Pd3(SR')3[PR3]3}+ (abbreviated as Pd3) cluster as a unique building unit characterized by accessible metal sites conducive to catalytic activity of MOCs. The cluster undergoes a one-pot coassembly with Cu2 units to yield a Pd24Cu12 cage, exhibiting a face-centered cubic architecture. Within this framework, eight Pd3 nodes are situated at the corners, while six Cu2 units are located at the face centers. The structure is maintained by 24 4-mercaptobenzoic acid ligands, where thiolate groups coordinate to the Pd3 nodes and carboxylate groups bind to the Cu2 units. Such a rigid framework, together with the electronic communication among the metal centers, accounts for the exceptional thermal and aerobic stability of the cage. Notably, the cage showcases high catalytic activity and selectivity in the hydrogenation of azobenzene. These findings not only introduce a class of catalytically active palladium nodes for the assembly of chemically different palladium-organic cages but also pave the way for further exploration of cage-based catalysts in hydrogenation processes.</w:t>
      </w:r>
    </w:p>
    <w:p>
      <w:pPr>
        <w:spacing w:before="120" w:after="120"/>
      </w:pPr>
      <w:r>
        <w:rPr>
          <w:sz w:val="18"/>
        </w:rPr>
        <w:t>——————————————————————————————————————————————————————————————————————</w:t>
      </w:r>
    </w:p>
    <w:p>
      <w:pPr>
        <w:spacing w:before="160" w:after="40" w:line="240" w:lineRule="auto"/>
      </w:pPr>
      <w:r>
        <w:rPr>
          <w:b/>
        </w:rPr>
        <w:t xml:space="preserve">[170] </w:t>
      </w:r>
      <w:hyperlink r:id="rId734">
        <w:r>
          <w:rPr>
            <w:color w:val="1155CC"/>
            <w:u w:val="single"/>
          </w:rPr>
          <w:t>分子运动和连接性控制高 Tg 玻璃状聚合物中的机械力团活化</w:t>
        </w:r>
      </w:hyperlink>
    </w:p>
    <w:p>
      <w:pPr>
        <w:spacing w:before="0" w:after="80"/>
      </w:pPr>
      <w:r>
        <w:rPr>
          <w:i/>
          <w:sz w:val="20"/>
        </w:rPr>
        <w:t>EN: Molecular Motion and Connectivity Govern Mechanophore Activation in High- T g Glassy Polymers</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35">
        <w:r>
          <w:rPr>
            <w:color w:val="1155CC"/>
            <w:u w:val="single"/>
          </w:rPr>
          <w:t>10.1021/jacs.6c10807</w:t>
        </w:r>
      </w:hyperlink>
    </w:p>
    <w:p>
      <w:pPr>
        <w:spacing w:before="0" w:after="120"/>
      </w:pPr>
      <w:r>
        <w:rPr>
          <w:b/>
        </w:rPr>
        <w:t xml:space="preserve">Notes: </w:t>
      </w:r>
      <w:r>
        <w:t>abstract_source=pubmed</w:t>
      </w:r>
    </w:p>
    <w:p>
      <w:pPr>
        <w:spacing w:before="0" w:after="80" w:lineRule="auto" w:line="276"/>
      </w:pPr>
      <w:r>
        <w:rPr>
          <w:b/>
        </w:rPr>
        <w:t xml:space="preserve">摘要（ZH）: </w:t>
      </w:r>
      <w:r>
        <w:t>机械化学活化已在溶液和软聚合物材料中得到广泛研究，其中沿拉伸链的力传递主导响应。相比之下，人们对高模量玻璃态热固性材料的活化行为仍然知之甚少，并且材料环境本身的作用尚未得到系统量化。在这里，我们研究了将螺吡喃（SP）机械载体纳入高性能聚（二环戊二烯）（pDCPD）网络中，该网络直接通过聚合制成最终形式。这种化学上忠实的合成保持了网络的完整性，并能够在拉伸和压缩载荷下定量分析力基团的激活。我们发现弹性状态中不存在激活，并且仅在超出宏观屈服点时出现。这些结果表明，这种玻璃状网络中的机械化学响应是由变形和不可逆的片段迁移率决定的，而不是单独的张力大小，从而建立了运动诱导的激活，与之前在软材料中观察到的行为不同。因此，SP-pDCPD 系统为理解高性能玻璃态聚合物中的机械化学活化提供了定量框架。</w:t>
      </w:r>
    </w:p>
    <w:p>
      <w:pPr>
        <w:spacing w:before="0" w:after="200" w:lineRule="auto" w:line="276"/>
      </w:pPr>
      <w:r>
        <w:rPr>
          <w:b/>
        </w:rPr>
        <w:t xml:space="preserve">Abstract (EN): </w:t>
      </w:r>
      <w:r>
        <w:t>Mechanochemical activation has been extensively investigated in solutions and soft polymeric materials, where force transmission along stretched chains dominates the response. In contrast, activation behavior in higher-modulus, glassy thermosets remains poorly understood, and the role of the material environment itself has not been systematically quantified. Here, we investigate spiropyran (SP) mechanophores incorporated into a high-performance poly(dicyclopentadiene) (pDCPD) network fabricated directly by polymerization into its final form. This chemically faithful synthesis preserves network integrity and enables the quantitative analysis of mechanophore activation under tensile and compressive loading. We find that activation is absent in the elastic regime and emerges only beyond the macroscopic yield point. These results demonstrate that the mechanochemical response in this glassy network is governed by deformation and irreversible segmental mobility rather than tension magnitude alone, establishing motion-induced activation as distinct from the behavior previously observed in soft materials. The SP-pDCPD system thus provides a quantitative framework for understanding mechanochemical activation in high-performance glassy polymers.</w:t>
      </w:r>
    </w:p>
    <w:p>
      <w:pPr>
        <w:spacing w:before="120" w:after="120"/>
      </w:pPr>
      <w:r>
        <w:rPr>
          <w:sz w:val="18"/>
        </w:rPr>
        <w:t>——————————————————————————————————————————————————————————————————————</w:t>
      </w:r>
    </w:p>
    <w:p>
      <w:pPr>
        <w:spacing w:before="160" w:after="40" w:line="240" w:lineRule="auto"/>
      </w:pPr>
      <w:r>
        <w:rPr>
          <w:b/>
        </w:rPr>
        <w:t xml:space="preserve">[171] </w:t>
      </w:r>
      <w:hyperlink r:id="rId736">
        <w:r>
          <w:rPr>
            <w:color w:val="1155CC"/>
            <w:u w:val="single"/>
          </w:rPr>
          <w:t>三维共价有机框架中的互穿控制：结构调制和顺式亚胺构型</w:t>
        </w:r>
      </w:hyperlink>
    </w:p>
    <w:p>
      <w:pPr>
        <w:spacing w:before="0" w:after="80"/>
      </w:pPr>
      <w:r>
        <w:rPr>
          <w:i/>
          <w:sz w:val="20"/>
        </w:rPr>
        <w:t>EN: Interpenetration Control in Three-Dimensional Covalent Organic Frameworks: Architectural Modulation and cis -Imine Configuration</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37">
        <w:r>
          <w:rPr>
            <w:color w:val="1155CC"/>
            <w:u w:val="single"/>
          </w:rPr>
          <w:t>10.1021/jacs.6c08384</w:t>
        </w:r>
      </w:hyperlink>
    </w:p>
    <w:p>
      <w:pPr>
        <w:spacing w:before="0" w:after="120"/>
      </w:pPr>
      <w:r>
        <w:rPr>
          <w:b/>
        </w:rPr>
        <w:t xml:space="preserve">Notes: </w:t>
      </w:r>
      <w:r>
        <w:t>abstract_source=pubmed</w:t>
      </w:r>
    </w:p>
    <w:p>
      <w:pPr>
        <w:spacing w:before="0" w:after="80" w:lineRule="auto" w:line="276"/>
      </w:pPr>
      <w:r>
        <w:rPr>
          <w:b/>
        </w:rPr>
        <w:t xml:space="preserve">摘要（ZH）: </w:t>
      </w:r>
      <w:r>
        <w:t>互穿在三维共价有机框架（3D COF）中普遍存在，但它通常被视为框架组装的被动结果，而不是可调的设计参数。在这里，我们展示了可以有意调整互穿，更重要的是，可以直接控制 3D COF 的架构和动态行为。我们构建了一系列具有不同取代基（-OMe、-OEt 和 -OiPr）的等网状高度结晶 3D COF，它们在保持 pts 拓扑的同时表现出 5 倍、4 倍和 2 倍互穿。这种系统变化表明，减少互穿会重塑孔隙结构，导致孔径扩大和可及表面积增加。引人注目的是，最小互穿框架表现出一种不寻常的键级结构特征，其中亚胺键的子集采用明确确定的顺式构型，这是在 COF 中很少观察到的基序。这些键经历可逆的客体诱导的顺式到反式异构化，赋予显着的框架灵活性并驱动晶体体积异常膨胀~220%。这项工作提供了系统的实验演示，证明可以利用互穿来控制框架架构和动态行为，突出了其在设计具有定制功能的 3D COF 中的关键作用。</w:t>
      </w:r>
    </w:p>
    <w:p>
      <w:pPr>
        <w:spacing w:before="0" w:after="200" w:lineRule="auto" w:line="276"/>
      </w:pPr>
      <w:r>
        <w:rPr>
          <w:b/>
        </w:rPr>
        <w:t xml:space="preserve">Abstract (EN): </w:t>
      </w:r>
      <w:r>
        <w:t>Interpenetration is ubiquitous in three-dimensional covalent organic frameworks (3D COFs), yet it is often regarded as a passive outcome of framework assembly rather than a tunable design parameter. Here we show that interpenetration can be deliberately tuned and, more importantly, directly governs both the architecture and dynamic behavior of 3D COFs. We constructed an isoreticular series of highly crystalline 3D COFs featuring different substituents (-OMe, -OEt, and -OiPr), which exhibit 5-fold, 4-fold, and 2-fold interpenetration while maintaining the pts topology. This systematic variation reveals that reducing interpenetration reshapes pore architecture, leading to enlarged pore apertures and increased accessible surface areas. Strikingly, the minimally interpenetrated framework exhibits an unusual bond-level structural feature, in which a subset of imine linkages adopts an unambiguously determined cis configuration, a motif rarely observed in COFs. These linkages undergo reversible guest-induced cis-to-trans isomerization, imparting pronounced framework flexibility and driving an exceptional ∼220% expansion of the crystal volume. This work provides the systematic experimental demonstration that interpenetration can be harnessed to govern both framework architecture and dynamic behavior, highlighting its key role in designing 3D COFs with tailored functions.</w:t>
      </w:r>
    </w:p>
    <w:p>
      <w:pPr>
        <w:spacing w:before="120" w:after="120"/>
      </w:pPr>
      <w:r>
        <w:rPr>
          <w:sz w:val="18"/>
        </w:rPr>
        <w:t>——————————————————————————————————————————————————————————————————————</w:t>
      </w:r>
    </w:p>
    <w:p>
      <w:pPr>
        <w:spacing w:before="160" w:after="40" w:line="240" w:lineRule="auto"/>
      </w:pPr>
      <w:r>
        <w:rPr>
          <w:b/>
        </w:rPr>
        <w:t xml:space="preserve">[172] </w:t>
      </w:r>
      <w:hyperlink r:id="rId738">
        <w:r>
          <w:rPr>
            <w:color w:val="1155CC"/>
            <w:u w:val="single"/>
          </w:rPr>
          <w:t>电场方向对杂多酸电热催化(甲基)丙烯醛选择性氧化的显着影响</w:t>
        </w:r>
      </w:hyperlink>
    </w:p>
    <w:p>
      <w:pPr>
        <w:spacing w:before="0" w:after="80"/>
      </w:pPr>
      <w:r>
        <w:rPr>
          <w:i/>
          <w:sz w:val="20"/>
        </w:rPr>
        <w:t>EN: Remarkable Effect of Electric Field Direction on Electrothermally Catalytic Selective Oxidation of (Meth)acrolein over a Heteropolyacid</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39">
        <w:r>
          <w:rPr>
            <w:color w:val="1155CC"/>
            <w:u w:val="single"/>
          </w:rPr>
          <w:t>10.1021/jacs.5c22197</w:t>
        </w:r>
      </w:hyperlink>
    </w:p>
    <w:p>
      <w:pPr>
        <w:spacing w:before="0" w:after="120"/>
      </w:pPr>
      <w:r>
        <w:rPr>
          <w:b/>
        </w:rPr>
        <w:t xml:space="preserve">Notes: </w:t>
      </w:r>
      <w:r>
        <w:t>abstract_source=pubmed</w:t>
      </w:r>
    </w:p>
    <w:p>
      <w:pPr>
        <w:spacing w:before="0" w:after="80" w:lineRule="auto" w:line="276"/>
      </w:pPr>
      <w:r>
        <w:rPr>
          <w:b/>
        </w:rPr>
        <w:t xml:space="preserve">摘要（ZH）: </w:t>
      </w:r>
      <w:r>
        <w:t>由于产物选择性难以控制，不饱和醛催化部分氧化成酸仍然是一个重大挑战。在此，我们提出了一种有前景的电热催化方法，用于在吡啶修饰的 Keggin 型磷钼钒杂多酸（Py-HPAV）上选择性氧化探测（甲基）丙烯醛为（甲基）丙烯酸。研究发现，施加在催化剂床上的电场方向显着影响改性和负载杂多酸样品的催化选择性，最大差异为14%，这是由于氧化还原性质、表面吸附/解吸行为和活性位点方向的变化造成的。构效关系分析表明，随着电场强度的增强，Mo6+和V5+分别还原成Mo5+和V4+会呈线性比例地促进，从而相应地影响转化率和选择性。详细的机理和动力学研究支持电场方向对醛吸附、中间物质的形成和转化以及酸解吸的影响。额外的理论计算证实，电场和吸附的醛/酸的分子偶极矩之间的相反方向导致低吸附和解吸能，从而抑制不希望的过度氧化。此外，电场方向也会影响催化活性Mo-O-V位点相对于原料流的取向，从而影响催化活性</w:t>
      </w:r>
    </w:p>
    <w:p>
      <w:pPr>
        <w:spacing w:before="0" w:after="200" w:lineRule="auto" w:line="276"/>
      </w:pPr>
      <w:r>
        <w:rPr>
          <w:b/>
        </w:rPr>
        <w:t xml:space="preserve">Abstract (EN): </w:t>
      </w:r>
      <w:r>
        <w:t>Catalytic partial oxidation of unsaturated aldehydes to acids still remains a significant challenge because of the difficult control of product selectivity. Herein, we propose a promising electrothermally catalytic process for selective oxidation of probing (meth)acrolein to (meth)acrylic acid on a Keggin-type phosphomolybdovanadic heteropolyacid modified with pyridine (Py-HPAV). It is discovered that the electric field direction imposed on the catalyst bed significantly affects catalytic selectivity across modified and supported heteropolyacid samples, with a supreme difference of 14%, resulting from the changes of redox property, surface adsorption/desorption behavior, and orientation of active sites. Structure-activity relationship analysis reveals that the reduction of Mo6+ and V5+ to Mo5+ and V4+, respectively, will be promoted in a linear proportion with the intensified electric field, which correspondingly influences the transformative rate and selectivity. Detailed mechanistic and kinetic studies support the effect of electric field direction on aldehyde adsorption, formation, and conversion of intermediate species and acid desorption. Additional theoretical computations confirm that the opposite direction between the electric field and molecular dipole moment of adsorbed aldehyde/acid results in low adsorption and desorption energies, thereby suppressing the undesired overoxidation. In addition, the electric field direction will also influence the orientation of catalytically active Mo-O-V sites in comparison to the feed stream, which consequently affects the contact between the reactants and active sites. This work offers a valuable strategy to control the catalytic selectivity in the oxidation of unsaturated aldehydes to acids under an applied electric field.</w:t>
      </w:r>
    </w:p>
    <w:p>
      <w:pPr>
        <w:spacing w:before="120" w:after="120"/>
      </w:pPr>
      <w:r>
        <w:rPr>
          <w:sz w:val="18"/>
        </w:rPr>
        <w:t>——————————————————————————————————————————————————————————————————————</w:t>
      </w:r>
    </w:p>
    <w:p>
      <w:pPr>
        <w:spacing w:before="160" w:after="40" w:line="240" w:lineRule="auto"/>
      </w:pPr>
      <w:r>
        <w:rPr>
          <w:b/>
        </w:rPr>
        <w:t xml:space="preserve">[173] </w:t>
      </w:r>
      <w:hyperlink r:id="rId740">
        <w:r>
          <w:rPr>
            <w:color w:val="1155CC"/>
            <w:u w:val="single"/>
          </w:rPr>
          <w:t>调节乳液纳米粒子的核心流动性以实现稳定且不含过渡金属的响应 19 F MRI 探针</w:t>
        </w:r>
      </w:hyperlink>
    </w:p>
    <w:p>
      <w:pPr>
        <w:spacing w:before="0" w:after="80"/>
      </w:pPr>
      <w:r>
        <w:rPr>
          <w:i/>
          <w:sz w:val="20"/>
        </w:rPr>
        <w:t>EN: Tuning Core Fluidity in Emulsion Nanoparticles for Stable and Transition-Metal-Free Responsive 19 F MRI Probes</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41">
        <w:r>
          <w:rPr>
            <w:color w:val="1155CC"/>
            <w:u w:val="single"/>
          </w:rPr>
          <w:t>10.1021/jacs.6c08476</w:t>
        </w:r>
      </w:hyperlink>
    </w:p>
    <w:p>
      <w:pPr>
        <w:spacing w:before="0" w:after="120"/>
      </w:pPr>
      <w:r>
        <w:rPr>
          <w:b/>
        </w:rPr>
        <w:t xml:space="preserve">Notes: </w:t>
      </w:r>
      <w:r>
        <w:t>abstract_source=pubmed</w:t>
      </w:r>
    </w:p>
    <w:p>
      <w:pPr>
        <w:spacing w:before="0" w:after="80" w:lineRule="auto" w:line="276"/>
      </w:pPr>
      <w:r>
        <w:rPr>
          <w:b/>
        </w:rPr>
        <w:t xml:space="preserve">摘要（ZH）: </w:t>
      </w:r>
      <w:r>
        <w:t>19F磁共振成像（19F MRI）能够在没有背景信号的情况下可视化含有19F核的探针，并已广泛应用于靶组织和生化过程的体内成像。在 19F MRI 探针的设计中，已开发出含有液体氟化分子的纳米粒子（例如纳米乳液），通过结合移动的 19F 核来增加局部 19F 浓度和 MR 信号强度；然而，它们有限的稳定性仍然是一个重大挑战。虽然传统的稳定策略依赖于二氧化硅或聚合物的表面涂层，但它们的表面弹性无法轻易控制，而表面弹性会影响递送效率和长期体内积累。此外，响应式探针设计通常依赖于顺磁性金属，这引起了人们对毒性的担忧。为了解决这些问题，我们报告了基于乳液的 19F MRI 探针，该探针将固体脂质纳入其核心，从而增强乳液稳定性，同时通过调节内部流动性提供响应能力。在这种方法中，在不使用刚性外部涂层的情况下实现了乳液稳定性和内部流动性的同时控制，从而产生了体内 19F MRI 清晰可见的稳定探针，并表现出最小的积累，并在 1 天内发生清除。此外，ROS响应固体脂质的掺入导致了一种探针的开发，其中反应引起的流动性变化激活19F MR信号，从而无需使用顺磁剂即可实现生物标志物反应的可视化</w:t>
      </w:r>
    </w:p>
    <w:p>
      <w:pPr>
        <w:spacing w:before="0" w:after="200" w:lineRule="auto" w:line="276"/>
      </w:pPr>
      <w:r>
        <w:rPr>
          <w:b/>
        </w:rPr>
        <w:t xml:space="preserve">Abstract (EN): </w:t>
      </w:r>
      <w:r>
        <w:t>19F magnetic resonance imaging (19F MRI) enables the visualization of probes containing 19F nuclei without background signals and has been widely applied to the in vivo imaging of target tissues and biochemical processes. In the design of 19F MRI probes, nanoparticles containing liquid fluorinated molecules, such as nanoemulsions, have been developed to increase the local 19F concentration and MR signal intensity by incorporating mobile 19F nuclei; however, their limited stability remains a major challenge. While conventional stabilization strategies rely on surface coating with silica or polymers, their surface elasticity, which influences delivery efficiency and long-term in vivo accumulation, cannot be readily controlled. Additionally, responsive probe designs often rely on paramagnetic metals, raising concerns regarding toxicity. To solve these problems, we report emulsion-based 19F MRI probes that incorporate solid lipids into their core, thereby enhancing emulsion stability while providing responsiveness through the regulation of internal fluidity. In this approach, simultaneous control of emulsion stability and internal fluidity was achieved without using rigid external coatings, resulting in stable probes that were clearly visualized by in vivo 19F MRI and exhibited minimal accumulation, with clearance occurring within 1 day. Furthermore, incorporation of ROS-responsive solid lipids led to the development of a probe in which reaction-induced changes in fluidity activate the 19F MR signal, enabling the visualization of biomarker responses without the use of paramagnetic metals. This strategy provides a new design paradigm in which the physicochemical properties of 19F MRI probes are tuned through internal structural regulation, offering a versatile platform for controlling probe behavior and developing responsive imaging agents.</w:t>
      </w:r>
    </w:p>
    <w:p>
      <w:pPr>
        <w:spacing w:before="120" w:after="120"/>
      </w:pPr>
      <w:r>
        <w:rPr>
          <w:sz w:val="18"/>
        </w:rPr>
        <w:t>——————————————————————————————————————————————————————————————————————</w:t>
      </w:r>
    </w:p>
    <w:p>
      <w:pPr>
        <w:spacing w:before="160" w:after="40" w:line="240" w:lineRule="auto"/>
      </w:pPr>
      <w:r>
        <w:rPr>
          <w:b/>
        </w:rPr>
        <w:t xml:space="preserve">[174] </w:t>
      </w:r>
      <w:hyperlink r:id="rId742">
        <w:r>
          <w:rPr>
            <w:color w:val="1155CC"/>
            <w:u w:val="single"/>
          </w:rPr>
          <w:t>硫亚胺是氮烯介导的芳香族 C 至 N 转化的叠氮化物替代品</w:t>
        </w:r>
      </w:hyperlink>
    </w:p>
    <w:p>
      <w:pPr>
        <w:spacing w:before="0" w:after="80"/>
      </w:pPr>
      <w:r>
        <w:rPr>
          <w:i/>
          <w:sz w:val="20"/>
        </w:rPr>
        <w:t>EN: Sulfilimines Are Azide Alternatives for Nitrene-Mediated Aromatic C-to-N Transmutation</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43">
        <w:r>
          <w:rPr>
            <w:color w:val="1155CC"/>
            <w:u w:val="single"/>
          </w:rPr>
          <w:t>10.1021/jacs.6c10015</w:t>
        </w:r>
      </w:hyperlink>
    </w:p>
    <w:p>
      <w:pPr>
        <w:spacing w:before="0" w:after="120"/>
      </w:pPr>
      <w:r>
        <w:rPr>
          <w:b/>
        </w:rPr>
        <w:t xml:space="preserve">Notes: </w:t>
      </w:r>
      <w:r>
        <w:t>abstract_source=pubmed</w:t>
      </w:r>
    </w:p>
    <w:p>
      <w:pPr>
        <w:spacing w:before="0" w:after="80" w:lineRule="auto" w:line="276"/>
      </w:pPr>
      <w:r>
        <w:rPr>
          <w:b/>
        </w:rPr>
        <w:t xml:space="preserve">摘要（ZH）: </w:t>
      </w:r>
      <w:r>
        <w:t>C-N原子嬗变反应提供了以直接方式进行氮扫描的机会，但这些方法的采用因叠氮化物前体的需求而受到阻碍，叠氮化物前体会带来与毒性和能量特性相关的危险。在此，我们报告硫亚胺作为替代的、可光活化的氮烯前体，它可以作为最近报道的三种机械上不同的C-N嬗变反应的直接替代品。与基于叠氮化物的方案相比，硫亚胺介导的反应以相当或更高的效率进行，同时缩短了反应时间并提高了可扩展性。所需的前体可以由各种功能手柄制备，包括通过 C-H 功能化可实现的功能手柄，从而能够在复杂支架上进行 C-N 替换。这些结果将硫亚胺确立为一种实用的、无叠氮化物的 C 至 N 骨架编辑平台，并应有助于原子嬗变方法在实践中更广泛的实施。</w:t>
      </w:r>
    </w:p>
    <w:p>
      <w:pPr>
        <w:spacing w:before="0" w:after="200" w:lineRule="auto" w:line="276"/>
      </w:pPr>
      <w:r>
        <w:rPr>
          <w:b/>
        </w:rPr>
        <w:t xml:space="preserve">Abstract (EN): </w:t>
      </w:r>
      <w:r>
        <w:t>C-to-N atom transmutation reactions present the opportunity to conduct nitrogen scans in a direct fashion, but adoption of these methods has been hindered by the requirement for azide precursors, which impose hazards related to toxicity and energetic properties. Herein, we report sulfilimines as alternative, photoactivatable nitrene precursors, which serve as drop-in replacements across three mechanistically distinct, recently reported C-to-N transmutation reactions. Compared to azide-based protocols, sulfilimine-mediated reactions proceed with comparable or superior efficiency, with reduced reaction times and improved scalability. The requisite precursors can be prepared from a variety of functional handles, including those accessible through C-H functionalization, enabling C-to-N replacement on complex scaffolds. These results establish sulfilimines as a practical, azide-free platform for C-to-N skeletal editing and should facilitate the broader implementation of atom transmutation methods in practice.</w:t>
      </w:r>
    </w:p>
    <w:p>
      <w:pPr>
        <w:spacing w:before="120" w:after="120"/>
      </w:pPr>
      <w:r>
        <w:rPr>
          <w:sz w:val="18"/>
        </w:rPr>
        <w:t>——————————————————————————————————————————————————————————————————————</w:t>
      </w:r>
    </w:p>
    <w:p>
      <w:pPr>
        <w:spacing w:before="160" w:after="40" w:line="240" w:lineRule="auto"/>
      </w:pPr>
      <w:r>
        <w:rPr>
          <w:b/>
        </w:rPr>
        <w:t xml:space="preserve">[175] </w:t>
      </w:r>
      <w:hyperlink r:id="rId744">
        <w:r>
          <w:rPr>
            <w:color w:val="1155CC"/>
            <w:u w:val="single"/>
          </w:rPr>
          <w:t>通过抑制超极化水揭示 DNA 共振</w:t>
        </w:r>
      </w:hyperlink>
    </w:p>
    <w:p>
      <w:pPr>
        <w:spacing w:before="0" w:after="80"/>
      </w:pPr>
      <w:r>
        <w:rPr>
          <w:i/>
          <w:sz w:val="20"/>
        </w:rPr>
        <w:t>EN: Unmasking DNA Resonances by Suppression of Hyperpolarized Water</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45">
        <w:r>
          <w:rPr>
            <w:color w:val="1155CC"/>
            <w:u w:val="single"/>
          </w:rPr>
          <w:t>10.1021/jacs.6c07731</w:t>
        </w:r>
      </w:hyperlink>
    </w:p>
    <w:p>
      <w:pPr>
        <w:spacing w:before="0" w:after="120"/>
      </w:pPr>
      <w:r>
        <w:rPr>
          <w:b/>
        </w:rPr>
        <w:t xml:space="preserve">Notes: </w:t>
      </w:r>
      <w:r>
        <w:t>abstract_source=pubmed</w:t>
      </w:r>
    </w:p>
    <w:p>
      <w:pPr>
        <w:spacing w:before="0" w:after="80" w:lineRule="auto" w:line="276"/>
      </w:pPr>
      <w:r>
        <w:rPr>
          <w:b/>
        </w:rPr>
        <w:t xml:space="preserve">摘要（ZH）: </w:t>
      </w:r>
      <w:r>
        <w:t>基于溶解动态核极化 (dDNP) 生成的超极化水 (HyperW) 的缓冲液可在生物分子 NMR 中实现数量级的信号增强，并在接近生理浓度和条件下对一系列目标系统进行残留物解析。与此同时，这种信号增强的好处从根本上被掩盖了大部分 1H 频谱的压倒性水信号所抵消。因此，非同位素富集的靶标，包括大多数核酸（第二丰富的生物分子类别），在很大程度上仍然无法用于 dDNP 应用。在这里，我们引入了一种基于奇异值分解的通用后处理策略，该策略选择性地去除模糊的 HyperW 贡献，同时保留完整的生物分子超极化。这种方法消除了水环境中生物分子 dDNP 实验的这一主要缺点，并恢复了 1H 光谱范围的最大份额。我们的 HyperW 信号抑制方法使我们能够访问一系列 DNA 靶标中先前被掩盖的超极化储存库。 (i) 我们能够在单个实验中实时监测分布在整个 1H 谱范围内的所有 DNA 部分（芳香族、氨基、碳水化合物）通过交换中继 NOE 途径从 HyperW 到 DNA 的多个位点解析极化转移。相比之下，超极化核磁共振以前主要局限于亚氨基共振。 (ii) 对非规范的、结构独特的 i-motif 和 G-四链体 DNA 的应用使我们能够选择性地进行 hyp</w:t>
      </w:r>
    </w:p>
    <w:p>
      <w:pPr>
        <w:spacing w:before="0" w:after="200" w:lineRule="auto" w:line="276"/>
      </w:pPr>
      <w:r>
        <w:rPr>
          <w:b/>
        </w:rPr>
        <w:t xml:space="preserve">Abstract (EN): </w:t>
      </w:r>
      <w:r>
        <w:t>Buffers based on hyperpolarized water (HyperW) generated by dissolution dynamic nuclear polarization (dDNP) enable orders-of-magnitude signal enhancements in biomolecular NMR and residue-resolved access to a range of target systems at near-physiological concentrations and conditions. At the same time, the benefits of this signal enhancement are fundamentally counteracted by an overwhelming water signal that obscures most of the 1H spectrum. Therefore, nonisotopically enriched targets, including most nucleic acids, the second-most-abundant class of biomolecules, remain largely inaccessible to dDNP applications. Here, we introduce a versatile postprocessing strategy based on singular value decomposition that selectively removes the obscuring HyperW contribution while preserving full biomolecular hyperpolarization. This approach eliminates this major downside of biomolecular dDNP experiments in aqueous environments and restores access to the largest share of the 1H spectral range. Our HyperW signal suppression method enabled us to access previously masked hyperpolarization reservoirs across a range of DNA targets. (i) We were able to monitor multiple site-resolved polarization transfers from HyperW to DNA via exchange-relayed NOE pathways in real time, in a single experiment, for all DNA moieties (aromatic, amino, carbohydrate) distributed across the full range of the 1H spectrum. In contrast, hyperpolarized NMR was previously largely limited to imino resonances. (ii) Application to noncanonical, structurally distinct i-motif and G-quadruplex DNAs allowed us to selectively hyperpolarize distinct molecular regions, providing real-time insight into solvent interactions that are invisible to conventional NMR. Finally, the method is broadly applicable, as shown with five diverse target molecules, and thus provides a versatile route to biomolecular 1H-detected dDNP in aqueous environments.</w:t>
      </w:r>
    </w:p>
    <w:p>
      <w:pPr>
        <w:spacing w:before="120" w:after="120"/>
      </w:pPr>
      <w:r>
        <w:rPr>
          <w:sz w:val="18"/>
        </w:rPr>
        <w:t>——————————————————————————————————————————————————————————————————————</w:t>
      </w:r>
    </w:p>
    <w:p>
      <w:pPr>
        <w:spacing w:before="160" w:after="40" w:line="240" w:lineRule="auto"/>
      </w:pPr>
      <w:r>
        <w:rPr>
          <w:b/>
        </w:rPr>
        <w:t xml:space="preserve">[176] </w:t>
      </w:r>
      <w:hyperlink r:id="rId746">
        <w:r>
          <w:rPr>
            <w:color w:val="1155CC"/>
            <w:u w:val="single"/>
          </w:rPr>
          <w:t>胆甾型液晶中的多响应各向同性结构颜色</w:t>
        </w:r>
      </w:hyperlink>
    </w:p>
    <w:p>
      <w:pPr>
        <w:spacing w:before="0" w:after="80"/>
      </w:pPr>
      <w:r>
        <w:rPr>
          <w:i/>
          <w:sz w:val="20"/>
        </w:rPr>
        <w:t>EN: Multiresponsive Isotropic Structural Color in Cholesteric Liquid Crystals</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47">
        <w:r>
          <w:rPr>
            <w:color w:val="1155CC"/>
            <w:u w:val="single"/>
          </w:rPr>
          <w:t>10.1021/jacs.6c07395</w:t>
        </w:r>
      </w:hyperlink>
    </w:p>
    <w:p>
      <w:pPr>
        <w:spacing w:before="0" w:after="120"/>
      </w:pPr>
      <w:r>
        <w:rPr>
          <w:b/>
        </w:rPr>
        <w:t xml:space="preserve">Notes: </w:t>
      </w:r>
      <w:r>
        <w:t>abstract_source=pubmed</w:t>
      </w:r>
    </w:p>
    <w:p>
      <w:pPr>
        <w:spacing w:before="0" w:after="80" w:lineRule="auto" w:line="276"/>
      </w:pPr>
      <w:r>
        <w:rPr>
          <w:b/>
        </w:rPr>
        <w:t xml:space="preserve">摘要（ZH）: </w:t>
      </w:r>
      <w:r>
        <w:t>胆甾型液晶（CLC）由于其可调谐布拉格反射而成为有前途的光子材料。然而，它们的实际应用仍然受到基本权衡的限制：平面 CLC 薄膜存在固有的视角依赖性，而 CLC 乳液在响应性和宏观加工性方面仍然受到限制。在这里，我们通过开发基于 CLC 乳液的多响应材料来解决这一限制，该材料通过径向螺旋组织产生各向同性（与角度无关）的结构颜色。反应性 CLC 配方经过优化，纳入了对温度、化学分析物和光敏感的功能基序。所得液滴嵌入聚合物基质中，形成机械坚固的薄膜和可印刷油墨，保留可调布拉格反射，同时抑制角色散，从而实现清晰可辨的宏观着色。这些材料可以浇铸到模具中，直接书写或刷涂到任意基材上，从而形成具有保留光学响应的​​图案涂层和三维结构。在所有配方中，在外部刺激下观察到明显且可逆的反射带偏移，这表明胆甾型音调调制在限制下得以保留。该策略将聚合物嵌入的 CLC 液滴建立为多功能、多响应光子构建块，并为可加工、各向同性结构彩色材料提供了一条通用途径，能够将环境输入转换为可访问的光信号。</w:t>
      </w:r>
    </w:p>
    <w:p>
      <w:pPr>
        <w:spacing w:before="0" w:after="200" w:lineRule="auto" w:line="276"/>
      </w:pPr>
      <w:r>
        <w:rPr>
          <w:b/>
        </w:rPr>
        <w:t xml:space="preserve">Abstract (EN): </w:t>
      </w:r>
      <w:r>
        <w:t>Cholesteric liquid crystals (CLCs) are promising photonic materials due to their tunable Bragg reflection. However, their practical implementation remains constrained by a fundamental trade-off: planar CLC films suffer from intrinsic viewing-angle dependence, whereas CLC emulsions remain restricted in responsiveness and macroscopic processability. Here, we address this limitation by developing multiresponsive CLC emulsion-based materials that generate isotropic (angle-independent) structural color through radial helical organization. A reactive CLC formulation was optimized to incorporate functional motifs responsive to temperature, chemical analytes, and light. The resulting droplets are embedded within a polymer matrix to yield mechanically robust films and printable inks that retain tunable Bragg reflection while suppressing angular color dispersion, enabling clearly discernible macroscopic coloration. These materials can be cast into molds, directly written, or brush-coated onto arbitrary substrates, allowing patterned coatings and three-dimensional architectures with preserved optical response. Across all formulations, distinct and reversible reflection-band shifts are observed under external stimuli, demonstrating that cholesteric pitch modulation is preserved under confinement. This strategy establishes polymer-embedded CLC droplets as versatile, multiresponsive photonic building blocks and offers a generalizable route toward processable, isotropic structurally colored materials capable of translating environmental inputs into accessible optical signals.</w:t>
      </w:r>
    </w:p>
    <w:p>
      <w:pPr>
        <w:spacing w:before="120" w:after="120"/>
      </w:pPr>
      <w:r>
        <w:rPr>
          <w:sz w:val="18"/>
        </w:rPr>
        <w:t>——————————————————————————————————————————————————————————————————————</w:t>
      </w:r>
    </w:p>
    <w:p>
      <w:pPr>
        <w:spacing w:before="160" w:after="40" w:line="240" w:lineRule="auto"/>
      </w:pPr>
      <w:r>
        <w:rPr>
          <w:b/>
        </w:rPr>
        <w:t xml:space="preserve">[177] </w:t>
      </w:r>
      <w:hyperlink r:id="rId748">
        <w:r>
          <w:rPr>
            <w:color w:val="1155CC"/>
            <w:u w:val="single"/>
          </w:rPr>
          <w:t>从能量匹配到寿命控制：铁-芘二元组中的可调激发态平衡</w:t>
        </w:r>
      </w:hyperlink>
    </w:p>
    <w:p>
      <w:pPr>
        <w:spacing w:before="0" w:after="80"/>
      </w:pPr>
      <w:r>
        <w:rPr>
          <w:i/>
          <w:sz w:val="20"/>
        </w:rPr>
        <w:t>EN: From Energy Matching to Lifetime Control: Tunable Excited-State Equilibria in an Iron–Pyrene Dyad</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49">
        <w:r>
          <w:rPr>
            <w:color w:val="1155CC"/>
            <w:u w:val="single"/>
          </w:rPr>
          <w:t>10.1021/jacs.6c08190</w:t>
        </w:r>
      </w:hyperlink>
    </w:p>
    <w:p>
      <w:pPr>
        <w:spacing w:before="0" w:after="120"/>
      </w:pPr>
      <w:r>
        <w:rPr>
          <w:b/>
        </w:rPr>
        <w:t xml:space="preserve">Notes: </w:t>
      </w:r>
      <w:r>
        <w:t>abstract_source=pubmed</w:t>
      </w:r>
    </w:p>
    <w:p>
      <w:pPr>
        <w:spacing w:before="0" w:after="80" w:lineRule="auto" w:line="276"/>
      </w:pPr>
      <w:r>
        <w:rPr>
          <w:b/>
        </w:rPr>
        <w:t xml:space="preserve">摘要（ZH）: </w:t>
      </w:r>
      <w:r>
        <w:t>用地球上丰富的替代品代替贵金属光敏剂仍然是光氧化还原催化领域的一个核心挑战，特别是对于铁络合物，因为超快失活途径限制了激发态寿命。铁(III) N-杂环卡宾配合物最近成为有前途的光敏系统，具有纳秒寿命的配体到金属电荷转移（2LMCT）态，但有效的能量存储和反应性需要进一步延长寿命。在此，我们报道了一种合理设计的铁(III)-多芳烃二元体，其中引入了芘能量受体，产生[Fe(LPhPy)2]+。飞秒到纳秒光谱分析揭示了通过自旋允许的电子转移级联通过电荷分离态 (CSS) 中间体的 3*PhPy 的连续群体。在该系统中，2LMCT 态、CSS 和芘三重态 (3*PhPy) 的能量位于~0.2 eV 范围内，从而能够详细研究激发态平衡和近等能激发态流形。溶剂极性和离子强度被证明可以有效调节 CSS 能量，从而调整三线态产率和寿命。通过填充三重态，该二元体的激发态寿命相对于母体铁络合物增加了 50 倍以上，该三重态存储了相当的能量，但提供了不同的激发态氧化还原电位。温度相关的动力学分析提供了对竞争电子转移途径的机械见解，并突出了熵主导的过程。对于原理验证应用，</w:t>
      </w:r>
    </w:p>
    <w:p>
      <w:pPr>
        <w:spacing w:before="0" w:after="200" w:lineRule="auto" w:line="276"/>
      </w:pPr>
      <w:r>
        <w:rPr>
          <w:b/>
        </w:rPr>
        <w:t xml:space="preserve">Abstract (EN): </w:t>
      </w:r>
      <w:r>
        <w:t>Replacing noble-metal-based photosensitizers with earth-abundant alternatives remains a central challenge in photoredox catalysis, particularly for iron complexes where ultrafast deactivation pathways limit excited-state lifetimes. Iron(III) N-heterocyclic carbene complexes have recently emerged as promising photoactive systems featuring nanosecond-lived ligand-to-metal charge-transfer (2LMCT) states, yet further lifetime extension is required for efficient energy storage and reactivity. Herein, we report a rationally designed iron(III)-polyaromatic hydrocarbon dyad in which a pyrene energy acceptor was introduced, yielding [Fe(LPhPy)2]+. Femtosecond to nanosecond spectroscopic analysis reveals a sequential population of 3*PhPy via a charge-separated state (CSS) intermediate through a spin-allowed electron-transfer cascade. In this system, the energies of the 2LMCT state, the CSS, and the pyrene triplet (3*PhPy) lie within ∼0.2 eV, enabling detailed investigation of excited-state equilibria and near-isoenergetic excited-state manifolds. Solvent polarity and ionic strength are shown to effectively modulate the CSS energy, thereby tuning triplet yields and lifetimes. The dyad exhibits an over 50-fold increase in the excited-state lifetime relative to the parent iron complex by populating a triplet state that stores comparable energy but offers distinct excited-state redox potentials. Temperature-dependent kinetic analysis provides mechanistic insights into the competing electron-transfer pathways and highlights entropy-dominated processes. For proof-of-principle applications, the current dyad is benchmarked in energy versus electron transfer reactivity from different excited states and compared to the unsubstituted iron complex. These findings establish external stimuli like solvent or salt as powerful tools for controlling excited-state dynamics in iron-based molecular dyads and highlight clear pathways to tune excited states and increase the efficiency of triplet state population for a rational design of next-generation iron photosensitizers.</w:t>
      </w:r>
    </w:p>
    <w:p>
      <w:pPr>
        <w:spacing w:before="120" w:after="120"/>
      </w:pPr>
      <w:r>
        <w:rPr>
          <w:sz w:val="18"/>
        </w:rPr>
        <w:t>——————————————————————————————————————————————————————————————————————</w:t>
      </w:r>
    </w:p>
    <w:p>
      <w:pPr>
        <w:spacing w:before="160" w:after="40" w:line="240" w:lineRule="auto"/>
      </w:pPr>
      <w:r>
        <w:rPr>
          <w:b/>
        </w:rPr>
        <w:t xml:space="preserve">[178] </w:t>
      </w:r>
      <w:hyperlink r:id="rId750">
        <w:r>
          <w:rPr>
            <w:color w:val="1155CC"/>
            <w:u w:val="single"/>
          </w:rPr>
          <w:t>氧化锆3D打印人工假肢应用进展及前景</w:t>
        </w:r>
      </w:hyperlink>
    </w:p>
    <w:p>
      <w:pPr>
        <w:spacing w:before="0" w:after="80"/>
      </w:pPr>
      <w:r>
        <w:rPr>
          <w:i/>
          <w:sz w:val="20"/>
        </w:rPr>
        <w:t>EN: Development and Prospects of Zirconia 3D Printing for Artificial Prosthesis Applications</w:t>
      </w:r>
    </w:p>
    <w:p>
      <w:pPr>
        <w:spacing w:before="0" w:after="120"/>
      </w:pPr>
      <w:r>
        <w:rPr>
          <w:b/>
        </w:rPr>
        <w:t xml:space="preserve">Source: </w:t>
      </w:r>
      <w:r>
        <w:t>Chemical Reviews: Latest Articles (ACS Publications)</w:t>
      </w:r>
      <w:r>
        <w:t xml:space="preserve">    </w:t>
      </w:r>
      <w:r>
        <w:rPr>
          <w:b/>
        </w:rPr>
        <w:t xml:space="preserve">Pub date: </w:t>
      </w:r>
      <w:r>
        <w:t>2026-07-26 00:00:00+00:00</w:t>
      </w:r>
      <w:r>
        <w:t xml:space="preserve">    </w:t>
      </w:r>
      <w:r>
        <w:rPr>
          <w:b/>
        </w:rPr>
        <w:t xml:space="preserve">DOI: </w:t>
      </w:r>
      <w:hyperlink r:id="rId751">
        <w:r>
          <w:rPr>
            <w:color w:val="1155CC"/>
            <w:u w:val="single"/>
          </w:rPr>
          <w:t>10.1021/acs.chemrev.5c00650</w:t>
        </w:r>
      </w:hyperlink>
    </w:p>
    <w:p>
      <w:pPr>
        <w:spacing w:before="0" w:after="120"/>
      </w:pPr>
      <w:r>
        <w:rPr>
          <w:b/>
        </w:rPr>
        <w:t xml:space="preserve">Notes: </w:t>
      </w:r>
      <w:r>
        <w:t>abstract_source=pubmed</w:t>
      </w:r>
    </w:p>
    <w:p>
      <w:pPr>
        <w:spacing w:before="0" w:after="80" w:lineRule="auto" w:line="276"/>
      </w:pPr>
      <w:r>
        <w:rPr>
          <w:b/>
        </w:rPr>
        <w:t xml:space="preserve">摘要（ZH）: </w:t>
      </w:r>
      <w:r>
        <w:t>人工假肢制造正在朝着针对患者的设计和生产方向发展，而基于氧化锆的三维打印由于其机械性能和生物相容性而成为一种有前途的方法。然而，从实验室开发到临床使用的步骤仍然受到实验室规模工艺优化与临床相关性能、再现性和长期可靠性验证之间差距的限制。本综述对牙科、骨科和支架应用中基于氧化锆的光聚合增材制造进行了面向应用的概述，讨论了相关的功能要求以及关键加工参数、后处理步骤和质量关键变量。我们概述了主要瓶颈，例如制造过程中的光学散射和浆料流变学，以及脱脂和烧结过程中引入的缺陷和尺寸偏差，并讨论了最近的以性能为导向的策略，包括三周期最小表面（TPMS）架构和功能分级增材制造（FGAM）路线。最后，我们强调临床转化的关键要求，包括合格的过程控制、批次间的制造一致性以及临床相关条件下强大的耐久性验证。总而言之，这些方面建立了工艺-缺陷-性能关系，其中光聚合参数控制脱脂和烧结过程中的缺陷演变，并最终决定机械可靠性和临床应用</w:t>
      </w:r>
    </w:p>
    <w:p>
      <w:pPr>
        <w:spacing w:before="0" w:after="200" w:lineRule="auto" w:line="276"/>
      </w:pPr>
      <w:r>
        <w:rPr>
          <w:b/>
        </w:rPr>
        <w:t xml:space="preserve">Abstract (EN): </w:t>
      </w:r>
      <w:r>
        <w:t>Artificial prosthetic manufacturing is moving toward patient-specific design and production, and zirconia-based three-dimensional printing is emerging as a promising approach because of its mechanical properties and biocompatibility. Yet the step from laboratory development to clinical use is still limited by the gap between laboratory-scale process optimization and clinically relevant validation of performance, reproducibility, and long-term reliability. This review provides an application-oriented overview of zirconia-based photopolymerization additive manufacturing for dental, orthopedic, and scaffold applications, discussing relevant functional requirements alongside key processing parameters, postprocessing steps, and quality-critical variables. We outline major bottlenecks, such as optical scattering and slurry rheology during fabrication, as well as defects and dimensional deviations introduced during debinding and sintering, and we discuss recent performance-oriented strategies, including triply periodic minimal surface (TPMS) architectures and functionally graded additive manufacturing (FGAM) routes. Finally, we highlight the critical requirements for clinical translation, including qualification-ready process control, lot-to-lot manufacturing consistency, and robust durability validation under clinically relevant conditions. Taken together, these aspects establish a process-defect-performance relationship, where photopolymerization parameters govern defect evolution during debinding and sintering and, ultimately, determine the mechanical reliability and clinical performance of zirconia-based prostheses. Addressing these challenges will be essential for bridging the gap between laboratory-scale demonstrations and the scalable production of patient-specific zirconia prostheses.</w:t>
      </w:r>
    </w:p>
    <w:p>
      <w:pPr>
        <w:spacing w:before="120" w:after="120"/>
      </w:pPr>
      <w:r>
        <w:rPr>
          <w:sz w:val="18"/>
        </w:rPr>
        <w:t>——————————————————————————————————————————————————————————————————————</w:t>
      </w:r>
    </w:p>
    <w:p>
      <w:pPr>
        <w:spacing w:before="160" w:after="40" w:line="240" w:lineRule="auto"/>
      </w:pPr>
      <w:r>
        <w:rPr>
          <w:b/>
        </w:rPr>
        <w:t xml:space="preserve">[179] </w:t>
      </w:r>
      <w:hyperlink r:id="rId752">
        <w:r>
          <w:rPr>
            <w:color w:val="1155CC"/>
            <w:u w:val="single"/>
          </w:rPr>
          <w:t>一种柔性 PPDO-co-PEG 基共聚物组织贴片，具有高界面和内聚强度，可实现可靠密封和快速闭合湿组织</w:t>
        </w:r>
      </w:hyperlink>
    </w:p>
    <w:p>
      <w:pPr>
        <w:spacing w:before="0" w:after="80"/>
      </w:pPr>
      <w:r>
        <w:rPr>
          <w:i/>
          <w:sz w:val="20"/>
        </w:rPr>
        <w:t>EN: A Flexible PPDO- co -PEG-Based Copolymer Tissue Patch with High Interfacial and Cohesive Strength for Reliable Sealing and Rapid Closure of Wet Tissue</w:t>
      </w:r>
    </w:p>
    <w:p>
      <w:pPr>
        <w:spacing w:before="0" w:after="120"/>
      </w:pPr>
      <w:r>
        <w:rPr>
          <w:b/>
        </w:rPr>
        <w:t xml:space="preserve">Source: </w:t>
      </w:r>
      <w:r>
        <w:t>ACS Applied Materials &amp; Interfaces: Latest Articles (ACS Publications)</w:t>
      </w:r>
      <w:r>
        <w:t xml:space="preserve">    </w:t>
      </w:r>
      <w:r>
        <w:rPr>
          <w:b/>
        </w:rPr>
        <w:t xml:space="preserve">Pub date: </w:t>
      </w:r>
      <w:r>
        <w:t>2026-07-26 00:00:00+00:00</w:t>
      </w:r>
      <w:r>
        <w:t xml:space="preserve">    </w:t>
      </w:r>
      <w:r>
        <w:rPr>
          <w:b/>
        </w:rPr>
        <w:t xml:space="preserve">DOI: </w:t>
      </w:r>
      <w:hyperlink r:id="rId753">
        <w:r>
          <w:rPr>
            <w:color w:val="1155CC"/>
            <w:u w:val="single"/>
          </w:rPr>
          <w:t>10.1021/acsami.6c11556</w:t>
        </w:r>
      </w:hyperlink>
    </w:p>
    <w:p>
      <w:pPr>
        <w:spacing w:before="0" w:after="120"/>
      </w:pPr>
      <w:r>
        <w:rPr>
          <w:b/>
        </w:rPr>
        <w:t xml:space="preserve">Notes: </w:t>
      </w:r>
      <w:r>
        <w:t>abstract_source=pubmed</w:t>
      </w:r>
    </w:p>
    <w:p>
      <w:pPr>
        <w:spacing w:before="0" w:after="80" w:lineRule="auto" w:line="276"/>
      </w:pPr>
      <w:r>
        <w:rPr>
          <w:b/>
        </w:rPr>
        <w:t xml:space="preserve">摘要（ZH）: </w:t>
      </w:r>
      <w:r>
        <w:t>组织补片因其快速有效地闭合组织伤口的能力而受到广泛关注。然而，在生理条件下保持强大的粘合强度对于当前的组织粘合材料来说仍然是一个重大挑战。本文报道了一种基于聚(对二氧环己酮)-共-聚(乙二醇)(PPDO-共-PEG)共聚物的组织补片材料。该共聚物经过精心设计，具有刚性到柔性的过渡特性，N-羟基琥珀酰亚胺 (NHS) 基团作为粘合功能部分接枝到其主链上。 PPDO链段的半结晶结构增强了内聚强度，而PEG链段在生理条件下提供链段移动性，使NHS能够穿透不规则的组织界面并与表面伯胺基团发生反应。因此，贴剂表现出优异的组织粘附性能，干、湿粘附强度分别为2.59 MPa和189.6 kPa。此外，该贴片具有多功能应用的潜力，例如以出色的耐压稳定性（326 mmHg）有效密封多个器官的伤口，同时还提供快速止血和加速组织愈合。总之，本研究提出了一种灵活、高粘附性组织补片的可行设计策略，在伤口处理和组织修复方面显示出临床应用的广阔潜力。</w:t>
      </w:r>
    </w:p>
    <w:p>
      <w:pPr>
        <w:spacing w:before="0" w:after="200" w:lineRule="auto" w:line="276"/>
      </w:pPr>
      <w:r>
        <w:rPr>
          <w:b/>
        </w:rPr>
        <w:t xml:space="preserve">Abstract (EN): </w:t>
      </w:r>
      <w:r>
        <w:t>Tissue patches have gained widespread attention for their ability to rapidly and effectively close tissue wounds. Nevertheless, maintaining robust adhesive strength under physiological conditions remains a significant challenge for current tissue adhesion materials. Herein, a tissue patch material based on a poly(p-dioxanone)-co-poly(ethylene glycol) (PPDO-co-PEG) copolymer is reported. This copolymer is engineered to exhibit a rigid-to-flexible transition property, with N-hydroxysuccinimide (NHS) groups grafted onto its backbone as adhesive functional moieties. The semi-crystalline structure of the PPDO segments enhances cohesive strength, while PEG segments provide segmental mobility under physiological conditions, enabling NHS to penetrate irregular tissue interfaces and react with surface primary amine groups. Therefore, the patch exhibits excellent tissue adhesion performance, with dry and wet adhesive strength of 2.59 MPa and 189.6 kPa, respectively. Furthermore, the patch has the potential for multifunctional applications, such as effectively sealing wounds in multiple organs with outstanding pressure-resistant stability (326 mmHg), while also offering rapid hemostasis and accelerated tissue healing. In summary, this study presents a feasible design strategy for flexible, high-adhesion tissue patches, which show promising potential for clinical applications in wound management and tissue repair.</w:t>
      </w:r>
    </w:p>
    <w:p>
      <w:pPr>
        <w:spacing w:before="120" w:after="120"/>
      </w:pPr>
      <w:r>
        <w:rPr>
          <w:sz w:val="18"/>
        </w:rPr>
        <w:t>——————————————————————————————————————————————————————————————————————</w:t>
      </w:r>
    </w:p>
    <w:p>
      <w:pPr>
        <w:spacing w:before="160" w:after="40" w:line="240" w:lineRule="auto"/>
      </w:pPr>
      <w:r>
        <w:rPr>
          <w:b/>
        </w:rPr>
        <w:t xml:space="preserve">[180] </w:t>
      </w:r>
      <w:hyperlink r:id="rId754">
        <w:r>
          <w:rPr>
            <w:color w:val="1155CC"/>
            <w:u w:val="single"/>
          </w:rPr>
          <w:t>使用三线态基态阳离子的光脱保护反应中的自旋操纵效应</w:t>
        </w:r>
      </w:hyperlink>
    </w:p>
    <w:p>
      <w:pPr>
        <w:spacing w:before="0" w:after="80"/>
      </w:pPr>
      <w:r>
        <w:rPr>
          <w:i/>
          <w:sz w:val="20"/>
        </w:rPr>
        <w:t>EN: Spin Manipulation Effect in Photodeprotection Reaction Using Triplet Ground-State Cation</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55">
        <w:r>
          <w:rPr>
            <w:color w:val="1155CC"/>
            <w:u w:val="single"/>
          </w:rPr>
          <w:t>10.1021/jacs.6c10051</w:t>
        </w:r>
      </w:hyperlink>
    </w:p>
    <w:p>
      <w:pPr>
        <w:spacing w:before="0" w:after="120"/>
      </w:pPr>
      <w:r>
        <w:rPr>
          <w:b/>
        </w:rPr>
        <w:t xml:space="preserve">Notes: </w:t>
      </w:r>
      <w:r>
        <w:t>abstract_source=pubmed</w:t>
      </w:r>
    </w:p>
    <w:p>
      <w:pPr>
        <w:spacing w:before="0" w:after="80" w:lineRule="auto" w:line="276"/>
      </w:pPr>
      <w:r>
        <w:rPr>
          <w:b/>
        </w:rPr>
        <w:t xml:space="preserve">摘要（ZH）: </w:t>
      </w:r>
      <w:r>
        <w:t>光不稳定保护基团（PPG）可暂时屏蔽官能团（LG），并在无试剂中性条件下对PPG-LG进行光照射后恢复其活性，已广泛应用于从有机合成到神经科学等多种研究领域。然而，在PPG+和LG-组成的离子对扩散不利的条件下，复合反应占主导地位，使得有效的光脱保护变得困难。如果能够产生三线态基态阳离子，复合过程将成为自旋禁止的，从而提高光脱保护效率。作为概念验证，我们新设计了一种能够生成三重基态阳离子 2-(4-甲氧基苯基)-1H-茚-1-鎓阳离子 (T-PMI+) 的 PPG。通过超快瞬态吸收光谱研究了 T-PMI+ 的生成过程和动力学，并通过苄基溴、分子氧和二茂铁的化学捕获实验阐明了其反应活性。这项研究证明自旋操纵是提高光脱保护反应效率的新策略。值得注意的是，实现了 92% 的极高脱保护选择性。</w:t>
      </w:r>
    </w:p>
    <w:p>
      <w:pPr>
        <w:spacing w:before="0" w:after="200" w:lineRule="auto" w:line="276"/>
      </w:pPr>
      <w:r>
        <w:rPr>
          <w:b/>
        </w:rPr>
        <w:t xml:space="preserve">Abstract (EN): </w:t>
      </w:r>
      <w:r>
        <w:t>Photolabile protecting groups (PPGs), which temporarily mask functional groups (LGs) and regenerate their activity upon light irradiation of PPG-LGs under reagent-free neutral conditions, have been widely utilized in diverse research fields ranging from organic synthesis to neuroscience. However, under conditions where diffusion of the ion pair consisting of PPG+ and LG- is unfavorable, the recombination reaction becomes dominant, making efficient photodeprotection difficult. If triplet ground-state cations could be generated, the recombination process would become spin-forbidden, thereby enhancing photodeprotection efficiency. As a proof of concept, we newly designed a PPG capable of generating the triplet ground-state cation 2-(4-methoxyphenyl)-1H-inden-1-ylium cation (T-PMI+). The generation process and dynamics of T-PMI+ were investigated by ultrafast transient absorption spectroscopy, while its reactivity was elucidated through chemical trapping experiments by benzyl bromide, molecular oxygen, and ferrocene. This study demonstrates spin manipulation as a new strategy for boosting the efficiency of photodeprotection reactions. Notably, a remarkably high deprotection selectivity of 92% was achieved.</w:t>
      </w:r>
    </w:p>
    <w:p>
      <w:pPr>
        <w:spacing w:before="120" w:after="120"/>
      </w:pPr>
      <w:r>
        <w:rPr>
          <w:sz w:val="18"/>
        </w:rPr>
        <w:t>——————————————————————————————————————————————————————————————————————</w:t>
      </w:r>
    </w:p>
    <w:p>
      <w:pPr>
        <w:spacing w:before="160" w:after="40" w:line="240" w:lineRule="auto"/>
      </w:pPr>
      <w:r>
        <w:rPr>
          <w:b/>
        </w:rPr>
        <w:t xml:space="preserve">[181] </w:t>
      </w:r>
      <w:hyperlink r:id="rId756">
        <w:r>
          <w:rPr>
            <w:color w:val="1155CC"/>
            <w:u w:val="single"/>
          </w:rPr>
          <w:t>基因编码的五氟苯丙氨酸能够通过 19 F NMR 定量探测局部蛋白质的延展性</w:t>
        </w:r>
      </w:hyperlink>
    </w:p>
    <w:p>
      <w:pPr>
        <w:spacing w:before="0" w:after="80"/>
      </w:pPr>
      <w:r>
        <w:rPr>
          <w:i/>
          <w:sz w:val="20"/>
        </w:rPr>
        <w:t>EN: Genetically Encoded Pentafluorophenylalanine Enables Quantitative Probing of Local Protein Malleability by 19 F NMR</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57">
        <w:r>
          <w:rPr>
            <w:color w:val="1155CC"/>
            <w:u w:val="single"/>
          </w:rPr>
          <w:t>10.1021/jacs.6c10121</w:t>
        </w:r>
      </w:hyperlink>
    </w:p>
    <w:p>
      <w:pPr>
        <w:spacing w:before="0" w:after="120"/>
      </w:pPr>
      <w:r>
        <w:rPr>
          <w:b/>
        </w:rPr>
        <w:t xml:space="preserve">Notes: </w:t>
      </w:r>
      <w:r>
        <w:t>abstract_source=pubmed</w:t>
      </w:r>
    </w:p>
    <w:p>
      <w:pPr>
        <w:spacing w:before="0" w:after="80" w:lineRule="auto" w:line="276"/>
      </w:pPr>
      <w:r>
        <w:rPr>
          <w:b/>
        </w:rPr>
        <w:t xml:space="preserve">摘要（ZH）: </w:t>
      </w:r>
      <w:r>
        <w:t>蛋白质中的芳环翻转提供了局部结构波动的直接探测，但其速率通常太快，无法通过核磁共振波谱进行定量测量。在这里，我们展示了 2,3,4,5,6-五氟-l-苯丙氨酸 (F5Phe) 的位点特异性结合重塑了芳香族侧链的扭转能量景观，将环翻转速度减慢了 2 个数量级以上，并将其转变为 19F NMR 可达的慢交换状态。 F5Phe 可以以高保真度和最小的结构扰动进行基因编码，正如多种蛋白质的高分辨率 X 射线晶体学所证实的那样。由此产生的 19F NMR 光谱可以直接定量测量环翻转动力学，无需同位素标记或复杂的多维实验。对多种蛋白质的应用表明，即使在同一疏水簇内，环翻转率也有很大差异，揭示了高度局部的构象波动而不是全局解折叠事件。压力相关的测量产生较小的激活体积，表明实现环翻转的结构重排在空间上受到限制。配体结合和蛋白质-蛋白质相互作用以位点特异性方式调节环翻转速率，提供对局部蛋白质延展性的变构效应的灵敏读数。这些结果将氟化芳香族氨基酸确立为一种通用化学策略，用于设计蛋白质中的动态可观测值，将芳环翻转转化为局部构象动力学和变构的广泛适用的探针</w:t>
      </w:r>
    </w:p>
    <w:p>
      <w:pPr>
        <w:spacing w:before="0" w:after="200" w:lineRule="auto" w:line="276"/>
      </w:pPr>
      <w:r>
        <w:rPr>
          <w:b/>
        </w:rPr>
        <w:t xml:space="preserve">Abstract (EN): </w:t>
      </w:r>
      <w:r>
        <w:t>Aromatic ring flips in proteins provide a direct probe of local structural fluctuations, yet their rates are typically too fast for quantitative measurement by NMR spectroscopy. Here we show that site-specific incorporation of 2,3,4,5,6-pentafluoro-l-phenylalanine (F5Phe) reshapes the torsional energy landscape of aromatic side chains, slowing ring flips by over 2 orders of magnitude and shifting them into the slow-exchange regime accessible by 19F NMR. F5Phe can be genetically encoded with high fidelity and minimal structural perturbation, as confirmed by high-resolution X-ray crystallography across multiple proteins. The resulting 19F NMR spectra enable direct, quantitative measurements of ring-flip kinetics without the need for isotope labeling or complex multidimensional experiments. Application to a diverse set of proteins demonstrates that ring-flip rates vary widely even within the same hydrophobic cluster, revealing highly localized conformational fluctuations rather than global unfolding events. Pressure-dependent measurements yield small activation volumes, indicating that the structural rearrangements enabling ring flips are spatially confined. Ligand binding and protein-protein interactions modulate ring-flip rates in a site-specific manner, providing a sensitive readout of allosteric effects on local protein malleability. These results establish fluorinated aromatic amino acids as a general chemical strategy to engineer dynamic observables in proteins, transforming aromatic ring flips into a broadly applicable probe of local conformational dynamics and allostery.</w:t>
      </w:r>
    </w:p>
    <w:p>
      <w:pPr>
        <w:spacing w:before="120" w:after="120"/>
      </w:pPr>
      <w:r>
        <w:rPr>
          <w:sz w:val="18"/>
        </w:rPr>
        <w:t>——————————————————————————————————————————————————————————————————————</w:t>
      </w:r>
    </w:p>
    <w:p>
      <w:pPr>
        <w:spacing w:before="160" w:after="40" w:line="240" w:lineRule="auto"/>
      </w:pPr>
      <w:r>
        <w:rPr>
          <w:b/>
        </w:rPr>
        <w:t xml:space="preserve">[182] </w:t>
      </w:r>
      <w:hyperlink r:id="rId758">
        <w:r>
          <w:rPr>
            <w:color w:val="1155CC"/>
            <w:u w:val="single"/>
          </w:rPr>
          <w:t>使用氯仿作为碳炔当量的催化不对称金属环丙烷化反应</w:t>
        </w:r>
      </w:hyperlink>
    </w:p>
    <w:p>
      <w:pPr>
        <w:spacing w:before="0" w:after="80"/>
      </w:pPr>
      <w:r>
        <w:rPr>
          <w:i/>
          <w:sz w:val="20"/>
        </w:rPr>
        <w:t>EN: Catalytic Asymmetric Metallocyclopropanation Reactions Using Chloroform as a Carbyne Equivalent</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59">
        <w:r>
          <w:rPr>
            <w:color w:val="1155CC"/>
            <w:u w:val="single"/>
          </w:rPr>
          <w:t>10.1021/jacs.6c05240</w:t>
        </w:r>
      </w:hyperlink>
    </w:p>
    <w:p>
      <w:pPr>
        <w:spacing w:before="0" w:after="120"/>
      </w:pPr>
      <w:r>
        <w:rPr>
          <w:b/>
        </w:rPr>
        <w:t xml:space="preserve">Notes: </w:t>
      </w:r>
      <w:r>
        <w:t>abstract_source=pubmed</w:t>
      </w:r>
    </w:p>
    <w:p>
      <w:pPr>
        <w:spacing w:before="0" w:after="80" w:lineRule="auto" w:line="276"/>
      </w:pPr>
      <w:r>
        <w:rPr>
          <w:b/>
        </w:rPr>
        <w:t xml:space="preserve">摘要（ZH）: </w:t>
      </w:r>
      <w:r>
        <w:t>立体化学复杂、富含 sp3 的环因其能够减轻与扁平芳环相关的物理化学负担而引起了药物发现的极大兴趣。环丙烷在这方面是有吸引力的目标，因为它们具有独特的三维结构并且具有抗代谢性。使用卡宾前体开发了许多催化对映选择性烯烃环丙烷化反应。然而，这些方法大多数使用高能试剂，并且仅限于特定类别的共振稳定卡宾。在这里，我们报道了使用氯仿作为亚甲基当量和锌作为化学计量还原剂的催化不对称环丙烷化反应。产品是金属环丙烷，可以在叠层工艺中进一步官能化，产生高度对映体富集形式的卤代、芳基、烯丙基、炔基、乙烯基和其他取代的环丙烷。该反应的一个显着特征是高度的顺式非对映选择性，这是由配体的大N-芳基取代基控制的。展示了在平行合成带有药学相关杂环的对映体富集 1,2-二芳基环丙烷中的应用。</w:t>
      </w:r>
    </w:p>
    <w:p>
      <w:pPr>
        <w:spacing w:before="0" w:after="200" w:lineRule="auto" w:line="276"/>
      </w:pPr>
      <w:r>
        <w:rPr>
          <w:b/>
        </w:rPr>
        <w:t xml:space="preserve">Abstract (EN): </w:t>
      </w:r>
      <w:r>
        <w:t>Stereochemically complex, sp3-rich rings have attracted significant interest in drug discovery because of their ability to mitigate the physicochemical liabilities associated with flat aromatic rings. Cyclopropanes are attractive targets in this regard because they have unique three-dimensional structures and are resistant to metabolism. Numerous catalytic enantioselective alkene cyclopropanation reactions have been developed using carbene precursors. However, most of these methods use energetic reagents and are restricted to specific classes of resonance-stabilized carbenes. Here, we report a catalytic asymmetric cyclopropanation reaction using chloroform as a methylidyne equivalent and Zn as a stoichiometric reductant. The products are metallocyclopropanes that can be further functionalized in a telescoped process to yield halo-, aryl-, allyl-, alkynyl-, vinyl-, and other substituted cyclopropanes in highly enantioenriched form. A notable feature of the reaction is the high degree of cis diastereoselectivity, which is controlled by the large N-aryl substituent of the ligand. Application in the parallel synthesis of enantioenriched 1,2-diarylcyclopropanes bearing pharmaceutically relevant heterocycles is demonstrated.</w:t>
      </w:r>
    </w:p>
    <w:p>
      <w:pPr>
        <w:spacing w:before="120" w:after="120"/>
      </w:pPr>
      <w:r>
        <w:rPr>
          <w:sz w:val="18"/>
        </w:rPr>
        <w:t>——————————————————————————————————————————————————————————————————————</w:t>
      </w:r>
    </w:p>
    <w:p>
      <w:pPr>
        <w:spacing w:before="160" w:after="40" w:line="240" w:lineRule="auto"/>
      </w:pPr>
      <w:r>
        <w:rPr>
          <w:b/>
        </w:rPr>
        <w:t xml:space="preserve">[183] </w:t>
      </w:r>
      <w:hyperlink r:id="rId760">
        <w:r>
          <w:rPr>
            <w:color w:val="1155CC"/>
            <w:u w:val="single"/>
          </w:rPr>
          <w:t>铜酸盐奇怪金属态下的普朗克耗散</w:t>
        </w:r>
      </w:hyperlink>
    </w:p>
    <w:p>
      <w:pPr>
        <w:spacing w:before="0" w:after="80"/>
      </w:pPr>
      <w:r>
        <w:rPr>
          <w:i/>
          <w:sz w:val="20"/>
        </w:rPr>
        <w:t>EN: Universal Planckian dissipation in the strange metal state of the cuprates</w:t>
      </w:r>
    </w:p>
    <w:p>
      <w:pPr>
        <w:spacing w:before="0" w:after="120"/>
      </w:pPr>
      <w:r>
        <w:rPr>
          <w:b/>
        </w:rPr>
        <w:t xml:space="preserve">Source: </w:t>
      </w:r>
      <w:r>
        <w:t>Physical sciences : Nature Communications subject feeds</w:t>
      </w:r>
      <w:r>
        <w:t xml:space="preserve">    </w:t>
      </w:r>
      <w:r>
        <w:rPr>
          <w:b/>
        </w:rPr>
        <w:t xml:space="preserve">Pub date: </w:t>
      </w:r>
      <w:r>
        <w:t>2026-07-26 00:00:00+00:00</w:t>
      </w:r>
    </w:p>
    <w:p>
      <w:pPr>
        <w:spacing w:before="0" w:after="120"/>
      </w:pPr>
      <w:r>
        <w:rPr>
          <w:b/>
        </w:rPr>
        <w:t xml:space="preserve">Notes: </w:t>
      </w:r>
      <w:r>
        <w:t>abstract_source=nature_html</w:t>
      </w:r>
    </w:p>
    <w:p>
      <w:pPr>
        <w:spacing w:before="0" w:after="80" w:lineRule="auto" w:line="276"/>
      </w:pPr>
      <w:r>
        <w:rPr>
          <w:b/>
        </w:rPr>
        <w:t xml:space="preserve">摘要（ZH）: </w:t>
      </w:r>
      <w:r>
        <w:t>高温超导性的一个主要难题是“普朗克”弛豫率 1/τ 的起源，它是奇怪金属状态下线性温度电阻率的基础，这种状态在非常高的温度下仍然存在。理论讨论中隐含的假设是 1/τ 必须是通用的。然而，在实验上，尚不清楚如何使这种普遍性与在宽掺杂范围内观察到的电阻率的强掺杂依赖性相一致。通过对大量光学电导率和电阻率数据的分析，我们发现通用的 1/τ 仅需要方形光学等离子体频率 ωopt2(p)" role="presentation"&gt;ωopt2(p){\omega }_{{{\rm{opt}}}}^{2}(p) 在整个掺杂范围内与空穴掺杂 p 成线性比例，如实验所观察到的。我们进一步认为，这可以通过掺杂中的 Gutzwiller 因子来理解安德森提出的莫特绝缘体形式。</w:t>
      </w:r>
    </w:p>
    <w:p>
      <w:pPr>
        <w:spacing w:before="0" w:after="200" w:lineRule="auto" w:line="276"/>
      </w:pPr>
      <w:r>
        <w:rPr>
          <w:b/>
        </w:rPr>
        <w:t xml:space="preserve">Abstract (EN): </w:t>
      </w:r>
      <w:r>
        <w:t>A major puzzle in high-Tc superconductivity is the origin of the “Planckian” relaxation rate 1/τ underlying the linear-in-temperature resistivity in the strange-metal state, which persists up to very high temperatures. Implicit in theoretical discussions is the assumption that 1/τ must be universal. Experimentally, it is unclear, however, how such universality can be reconciled with the observed strong doping dependence of the resistivity over a wide doping range. We show, through an analysis of a large body of optical conductivity and electrical resistivity data, that a universal 1/τ requires only that the square optical plasma frequency &amp;#x03C9;opt2(p)" role="presentation"&gt;ωopt2(p){\omega }_{{{\rm{opt}}}}^{2}(p) scales linearly with hole doping p across the entire doping range, as is observed experimentally. We further argue that this can be understood via a Gutzwiller factor in doped Mott insulators of the form proposed by Anderson.</w:t>
      </w:r>
    </w:p>
    <w:p>
      <w:pPr>
        <w:spacing w:before="120" w:after="120"/>
      </w:pPr>
      <w:r>
        <w:rPr>
          <w:sz w:val="18"/>
        </w:rPr>
        <w:t>——————————————————————————————————————————————————————————————————————</w:t>
      </w:r>
    </w:p>
    <w:p>
      <w:pPr>
        <w:spacing w:before="160" w:after="40" w:line="240" w:lineRule="auto"/>
      </w:pPr>
      <w:r>
        <w:rPr>
          <w:b/>
        </w:rPr>
        <w:t xml:space="preserve">[184] </w:t>
      </w:r>
      <w:hyperlink r:id="rId761">
        <w:r>
          <w:rPr>
            <w:color w:val="1155CC"/>
            <w:u w:val="single"/>
          </w:rPr>
          <w:t>电纺醋酸纤维素膜可实现低背景荧光纳米金刚石侧流免疫分析，实现高灵敏度 cTnI 检测</w:t>
        </w:r>
      </w:hyperlink>
    </w:p>
    <w:p>
      <w:pPr>
        <w:spacing w:before="0" w:after="80"/>
      </w:pPr>
      <w:r>
        <w:rPr>
          <w:i/>
          <w:sz w:val="20"/>
        </w:rPr>
        <w:t>EN: Electrospun Cellulose Acetate Membranes Enable Low-Background Fluorescent Nanodiamond Lateral Flow Immunoassays for Highly Sensitive cTnI Detection</w:t>
      </w:r>
    </w:p>
    <w:p>
      <w:pPr>
        <w:spacing w:before="0" w:after="120"/>
      </w:pPr>
      <w:r>
        <w:rPr>
          <w:b/>
        </w:rPr>
        <w:t xml:space="preserve">Source: </w:t>
      </w:r>
      <w:r>
        <w:t>ACS Applied Materials &amp; Interfaces: Latest Articles (ACS Publications)</w:t>
      </w:r>
      <w:r>
        <w:t xml:space="preserve">    </w:t>
      </w:r>
      <w:r>
        <w:rPr>
          <w:b/>
        </w:rPr>
        <w:t xml:space="preserve">Pub date: </w:t>
      </w:r>
      <w:r>
        <w:t>2026-07-26 00:00:00+00:00</w:t>
      </w:r>
      <w:r>
        <w:t xml:space="preserve">    </w:t>
      </w:r>
      <w:r>
        <w:rPr>
          <w:b/>
        </w:rPr>
        <w:t xml:space="preserve">DOI: </w:t>
      </w:r>
      <w:hyperlink r:id="rId762">
        <w:r>
          <w:rPr>
            <w:color w:val="1155CC"/>
            <w:u w:val="single"/>
          </w:rPr>
          <w:t>10.1021/acsami.6c02611</w:t>
        </w:r>
      </w:hyperlink>
    </w:p>
    <w:p>
      <w:pPr>
        <w:spacing w:before="0" w:after="120"/>
      </w:pPr>
      <w:r>
        <w:rPr>
          <w:b/>
        </w:rPr>
        <w:t xml:space="preserve">Notes: </w:t>
      </w:r>
      <w:r>
        <w:t>abstract_source=pubmed</w:t>
      </w:r>
    </w:p>
    <w:p>
      <w:pPr>
        <w:spacing w:before="0" w:after="80" w:lineRule="auto" w:line="276"/>
      </w:pPr>
      <w:r>
        <w:rPr>
          <w:b/>
        </w:rPr>
        <w:t xml:space="preserve">摘要（ZH）: </w:t>
      </w:r>
      <w:r>
        <w:t>侧流免疫分析（LFA）因其简单、读数快速和成本低而被广泛使用；然而，定量性能通常受到信号强度不足和膜基质背景干扰的限制。当引入高亮度荧光纳米标记时，这个问题变得更加严重：传统的硝基纤维素（NC）膜往往会表现出自发荧光和强光散射，并且还会促进纳米颗粒的非特异性保留，从而提高背景并损害定量可靠性。在这里，我们提出了一种“荧光纳米金刚石-电纺纤维膜”策略，其中纤维电纺醋酸纤维素（ECA）膜取代了NC膜，光稳定的氮空位中心纳米金刚石（NVD）作为荧光标记。 ECA 膜的均匀纤维结构减少了散射和底物衍生的荧光；同时，纤维网络有利于更平滑的对流冲洗，减轻纳米颗粒的非特异性吸附和机械捕获。因此，未结合的标签被更有效地去除，从而抑制背景信号并提高定量鲁棒性。使用该平台，我们实现了心肌肌钙蛋白 I (cTnI) 的灵敏检测，检测限为 ~0.009 ng/mL，明显优于传统的基于 NC 的 LFA 试纸条。临床测试进一步证实了所提出方法的诊断性能和一致性。这项工作提供了一种增强 LFA 灵敏度和量化的简单途径，并且</w:t>
      </w:r>
    </w:p>
    <w:p>
      <w:pPr>
        <w:spacing w:before="0" w:after="200" w:lineRule="auto" w:line="276"/>
      </w:pPr>
      <w:r>
        <w:rPr>
          <w:b/>
        </w:rPr>
        <w:t xml:space="preserve">Abstract (EN): </w:t>
      </w:r>
      <w:r>
        <w:t>Lateral flow immunoassays (LFAs) are widely used because of their simplicity, rapid readout, and low cost; however, quantitative performance is often limited by insufficient signal intensity and background interference from the membrane substrate. This issue becomes more severe when high-brightness fluorescent nanolabels are introduced: conventional nitrocellulose (NC) membranes tend to exhibit autofluorescence and strong light scattering and can also promote nonspecific retention of nanoparticles, which elevates background and compromises quantitative reliability. Here, we present a "fluorescent nanodiamond-electrospun fibrous membrane" strategy, in which a fibrous electrospun cellulose acetate (ECA) membrane replaces the NC membrane and photostable nitrogen-vacancy center nanodiamonds (NVDs) serve as fluorescent labels. The uniform fibrous architecture of the ECA membrane reduces scattering and substrate-derived fluorescence; meanwhile, the fibrous network facilitates smoother convective wash-through, mitigating nonspecific adsorption and mechanical trapping of nanoparticles. As a result, unbound labels are more efficiently removed, leading to suppressed background signals and improved quantitative robustness. Using this platform, we achieved sensitive detection of cardiac troponin I (cTnI) with a limit of detection of ∼0.009 ng/mL, markedly better than conventional NC-based LFA strips. Clinical testing further confirms the diagnostic performance and consistency of the proposed approach. This work offers a simple route to enhance LFA sensitivity and quantification and is readily extendable to other point-of-care biosensing applications.</w:t>
      </w:r>
    </w:p>
    <w:p>
      <w:pPr>
        <w:spacing w:before="120" w:after="120"/>
      </w:pPr>
      <w:r>
        <w:rPr>
          <w:sz w:val="18"/>
        </w:rPr>
        <w:t>——————————————————————————————————————————————————————————————————————</w:t>
      </w:r>
    </w:p>
    <w:p>
      <w:pPr>
        <w:spacing w:before="160" w:after="40" w:line="240" w:lineRule="auto"/>
      </w:pPr>
      <w:r>
        <w:rPr>
          <w:b/>
        </w:rPr>
        <w:t xml:space="preserve">[185] </w:t>
      </w:r>
      <w:hyperlink r:id="rId763">
        <w:r>
          <w:rPr>
            <w:color w:val="1155CC"/>
            <w:u w:val="single"/>
          </w:rPr>
          <w:t>当多元化失败时：地缘政治蔓延和欧洲能源转型中隐藏的脆弱性</w:t>
        </w:r>
      </w:hyperlink>
    </w:p>
    <w:p>
      <w:pPr>
        <w:spacing w:before="0" w:after="80"/>
      </w:pPr>
      <w:r>
        <w:rPr>
          <w:i/>
          <w:sz w:val="20"/>
        </w:rPr>
        <w:t>EN: When diversification fails: Geopolitical contagion and hidden vulnerabilities in Europe’s energy transition</w:t>
      </w:r>
    </w:p>
    <w:p>
      <w:pPr>
        <w:spacing w:before="0" w:after="120"/>
      </w:pPr>
      <w:r>
        <w:rPr>
          <w:b/>
        </w:rPr>
        <w:t xml:space="preserve">Source: </w:t>
      </w:r>
      <w:r>
        <w:t>ScienceDirect Publication: Energy Policy</w:t>
      </w:r>
      <w:r>
        <w:t xml:space="preserve">    </w:t>
      </w:r>
      <w:r>
        <w:rPr>
          <w:b/>
        </w:rPr>
        <w:t xml:space="preserve">Pub date: </w:t>
      </w:r>
      <w:r>
        <w:t>2026-07-26 00:00:00+00:00</w:t>
      </w:r>
      <w:r>
        <w:t xml:space="preserve">    </w:t>
      </w:r>
      <w:r>
        <w:rPr>
          <w:b/>
        </w:rPr>
        <w:t xml:space="preserve">DOI: </w:t>
      </w:r>
      <w:hyperlink r:id="rId764">
        <w:r>
          <w:rPr>
            <w:color w:val="1155CC"/>
            <w:u w:val="single"/>
          </w:rPr>
          <w:t>10.1016/j.enpol.2026.115520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[186] </w:t>
      </w:r>
      <w:hyperlink r:id="rId765">
        <w:r>
          <w:rPr>
            <w:color w:val="1155CC"/>
            <w:u w:val="single"/>
          </w:rPr>
          <w:t>考虑算电耦合运行和供需不确定性的数据中心集群综合能源容量配置双层规划模型</w:t>
        </w:r>
      </w:hyperlink>
    </w:p>
    <w:p>
      <w:pPr>
        <w:spacing w:before="0" w:after="80"/>
      </w:pPr>
      <w:r>
        <w:rPr>
          <w:i/>
          <w:sz w:val="20"/>
        </w:rPr>
        <w:t>EN: A bi-level planning model of integrated energy capacity configuration for data center cluster considering computing-electricity coupling operation and supply-demand uncertainties</w:t>
      </w:r>
    </w:p>
    <w:p>
      <w:pPr>
        <w:spacing w:before="0" w:after="120"/>
      </w:pPr>
      <w:r>
        <w:rPr>
          <w:b/>
        </w:rPr>
        <w:t xml:space="preserve">Source: </w:t>
      </w:r>
      <w:r>
        <w:t>ScienceDirect Publication: Applied Energy</w:t>
      </w:r>
      <w:r>
        <w:t xml:space="preserve">    </w:t>
      </w:r>
      <w:r>
        <w:rPr>
          <w:b/>
        </w:rPr>
        <w:t xml:space="preserve">Pub date: </w:t>
      </w:r>
      <w:r>
        <w:t>2026-07-26 00:00:00+00:00</w:t>
      </w:r>
      <w:r>
        <w:t xml:space="preserve">    </w:t>
      </w:r>
      <w:r>
        <w:rPr>
          <w:b/>
        </w:rPr>
        <w:t xml:space="preserve">DOI: </w:t>
      </w:r>
      <w:hyperlink r:id="rId766">
        <w:r>
          <w:rPr>
            <w:color w:val="1155CC"/>
            <w:u w:val="single"/>
          </w:rPr>
          <w:t>10.1016/j.apenergy.2026.128499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[187] </w:t>
      </w:r>
      <w:hyperlink r:id="rId767">
        <w:r>
          <w:rPr>
            <w:color w:val="1155CC"/>
            <w:u w:val="single"/>
          </w:rPr>
          <w:t>通过手性瞬时导向基团进行对映选择性氢芳基化：通过协作对映体控制获得手性苯并稠合杂环</w:t>
        </w:r>
      </w:hyperlink>
    </w:p>
    <w:p>
      <w:pPr>
        <w:spacing w:before="0" w:after="80"/>
      </w:pPr>
      <w:r>
        <w:rPr>
          <w:i/>
          <w:sz w:val="20"/>
        </w:rPr>
        <w:t>EN: Enantioselective Hydroarylation via Chiral Transient Directing Groups: Access to Chiral Benzo-Fused Heterocycles with Collaborative Enantiomeric Control</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68">
        <w:r>
          <w:rPr>
            <w:color w:val="1155CC"/>
            <w:u w:val="single"/>
          </w:rPr>
          <w:t>10.1021/jacs.6c10980</w:t>
        </w:r>
      </w:hyperlink>
    </w:p>
    <w:p>
      <w:pPr>
        <w:spacing w:before="0" w:after="120"/>
      </w:pPr>
      <w:r>
        <w:rPr>
          <w:b/>
        </w:rPr>
        <w:t xml:space="preserve">Notes: </w:t>
      </w:r>
      <w:r>
        <w:t>abstract_source=pubmed</w:t>
      </w:r>
    </w:p>
    <w:p>
      <w:pPr>
        <w:spacing w:before="0" w:after="80" w:lineRule="auto" w:line="276"/>
      </w:pPr>
      <w:r>
        <w:rPr>
          <w:b/>
        </w:rPr>
        <w:t xml:space="preserve">摘要（ZH）: </w:t>
      </w:r>
      <w:r>
        <w:t>报道了一种由手性瞬态导向基团（cTDG）和钌η-芳烃催化剂实现的通用且实用的对映选择性C-H活化/加氢芳基化，提供了有效获得苯并稠合六元杂环的途径，包括手性色满、呫吨和相关框架。它代表了 cTDG 启用的不对称 C-H 活化在 d-金属催化中的罕见且立体化学上独特的应用，该应用进行顺序加氢芳基化，与主要介导其他类别的 C-H 功能化途径的成熟的基于 Pd(II) 的 cTDG 系统形成鲜明对比。值得注意的是，该方法能够简化获得生物活性呫吨支架（包括 dendrafaconrol 型框架）的过程，同时同样适用于苯并二氢吡喃衍生物。该催化系统采用易于获得且结构可调的 Ru(II) 芳烃配合物与简单的 α-支化手性胺相结合，以实现协同对映体控制。由于 cTDG 和 η-芳烃配体之间的相互作用，手性胺和 Ru-芳烃催化剂的模块化组合能够有效优化不同底物的反应性和对映选择性。机制研究，包​​括 H/D 扰乱、动力学同位素效应实验和密度泛函理论 (DFT) 计算，揭示了一种动态催化景观，其中决定转换的过渡态 (TDTS) 是条件依赖性的，并且两种对映体途径通过不同的速率决定步骤进行，从而深入了解构象 fl 中的不对称诱导。</w:t>
      </w:r>
    </w:p>
    <w:p>
      <w:pPr>
        <w:spacing w:before="0" w:after="200" w:lineRule="auto" w:line="276"/>
      </w:pPr>
      <w:r>
        <w:rPr>
          <w:b/>
        </w:rPr>
        <w:t xml:space="preserve">Abstract (EN): </w:t>
      </w:r>
      <w:r>
        <w:t>A general and practical enantioselective C-H activation/hydroarylation enabled by chiral transient directing groups (cTDGs) and ruthenium η-arene catalysts is reported, providing efficient access to benzo-fused six-membered heterocycles, including chiral chromanes, xanthenes, and related frameworks. It represents a rare and stereochemically distinct application of cTDG-enabled asymmetric C-H activation in d-metal catalysis, which operates a sequential hydroarylation, in contrast to the well-established Pd(II)-based cTDG systems that primarily mediate other classes of C-H functionalization pathways. Notably, this method enables streamlined access to bioactive xanthene scaffolds, including dendrafaconrol-type frameworks, while being equally applicable to chromane derivatives. The catalytic system employs readily available and structurally tunable Ru(II) arene complexes in combination with simple α-branched chiral amines for cooperative enantiomeric control. Arising from the interplay between the cTDG and the η-arene ligand, modular combinations of chiral amines and Ru-arene catalysts enabled efficient optimization of both reactivity and enantioselectivity across diverse substrates. Mechanistic studies, including H/D scrambling, kinetic isotope effect experiments, and density functional theory (DFT) computations, reveal a dynamic catalytic landscape in which the turnover-determining transition state (TDTS) is condition-dependent, and the two enantiomeric pathways proceed through distinct rate-determining steps, providing insight into asymmetric induction in conformationally flexible d-metal systems. The retained aldehyde functionality enables diverse downstream transformations, affording rapid access to biorelevant polycyclic scaffolds and previously unreported architectures. Collectively, this work establishes a modular and tunable platform for asymmetric C-H hydroarylation and expands the synthetic utility of cTDG-enabled catalysis.</w:t>
      </w:r>
    </w:p>
    <w:p>
      <w:pPr>
        <w:spacing w:before="120" w:after="120"/>
      </w:pPr>
      <w:r>
        <w:rPr>
          <w:sz w:val="18"/>
        </w:rPr>
        <w:t>——————————————————————————————————————————————————————————————————————</w:t>
      </w:r>
    </w:p>
    <w:p>
      <w:pPr>
        <w:spacing w:before="160" w:after="40" w:line="240" w:lineRule="auto"/>
      </w:pPr>
      <w:r>
        <w:rPr>
          <w:b/>
        </w:rPr>
        <w:t xml:space="preserve">[188] </w:t>
      </w:r>
      <w:hyperlink r:id="rId769">
        <w:r>
          <w:rPr>
            <w:color w:val="1155CC"/>
            <w:u w:val="single"/>
          </w:rPr>
          <w:t>六方钙钛矿 12R-Ba 4 NdMn 3 O 12−γ 中的混合 Nd 4+/3+ 和团簇磁性</w:t>
        </w:r>
      </w:hyperlink>
    </w:p>
    <w:p>
      <w:pPr>
        <w:spacing w:before="0" w:after="80"/>
      </w:pPr>
      <w:r>
        <w:rPr>
          <w:i/>
          <w:sz w:val="20"/>
        </w:rPr>
        <w:t>EN: Mixed Nd 4+/3+ and Cluster Magnetism in Hexagonal Perovskite 12R-Ba 4 NdMn 3 O 12−γ</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70">
        <w:r>
          <w:rPr>
            <w:color w:val="1155CC"/>
            <w:u w:val="single"/>
          </w:rPr>
          <w:t>10.1021/jacs.6c08795</w:t>
        </w:r>
      </w:hyperlink>
    </w:p>
    <w:p>
      <w:pPr>
        <w:spacing w:before="0" w:after="120"/>
      </w:pPr>
      <w:r>
        <w:rPr>
          <w:b/>
        </w:rPr>
        <w:t xml:space="preserve">Notes: </w:t>
      </w:r>
      <w:r>
        <w:t>abstract_source=pubmed</w:t>
      </w:r>
    </w:p>
    <w:p>
      <w:pPr>
        <w:spacing w:before="0" w:after="80" w:lineRule="auto" w:line="276"/>
      </w:pPr>
      <w:r>
        <w:rPr>
          <w:b/>
        </w:rPr>
        <w:t xml:space="preserve">摘要（ZH）: </w:t>
      </w:r>
      <w:r>
        <w:t>具有 12R 堆叠的六方钙钛矿氧化物具有分离良好的共面八面体金属三聚体，金属-金属距离短，在某些情况下会导致较大程度的磁挫败和簇磁性。在这些三聚体附近引入磁性离子可以影响挫败程度和簇磁性，但通过改变相邻金属阳离子来调节磁性的程度仍然是一个悬而未决的问题。在这项工作中，我们测试了在六方钙钛矿 12R-Ba4NdMn3O12-γ 中靠近 Mn 三聚体使用 Nd 的影响。考虑到这种化学计量，Nd 应呈现 4+ 氧化态，自旋态为 S = 1，这将是 Nd4+ 在氧化物环境中的首次实现。通过详细的体磁、X射线吸收光谱和粉末中子衍射（PND）测量，我们发现该材料中实现了Nd4+，但也有部分还原为Nd3+，并通过O空位进行电荷平衡。磁力测量表明反铁磁有序温度 TN ≈ 16 K，PND 测量揭示了令人惊讶的共线反铁磁结构，具有磁性空间群 Pc2/m（BNS 表示法中的编号为 10.49），这在此类材料中以前从未见过。我们的结果代表了对 12R-Ba4NdMn3O12-γ 的结构、电子和磁性的综合分析，首次在氧化物中观察到部分 Nd4+，并证明该结构类别可以拥有广泛的磁性结构，而这些结构是基于成分不易预测的。</w:t>
      </w:r>
    </w:p>
    <w:p>
      <w:pPr>
        <w:spacing w:before="0" w:after="200" w:lineRule="auto" w:line="276"/>
      </w:pPr>
      <w:r>
        <w:rPr>
          <w:b/>
        </w:rPr>
        <w:t xml:space="preserve">Abstract (EN): </w:t>
      </w:r>
      <w:r>
        <w:t>Hexagonal perovskite oxides with 12R stacking host well-separated face-sharing octahedral metal trimers with short metal-metal distances, leading in some cases to large degrees of magnetic frustration and cluster magnetism. Introducing magnetic ions in proximity to these trimers can influence the degree of frustration and cluster magnetism, but the extent to which the magnetism can be tuned by varying neighboring metal cations remains an open question. In this work, we test the impacts of using Nd in proximity to Mn trimers in the hexagonal perovskite 12R-Ba4NdMn3O12-γ. Given this stoichiometry, Nd should assume the 4+ oxidation state with a spin state of S = 1, which would be the first realization of Nd4+ in an oxide environment. Through detailed bulk magnetic, X-ray absorption spectroscopic, and powder neutron diffraction (PND) measurements, we find that Nd4+ is realized in this material, but there is also partial reduction to Nd3+, which is charge-balanced by O vacancies. Magnetometry measurements indicate an antiferromagnetic ordering temperature TN ≈ 16 K, and PND measurements reveal a surprising collinear antiferromagnetic structure with magnetic space group Pc2/m (no. 10.49 in BNS notation), which has not previously been seen in this class of materials. Our results represent a comprehensive analysis of the structural, electronic, and magnetic properties of 12R-Ba4NdMn3O12-γ, showing the first observation of partial Nd4+ in an oxide, and demonstrating that this structural class can host a broad range of magnetic structures which are not easily predicted based on compositional trends.</w:t>
      </w:r>
    </w:p>
    <w:p>
      <w:pPr>
        <w:spacing w:before="120" w:after="120"/>
      </w:pPr>
      <w:r>
        <w:rPr>
          <w:sz w:val="18"/>
        </w:rPr>
        <w:t>——————————————————————————————————————————————————————————————————————</w:t>
      </w:r>
    </w:p>
    <w:p>
      <w:pPr>
        <w:spacing w:before="160" w:after="40" w:line="240" w:lineRule="auto"/>
      </w:pPr>
      <w:r>
        <w:rPr>
          <w:b/>
        </w:rPr>
        <w:t xml:space="preserve">[189] </w:t>
      </w:r>
      <w:hyperlink r:id="rId771">
        <w:r>
          <w:rPr>
            <w:color w:val="1155CC"/>
            <w:u w:val="single"/>
          </w:rPr>
          <w:t>通过酶引发的级联反应在细胞内自发形成共价有机框架以促进癌症放射治疗</w:t>
        </w:r>
      </w:hyperlink>
    </w:p>
    <w:p>
      <w:pPr>
        <w:spacing w:before="0" w:after="80"/>
      </w:pPr>
      <w:r>
        <w:rPr>
          <w:i/>
          <w:sz w:val="20"/>
        </w:rPr>
        <w:t>EN: Spontaneous Intracellular Formation of Covalent Organic Frameworks via Enzyme-Initiated Cascade Reactions to Boost Cancer Radiotherapy</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72">
        <w:r>
          <w:rPr>
            <w:color w:val="1155CC"/>
            <w:u w:val="single"/>
          </w:rPr>
          <w:t>10.1021/jacs.6c07767</w:t>
        </w:r>
      </w:hyperlink>
    </w:p>
    <w:p>
      <w:pPr>
        <w:spacing w:before="0" w:after="120"/>
      </w:pPr>
      <w:r>
        <w:rPr>
          <w:b/>
        </w:rPr>
        <w:t xml:space="preserve">Notes: </w:t>
      </w:r>
      <w:r>
        <w:t>abstract_source=pubmed</w:t>
      </w:r>
    </w:p>
    <w:p>
      <w:pPr>
        <w:spacing w:before="0" w:after="80" w:lineRule="auto" w:line="276"/>
      </w:pPr>
      <w:r>
        <w:rPr>
          <w:b/>
        </w:rPr>
        <w:t xml:space="preserve">摘要（ZH）: </w:t>
      </w:r>
      <w:r>
        <w:t>肿瘤放射抵抗是放疗失败的主要原因。这项研究提出了一种利用细胞内构建的共价有机框架（COF）增强肿瘤放射敏感性的简便策略。细胞内化后，乙酰胺和碘缩醛前体发生水解，形成胺和碘醛单体，并在溶酶体内自发聚合和结晶。这种细胞内产生的富含碘的COF（原位UM-113）具有有序结构，可有效促进辐射能量沉积，产生局部活性氧并放大DNA损伤。在体外和体内，原位 UM-113 通过引发铁死亡和有丝分裂灾难来抑制肿瘤生长。该策略绕过了传统纳米医学所需的复杂合成和纯化步骤。因此，原位COF构建是增强癌症放射治疗的一种有前途的策略，为功能性生物纳米材料的细胞内合成提供了模块化平台。</w:t>
      </w:r>
    </w:p>
    <w:p>
      <w:pPr>
        <w:spacing w:before="0" w:after="200" w:lineRule="auto" w:line="276"/>
      </w:pPr>
      <w:r>
        <w:rPr>
          <w:b/>
        </w:rPr>
        <w:t xml:space="preserve">Abstract (EN): </w:t>
      </w:r>
      <w:r>
        <w:t>Tumor radioresistance is a leading cause of radiotherapy failure. This study presents a facile strategy for enhancing tumor radiosensitivity using a covalent organic framework (COF) constructed within cells. Upon cellular internalization, acetamide and iodoacetal precursors undergo hydrolysis to form amine and iodoaldehyde monomers that spontaneously polymerize and crystallize within the lysosomes. This intracellularly generated iodine-rich COF (in situ UM-113) possesses an ordered structure that effectively facilitates radiation energy deposition, producing localized reactive oxygen species and amplifying DNA damage. In vitro and in vivo, in situ UM-113 suppresses tumor growth by triggering both ferroptosis and mitotic catastrophe. This strategy bypasses the complex synthesis and purification steps required for conventional nanomedicine. Thus, in situ COF construction is a promising strategy for enhancing cancer radiotherapy, offering a modular platform for the intracellular synthesis of functional bionanomaterials.</w:t>
      </w:r>
    </w:p>
    <w:p>
      <w:pPr>
        <w:spacing w:before="120" w:after="120"/>
      </w:pPr>
      <w:r>
        <w:rPr>
          <w:sz w:val="18"/>
        </w:rPr>
        <w:t>——————————————————————————————————————————————————————————————————————</w:t>
      </w:r>
    </w:p>
    <w:p>
      <w:pPr>
        <w:spacing w:before="160" w:after="40" w:line="240" w:lineRule="auto"/>
      </w:pPr>
      <w:r>
        <w:rPr>
          <w:b/>
        </w:rPr>
        <w:t xml:space="preserve">[190] </w:t>
      </w:r>
      <w:hyperlink r:id="rId773">
        <w:r>
          <w:rPr>
            <w:color w:val="1155CC"/>
            <w:u w:val="single"/>
          </w:rPr>
          <w:t>醇醛缩聚中的合成方法-缺陷相关性：从模型反应到 n 型噻唑并噻唑共聚物</w:t>
        </w:r>
      </w:hyperlink>
    </w:p>
    <w:p>
      <w:pPr>
        <w:spacing w:before="0" w:after="80"/>
      </w:pPr>
      <w:r>
        <w:rPr>
          <w:i/>
          <w:sz w:val="20"/>
        </w:rPr>
        <w:t>EN: Synthetic Method–Defect Correlations in Aldol Polycondensation: From Model Reactions to an n -Type Thiazolothioazole Copolymer</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74">
        <w:r>
          <w:rPr>
            <w:color w:val="1155CC"/>
            <w:u w:val="single"/>
          </w:rPr>
          <w:t>10.1021/jacs.6c07584</w:t>
        </w:r>
      </w:hyperlink>
    </w:p>
    <w:p>
      <w:pPr>
        <w:spacing w:before="0" w:after="120"/>
      </w:pPr>
      <w:r>
        <w:rPr>
          <w:b/>
        </w:rPr>
        <w:t xml:space="preserve">Notes: </w:t>
      </w:r>
      <w:r>
        <w:t>abstract_source=pubmed</w:t>
      </w:r>
    </w:p>
    <w:p>
      <w:pPr>
        <w:spacing w:before="0" w:after="80" w:lineRule="auto" w:line="276"/>
      </w:pPr>
      <w:r>
        <w:rPr>
          <w:b/>
        </w:rPr>
        <w:t xml:space="preserve">摘要（ZH）: </w:t>
      </w:r>
      <w:r>
        <w:t>采用羟醛缩聚反应制备了一种新型 n 型共轭聚合物。主干被设计为线性、共面且具有低 LUMO 能级。 Bisisatin 单体仅在无金属和环境条件下通过四个步骤制成。线性和共面结构的关键是通过噻唑并噻唑单元桥接两个靛红基序。羟醛共聚物与苯并二呋喃酮可在不使用卤素的情况下提供具有低 LUMO 能级 ~ -4.2 eV 的聚合物。使用单官能模型化合物定量研究羟醛缩聚过程中缺陷的形成。除了已知的缺陷（例如同源偶联）之外，还观察到融合类似物以及其他缺陷。硬脂酸锌被认为是一种优异的催化剂，模型反应中几乎不存在缺陷。这与使用的所有其他催化条件（包括常见的文献方案）形成对比。重要的是，必须不断从反应中除去水，以防止缺陷的形成。根据这些结果，选择导致羟醛共聚物中不同缺陷密度的方案。光谱方法证实了羟醛聚合物的缺陷性质，但对其性质和丰度的结构了解有限。电喷雾沉积扫描隧道显微镜能够直接识别和量化缺陷结构，揭示小分子模型系统和全聚合物之间相对频率的相似趋势和显着差异，通过反应平衡和链迁移率的差异合理化。除了推出新的低 L</w:t>
      </w:r>
    </w:p>
    <w:p>
      <w:pPr>
        <w:spacing w:before="0" w:after="200" w:lineRule="auto" w:line="276"/>
      </w:pPr>
      <w:r>
        <w:rPr>
          <w:b/>
        </w:rPr>
        <w:t xml:space="preserve">Abstract (EN): </w:t>
      </w:r>
      <w:r>
        <w:t>A new n-type conjugated polymer is prepared using aldol polycondensation. The backbone is designed to be linear, coplanar and to have a low LUMO energy level. A bisisatin monomer is made in four steps only under metal-free and ambient conditions. Key to the linear and coplanar structure is the bridging of two isatin motifs by a thiazolothiazole unit. Aldol copolymers with benzodifuranone afford polymers with low LUMO energy levels of ∼ -4.2 eV without using halogens. Defect formation during aldol polycondensation is studied quantitatively using monofunctional model compounds. Besides known defects such as homocouplings, fused analogs are observed along with other defects. Zinc stearate is identified as a superior catalyst, with defects being mostly absent in model reactions. This is in contrast to all other catalytic conditions used, including common literature protocols. Importantly, water must be continuously removed from the reaction to prevent the formation of defects. From these results, protocols are selected that lead to different defect densities in aldol copolymers. Spectroscopic methods confirm the defective nature of aldol polymers but offer limited structural insight into their nature and abundance. Electrospray deposition scanning tunneling microscopy enables direct identification and quantification of defect structures, revealing both similar trends and notable differences in their relative frequencies between small-molecule model systems and full polymers, rationalized by differences in reaction equilibria and chain mobility. Alongside introducing a new low LUMO n-type polymer synthesized via a metal-free route, this study opens pathways toward defect-free aldol polymers, which are otherwise intrinsically prone to defect formation.</w:t>
      </w:r>
    </w:p>
    <w:p>
      <w:pPr>
        <w:spacing w:before="120" w:after="120"/>
      </w:pPr>
      <w:r>
        <w:rPr>
          <w:sz w:val="18"/>
        </w:rPr>
        <w:t>——————————————————————————————————————————————————————————————————————</w:t>
      </w:r>
    </w:p>
    <w:p>
      <w:pPr>
        <w:spacing w:before="160" w:after="40" w:line="240" w:lineRule="auto"/>
      </w:pPr>
      <w:r>
        <w:rPr>
          <w:b/>
        </w:rPr>
        <w:t xml:space="preserve">[191] </w:t>
      </w:r>
      <w:hyperlink r:id="rId775">
        <w:r>
          <w:rPr>
            <w:color w:val="1155CC"/>
            <w:u w:val="single"/>
          </w:rPr>
          <w:t>非无害配体作为二维金属有机框架中完全补偿亚铁磁性的设计策略</w:t>
        </w:r>
      </w:hyperlink>
    </w:p>
    <w:p>
      <w:pPr>
        <w:spacing w:before="0" w:after="80"/>
      </w:pPr>
      <w:r>
        <w:rPr>
          <w:i/>
          <w:sz w:val="20"/>
        </w:rPr>
        <w:t>EN: Noninnocent Ligands as a Design Strategy for Fully Compensated Ferrimagnetism in Two-Dimensional Metal–Organic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76">
        <w:r>
          <w:rPr>
            <w:color w:val="1155CC"/>
            <w:u w:val="single"/>
          </w:rPr>
          <w:t>10.1021/jacs.6c06650</w:t>
        </w:r>
      </w:hyperlink>
    </w:p>
    <w:p>
      <w:pPr>
        <w:spacing w:before="0" w:after="120"/>
      </w:pPr>
      <w:r>
        <w:rPr>
          <w:b/>
        </w:rPr>
        <w:t xml:space="preserve">Notes: </w:t>
      </w:r>
      <w:r>
        <w:t>abstract_source=pubmed</w:t>
      </w:r>
    </w:p>
    <w:p>
      <w:pPr>
        <w:spacing w:before="0" w:after="80" w:lineRule="auto" w:line="276"/>
      </w:pPr>
      <w:r>
        <w:rPr>
          <w:b/>
        </w:rPr>
        <w:t xml:space="preserve">摘要（ZH）: </w:t>
      </w:r>
      <w:r>
        <w:t>全补偿亚铁磁体（fFiM）将消失的宏观磁化强度与自旋分裂电子​​态相结合，对于无杂散场自旋电子学非常有吸引力。然而，实现精确的力矩抵消通常需要对不等磁性子晶格进行精细控制，这使得 fFiM 的合理设计成为一项根本挑战。在这里，我们通过将氧化还原活性非无害配体（NIL）集成到金属有机框架（MOF）中，提出了二维（2D）fFiM的通用设计策略。第一原理计算表明，部分金属到配体电荷转移将 NIL 从闭壳连接体转化为自旋承载配体亚晶格，该亚晶格与金属中心反平行排列，从而实现化学计量补偿。我们在一系列三角二维铬 MOF 中验证了这一概念。虽然原型 Cr(BTT)2 证实了完全补偿的亚铁磁性，但它表现出内在的热不稳定性。 NIL 策略的模块化性质允许化学精炼，配体氟化 (Cr(F-BTT)2) 或重硫族元素取代 (Cr(BSeT)2) 可以稳定 2D 晶格，而不破坏 fFiM 基态。经过化学优化的 Cr(F-BTT)2 保留了完全补偿的亚铁磁性，并表现出接近费米准狄拉克的能带特征，估计磁转变温度为 132 K。对氮基和磷基配体的扩展研究进一步支持了该方法的通用性和边界。这些发现确立了 NIL 定向电荷转移作为工程的化学可编程句柄。</w:t>
      </w:r>
    </w:p>
    <w:p>
      <w:pPr>
        <w:spacing w:before="0" w:after="200" w:lineRule="auto" w:line="276"/>
      </w:pPr>
      <w:r>
        <w:rPr>
          <w:b/>
        </w:rPr>
        <w:t xml:space="preserve">Abstract (EN): </w:t>
      </w:r>
      <w:r>
        <w:t>Fully compensated ferrimagnets (fFiMs), which combine vanishing macroscopic magnetization with spin-split electronic states, are attractive for stray-field-free spintronics. However, achieving exact moment cancellation typically requires fine control over inequivalent magnetic sublattices, making the rational design of fFiMs a fundamental challenge. Here, we propose a general design strategy for two-dimensional (2D) fFiMs by integrating redox-active noninnocent ligands (NILs) into metal-organic frameworks (MOFs). First-principles calculations demonstrate that fractional metal-to-ligand charge transfer converts NILs from closed-shell linkers into a spin-bearing ligand sublattice that aligns antiparallel to the metal centers, enabling stoichiometric moment compensation. We validated this concept in a family of trigonal 2D chromium MOFs. While the prototype Cr(BTT)2 confirms fully compensated ferrimagnetism, it exhibits intrinsic thermal instability. The modular nature of the NIL strategy allows for chemical refinement, and ligand fluorination (Cr(F-BTT)2) or heavy-chalcogen substitution (Cr(BSeT)2) stabilizes the 2D lattice without disrupting the fFiM ground state. The chemically optimized Cr(F-BTT)2 retains fully compensated ferrimagnetism and exhibits a near-Fermi quasi-Dirac-like band feature with an estimated magnetic transition temperature of 132 K. Extended studies of nitrogen- and phosphorus-based ligands further support the generality and boundary of this approach. These findings establish NIL-directed charge transfer as a chemically programmable handle for engineering 2D-compensated magnets.</w:t>
      </w:r>
    </w:p>
    <w:p>
      <w:pPr>
        <w:spacing w:before="120" w:after="120"/>
      </w:pPr>
      <w:r>
        <w:rPr>
          <w:sz w:val="18"/>
        </w:rPr>
        <w:t>——————————————————————————————————————————————————————————————————————</w:t>
      </w:r>
    </w:p>
    <w:p>
      <w:pPr>
        <w:spacing w:before="160" w:after="40" w:line="240" w:lineRule="auto"/>
      </w:pPr>
      <w:r>
        <w:rPr>
          <w:b/>
        </w:rPr>
        <w:t xml:space="preserve">[192] </w:t>
      </w:r>
      <w:hyperlink r:id="rId777">
        <w:r>
          <w:rPr>
            <w:color w:val="1155CC"/>
            <w:u w:val="single"/>
          </w:rPr>
          <w:t>球形核酸跨越不同上皮屏障的组成程序化转运反转</w:t>
        </w:r>
      </w:hyperlink>
    </w:p>
    <w:p>
      <w:pPr>
        <w:spacing w:before="0" w:after="80"/>
      </w:pPr>
      <w:r>
        <w:rPr>
          <w:i/>
          <w:sz w:val="20"/>
        </w:rPr>
        <w:t>EN: Composition-Programmed Transport Inversion in Spherical Nucleic Acids across Distinct Epithelial Barriers</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78">
        <w:r>
          <w:rPr>
            <w:color w:val="1155CC"/>
            <w:u w:val="single"/>
          </w:rPr>
          <w:t>10.1021/jacs.6c06983</w:t>
        </w:r>
      </w:hyperlink>
    </w:p>
    <w:p>
      <w:pPr>
        <w:spacing w:before="0" w:after="120"/>
      </w:pPr>
      <w:r>
        <w:rPr>
          <w:b/>
        </w:rPr>
        <w:t xml:space="preserve">Notes: </w:t>
      </w:r>
      <w:r>
        <w:t>abstract_source=pubmed</w:t>
      </w:r>
    </w:p>
    <w:p>
      <w:pPr>
        <w:spacing w:before="0" w:after="80" w:lineRule="auto" w:line="276"/>
      </w:pPr>
      <w:r>
        <w:rPr>
          <w:b/>
        </w:rPr>
        <w:t xml:space="preserve">摘要（ZH）: </w:t>
      </w:r>
      <w:r>
        <w:t>在纳米结构拓扑保持不变的情况下，仅表面成分是否可以逆转不同生物屏障的运输偏好？在这里，我们使用屏障适应性球形核酸（BASNA）来解决这个问题，BASNA是一种完全有机且可还原的聚合SNA框架，其中FcεRIβ靶向反义寡核苷酸（ASO）和两性离子聚（羧基甜菜碱）（pcB）链共价共接枝到共享支架上，而只有它们的相对表面组成发生变化。 pCB 与 ASO 比率的系统调节可对 BASNA 冠的界面状态进行编程，并在两个生物物理上不同的上皮屏障之间产生成分依赖性的传输反转。较高的多氯联苯含量会产生高度水合的界面，抑制与粘蛋白的粘附相互作用，并能够通过粘液有效扩散，而较低的多氯联苯含量可在弱酸性条件下保持胶体稳定性，并支持穿过角质层的运输。在该组合物系列中，BASNA 保留了序列特异性杂交活性，表现出增强的双链体稳定性和核酸酶抗性，并改善了细胞内递送。在体内，屏障匹配的 BASNA 制剂可实现肥大细胞中 FcεRIβ 的沉默，从而防止预防性特应性皮炎模型中的炎症发作，并抑制治疗性过敏性鼻炎模型中的既定症状。这些发现表明，界面组成可以作为逆转固定核酸纳米结构内屏障偏好的控制参数。</w:t>
      </w:r>
    </w:p>
    <w:p>
      <w:pPr>
        <w:spacing w:before="0" w:after="200" w:lineRule="auto" w:line="276"/>
      </w:pPr>
      <w:r>
        <w:rPr>
          <w:b/>
        </w:rPr>
        <w:t xml:space="preserve">Abstract (EN): </w:t>
      </w:r>
      <w:r>
        <w:t>Can surface composition alone, while nanostructural topology is held constant, reverse transport preference across distinct biological barriers? Here, we address this question using barrier-adaptive spherical nucleic acids, or BASNAs, a fully organic and reducible polymeric SNA framework in which FcεRIβ-targeting antisense oligonucleotides (ASO) and zwitterionic poly(carboxybetaine) (pCB) chains are covalently cografted onto a shared scaffold, while only their relative surface composition is varied. Systematic modulation of the pCB-to-ASO ratio programs the interfacial state of the BASNA corona and produces composition-dependent transport inversion between two biophysically distinct epithelial barriers. Higher pCB content generates a highly hydrated interface that suppresses adhesive interactions with mucins and enables efficient diffusion through mucus, whereas lower pCB content preserves colloidal stability under mildly acidic conditions and supports transport across the stratum corneum. Across this composition series, BASNAs retain sequence-specific hybridization activity, exhibit enhanced duplex stability and nuclease resistance, and improve intracellular delivery. In vivo, barrier-matched BASNA formulations achieve FcεRIβ silencing in mast cells, preventing inflammatory flare-ups in a prophylactic atopic dermatitis model and suppressing established symptoms in a therapeutic allergic rhinitis model. These findings show that interfacial composition can serve as a control parameter for reversing barrier preference within a fixed nucleic acid nanostructure.</w:t>
      </w:r>
    </w:p>
    <w:p>
      <w:pPr>
        <w:spacing w:before="120" w:after="120"/>
      </w:pPr>
      <w:r>
        <w:rPr>
          <w:sz w:val="18"/>
        </w:rPr>
        <w:t>——————————————————————————————————————————————————————————————————————</w:t>
      </w:r>
    </w:p>
    <w:p>
      <w:pPr>
        <w:spacing w:before="160" w:after="40" w:line="240" w:lineRule="auto"/>
      </w:pPr>
      <w:r>
        <w:rPr>
          <w:b/>
        </w:rPr>
        <w:t xml:space="preserve">[193] </w:t>
      </w:r>
      <w:hyperlink r:id="rId779">
        <w:r>
          <w:rPr>
            <w:color w:val="1155CC"/>
            <w:u w:val="single"/>
          </w:rPr>
          <w:t>固氮类金属蛋白对氮、能量、碳和硫代谢的功能、结构和调节</w:t>
        </w:r>
      </w:hyperlink>
    </w:p>
    <w:p>
      <w:pPr>
        <w:spacing w:before="0" w:after="80"/>
      </w:pPr>
      <w:r>
        <w:rPr>
          <w:i/>
          <w:sz w:val="20"/>
        </w:rPr>
        <w:t>EN: Function, Structure, and Regulation of Nitrogen Fixation-like Metalloproteins for Nitrogen, Energy, Carbon, and Sulfur Metabolism</w:t>
      </w:r>
    </w:p>
    <w:p>
      <w:pPr>
        <w:spacing w:before="0" w:after="120"/>
      </w:pPr>
      <w:r>
        <w:rPr>
          <w:b/>
        </w:rPr>
        <w:t xml:space="preserve">Source: </w:t>
      </w:r>
      <w:r>
        <w:t>Chemical Reviews: Latest Articles (ACS Publications)</w:t>
      </w:r>
      <w:r>
        <w:t xml:space="preserve">    </w:t>
      </w:r>
      <w:r>
        <w:rPr>
          <w:b/>
        </w:rPr>
        <w:t xml:space="preserve">Pub date: </w:t>
      </w:r>
      <w:r>
        <w:t>2026-07-26 00:00:00+00:00</w:t>
      </w:r>
      <w:r>
        <w:t xml:space="preserve">    </w:t>
      </w:r>
      <w:r>
        <w:rPr>
          <w:b/>
        </w:rPr>
        <w:t xml:space="preserve">DOI: </w:t>
      </w:r>
      <w:hyperlink r:id="rId780">
        <w:r>
          <w:rPr>
            <w:color w:val="1155CC"/>
            <w:u w:val="single"/>
          </w:rPr>
          <w:t>10.1021/acs.chemrev.5c00922</w:t>
        </w:r>
      </w:hyperlink>
    </w:p>
    <w:p>
      <w:pPr>
        <w:spacing w:before="0" w:after="120"/>
      </w:pPr>
      <w:r>
        <w:rPr>
          <w:b/>
        </w:rPr>
        <w:t xml:space="preserve">Notes: </w:t>
      </w:r>
      <w:r>
        <w:t>abstract_source=pubmed</w:t>
      </w:r>
    </w:p>
    <w:p>
      <w:pPr>
        <w:spacing w:before="0" w:after="80" w:lineRule="auto" w:line="276"/>
      </w:pPr>
      <w:r>
        <w:rPr>
          <w:b/>
        </w:rPr>
        <w:t xml:space="preserve">摘要（ZH）: </w:t>
      </w:r>
      <w:r>
        <w:t>固氮酶 (N2ase) 和类固氮 (NFL) 系统由于结构和金属辅因子特性的根本差异，在氮、碳、硫和能量代谢中发挥着不同的作用。随着新的 NFL 系统最近被识别和表征，与 N2ase 结构、催化和调节相比，出现了惊人的相似之处和差异。 NFL 系统使用的金属辅因子涵盖从简单的 [4Fe-4S] 簇到类似于 FeMo-co 的复杂簇，以前认为仅出现在 N2ase 中。这篇综述描述了 NFL 系统的功能、结构、催化机制和调节方面的知识现状，这些系统在生命的所有三个领域中发挥着不同的生物学作用。用于探测金属辅因子结构和电子状态的 N2ase 光谱技术的最新进展指导了当前和未来关于每个 NFL 系统如何催化其特定生物反应的工作。讨论了揭示 NFL 系统反应特异性核心的特定金属辅因子和结构基序的关键知识差距和所需的研究领域，以及这些系统的调节方式。</w:t>
      </w:r>
    </w:p>
    <w:p>
      <w:pPr>
        <w:spacing w:before="0" w:after="200" w:lineRule="auto" w:line="276"/>
      </w:pPr>
      <w:r>
        <w:rPr>
          <w:b/>
        </w:rPr>
        <w:t xml:space="preserve">Abstract (EN): </w:t>
      </w:r>
      <w:r>
        <w:t>Nitrogenases (N2ases) and nitrogen fixation-like (NFL) systems play distinct roles in nitrogen, carbon, sulfur, and energy metabolism based on their fundamental differences in structure and metallocofactor identity. As new NFL systems have recently been identified and characterized, striking parallels and differences compared to N2ase structure, catalysis, and regulation have emerged. NFL systems use metallocofactors that span from simple [4Fe-4S] clusters to complex clusters akin to FeMo-co, previously only thought to occur in N2ase. This review describes the present state of knowledge on the function, structure, catalytic mechanisms, and regulation of NFL systems that perform distinct biological roles across all three domains of life. Recent advancements in N2ase spectroscopic techniques for probing metallocofactor structure and electronic states guide current and future work on how each NFL system catalyzes its specific biological reaction(s). Key knowledge gaps and needed areas of research for uncovering the specific metallocofactors and structural motifs that are at the heart of NFL system reaction specificity, along with how these systems are regulated, are discussed.</w:t>
      </w:r>
    </w:p>
    <w:p>
      <w:pPr>
        <w:spacing w:before="120" w:after="120"/>
      </w:pPr>
      <w:r>
        <w:rPr>
          <w:sz w:val="18"/>
        </w:rPr>
        <w:t>——————————————————————————————————————————————————————————————————————</w:t>
      </w:r>
    </w:p>
    <w:p>
      <w:pPr>
        <w:spacing w:before="160" w:after="40" w:line="240" w:lineRule="auto"/>
      </w:pPr>
      <w:r>
        <w:rPr>
          <w:b/>
        </w:rPr>
        <w:t xml:space="preserve">[194] </w:t>
      </w:r>
      <w:hyperlink r:id="rId781">
        <w:r>
          <w:rPr>
            <w:color w:val="1155CC"/>
            <w:u w:val="single"/>
          </w:rPr>
          <w:t>RiPP 生物合成过程中多核非血红素铁氧化酶催化高瓜氨酸的双羟基化</w:t>
        </w:r>
      </w:hyperlink>
    </w:p>
    <w:p>
      <w:pPr>
        <w:spacing w:before="0" w:after="80"/>
      </w:pPr>
      <w:r>
        <w:rPr>
          <w:i/>
          <w:sz w:val="20"/>
        </w:rPr>
        <w:t>EN: Bis-hydroxylation of Homocitrulline Catalyzed by a Multinuclear Nonheme Iron Oxidative Enzyme during RiPP Biosynthesis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2026-07-26 00:00:00+00:00</w:t>
      </w:r>
      <w:r>
        <w:t xml:space="preserve">    </w:t>
      </w:r>
      <w:r>
        <w:rPr>
          <w:b/>
        </w:rPr>
        <w:t xml:space="preserve">DOI: </w:t>
      </w:r>
      <w:hyperlink r:id="rId782">
        <w:r>
          <w:rPr>
            <w:color w:val="1155CC"/>
            <w:u w:val="single"/>
          </w:rPr>
          <w:t>10.1021/jacs.6c09029</w:t>
        </w:r>
      </w:hyperlink>
    </w:p>
    <w:p>
      <w:pPr>
        <w:spacing w:before="0" w:after="120"/>
      </w:pPr>
      <w:r>
        <w:rPr>
          <w:b/>
        </w:rPr>
        <w:t xml:space="preserve">Notes: </w:t>
      </w:r>
      <w:r>
        <w:t>abstract_source=pubmed</w:t>
      </w:r>
    </w:p>
    <w:p>
      <w:pPr>
        <w:spacing w:before="0" w:after="80" w:lineRule="auto" w:line="276"/>
      </w:pPr>
      <w:r>
        <w:rPr>
          <w:b/>
        </w:rPr>
        <w:t xml:space="preserve">摘要（ZH）: </w:t>
      </w:r>
      <w:r>
        <w:t>核糖体合成和翻译后修饰肽 (RiPP) 由生物合成酶产生，这些酶修饰基因编码的前体肽主链和侧链。针对多核非血红素铁氧化 (MNIO) 酶家族的基因组挖掘和生物信息学分析，鉴定出来自热解链霉菌 JCM 4840 的 RiPP 生物合成基因簇（标准簇），其中包括多种生物合成酶和含有保守 SNKEWQE 基序的前体肽。使用体外方法，我们阐明了标准生物合成酶安装的修饰。首先，YcaO-TfuA 对将天冬酰胺主链硫代酰胺化。接下来，具有与 NodU 样氨基甲酰基转移酶融合的 S8/S53 结构域的肽酶既可以对赖氨酸的 ε-氨基进行氨基甲酰化，以产生非蛋白原氨基酸高瓜氨酸，又可以切割 C 末端 EWQE 基序。最后，伴侣蛋白-MNIO 对将安装的高瓜氨酸的 β- 和 γ-碳位置双羟基化，产生二羟基高瓜氨酸。高瓜氨酸和二羟基高瓜氨酸的形成在 RiPP 生物合成中是前所未有的。此外，这些发现扩大了 YcaO-TfuA 酶和 MNIO 的已知底物范围，并确定了氨基甲酰转移酶在这些途径中的新作用。</w:t>
      </w:r>
    </w:p>
    <w:p>
      <w:pPr>
        <w:spacing w:before="0" w:after="200" w:lineRule="auto" w:line="276"/>
      </w:pPr>
      <w:r>
        <w:rPr>
          <w:b/>
        </w:rPr>
        <w:t xml:space="preserve">Abstract (EN): </w:t>
      </w:r>
      <w:r>
        <w:t>Ribosomally synthesized and post-translationally modified peptides (RiPPs) are produced by biosynthetic enzymes that modify genetically encoded precursor peptide backbones and side chains. Genome mining and bioinformatics analyses targeting the multinuclear nonheme iron oxidative (MNIO) enzyme family led to the identification of a RiPP biosynthetic gene cluster from Streptomyces thermodiastaticus JCM 4840, the std cluster, which includes multiple biosynthetic enzymes and a precursor peptide containing a conserved SNKEWQE motif. Using in vitro approaches, we elucidated the modifications installed by the std biosynthetic enzymes. First, a YcaO-TfuA pair thioamidates the asparagine backbone. Next, a peptidase with an S8/S53 domain fused to a NodU-like carbamoyltransferase both carbamoylates the ε-amino group of lysine to produce the nonproteinogenic amino acid homocitrulline and cleaves the C-terminal EWQE motif. Finally, a partner protein-MNIO pair bis-hydroxylates the β- and γ-carbon positions of the installed homocitrulline to create dihydroxyhomocitrulline. The formation of homocitrulline and dihydroxyhomocitrulline is unprecedented in RiPP biosynthesis. Moreover, these findings expand the known substrate scope of YcaO-TfuA enzymes and MNIOs and identify new roles for carbamoyltransferases in these pathways.</w:t>
      </w:r>
    </w:p>
    <w:p>
      <w:pPr>
        <w:spacing w:before="120" w:after="120"/>
      </w:pPr>
      <w:r>
        <w:rPr>
          <w:sz w:val="18"/>
        </w:rPr>
        <w:t>——————————————————————————————————————————————————————————————————————</w:t>
      </w:r>
    </w:p>
    <w:p>
      <w:pPr>
        <w:spacing w:before="160" w:after="40" w:line="240" w:lineRule="auto"/>
      </w:pPr>
      <w:r>
        <w:rPr>
          <w:b/>
        </w:rPr>
        <w:t xml:space="preserve">[195] </w:t>
      </w:r>
      <w:hyperlink r:id="rId783">
        <w:r>
          <w:rPr>
            <w:color w:val="1155CC"/>
            <w:u w:val="single"/>
          </w:rPr>
          <w:t>钯催化的反布雷特烯烃成环反应</w:t>
        </w:r>
      </w:hyperlink>
    </w:p>
    <w:p>
      <w:pPr>
        <w:spacing w:before="0" w:after="80"/>
      </w:pPr>
      <w:r>
        <w:rPr>
          <w:i/>
          <w:sz w:val="20"/>
        </w:rPr>
        <w:t>EN: Palladium‐Catalyzed Annulations of an Anti‐Bredt Olefin</w:t>
      </w:r>
    </w:p>
    <w:p>
      <w:pPr>
        <w:spacing w:before="0" w:after="120"/>
      </w:pPr>
      <w:r>
        <w:rPr>
          <w:b/>
        </w:rPr>
        <w:t xml:space="preserve">Source: </w:t>
      </w:r>
      <w:r>
        <w:t>Wiley: Angewandte Chemie International Edition: Table of Contents</w:t>
      </w:r>
      <w:r>
        <w:t xml:space="preserve">    </w:t>
      </w:r>
      <w:r>
        <w:rPr>
          <w:b/>
        </w:rPr>
        <w:t xml:space="preserve">Pub date: </w:t>
      </w:r>
      <w:r>
        <w:t>2026-07-26 17:51:47+00:00</w:t>
      </w:r>
      <w:r>
        <w:t xml:space="preserve">    </w:t>
      </w:r>
      <w:r>
        <w:rPr>
          <w:b/>
        </w:rPr>
        <w:t xml:space="preserve">DOI: </w:t>
      </w:r>
      <w:hyperlink r:id="rId784">
        <w:r>
          <w:rPr>
            <w:color w:val="1155CC"/>
            <w:u w:val="single"/>
          </w:rPr>
          <w:t>10.1002/anie.3724263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一个多世纪以来，一类著名的含烯烃化合物一直吸引着化学家的兴趣，那就是反布雷特烯烃（ABO）。 ABO 是桥头烯烃的一个子类，存在于小环系统中，因此使其不稳定，并且在化学合成中历来难以利用。本研究描述了[2.2.1]桥联双环ABO的金属催化反应，其中两种原位生成的物质（均以低浓度存在且瞬时生成）经历了富有成效的反应。该转化利用钯催化将上述 ABO 与基于吲哚的捕获伙伴结合起来，从而产生不寻常的杂环产物。报告了反应的范围，以及有关推定的 Pd 结合 ABO 物种的计算。后者表明 Pd 通过中间钯环的能量有利形成来稳定短寿命的 ABO。该方法有望促进非常规反应的进一步发展，包括 ABO 和其他瞬态烯烃的金属催化过程。</w:t>
      </w:r>
    </w:p>
    <w:p>
      <w:pPr>
        <w:spacing w:before="0" w:after="200" w:lineRule="auto" w:line="276"/>
      </w:pPr>
      <w:r>
        <w:rPr>
          <w:b/>
        </w:rPr>
        <w:t xml:space="preserve">Abstract (EN): </w:t>
      </w:r>
      <w:r>
        <w:t>A famous class of alkene‐containing compounds that have intrigued chemists for more than a century are anti‐Bredt olefins (ABOs). ABOs are a subclass of bridgehead alkenes that reside in small ring systems, thus rendering them unstable and historically challenging to leverage in chemical synthesis. The present study describes metal catalyzed reactions of a [2.2.1]‐bridged bicyclic ABO, wherein two in situ‐generated species, both present in low concentration and generated transiently, undergo a productive reaction. The transformation uses palladium catalysis to unite the aforementioned ABO with indole‐based trapping partners, thus delivering unusual heterocyclic products. The scope of the reaction is reported, as well as computations concerning the putative Pd‐bound ABO species. The latter suggests that the short‐lived ABO is stabilized by Pd via the energetically favorable formation of an intermediate palladacycle. This methodology is expected to prompt the further development of unconventional reactions, including metal‐catalyzed processes of ABOs and other transient olefins.</w:t>
      </w:r>
    </w:p>
    <w:p>
      <w:pPr>
        <w:spacing w:before="120" w:after="120"/>
      </w:pPr>
      <w:r>
        <w:rPr>
          <w:sz w:val="18"/>
        </w:rPr>
        <w:t>——————————————————————————————————————————————————————————————————————</w:t>
      </w:r>
    </w:p>
    <w:p>
      <w:pPr>
        <w:spacing w:before="160" w:after="40" w:line="240" w:lineRule="auto"/>
      </w:pPr>
      <w:r>
        <w:rPr>
          <w:b/>
        </w:rPr>
        <w:t xml:space="preserve">[196] </w:t>
      </w:r>
      <w:hyperlink r:id="rId785">
        <w:r>
          <w:rPr>
            <w:color w:val="1155CC"/>
            <w:u w:val="single"/>
          </w:rPr>
          <w:t>利用催化剂的对映体过量实现聚（3-羟基丁酸酯）的精确立体控制</w:t>
        </w:r>
      </w:hyperlink>
    </w:p>
    <w:p>
      <w:pPr>
        <w:spacing w:before="0" w:after="80"/>
      </w:pPr>
      <w:r>
        <w:rPr>
          <w:i/>
          <w:sz w:val="20"/>
        </w:rPr>
        <w:t>EN: Leveraging the Enantiomeric Excess of Catalyst for Precise Stereocontrol in Poly(3‐hydroxybutyrate)</w:t>
      </w:r>
    </w:p>
    <w:p>
      <w:pPr>
        <w:spacing w:before="0" w:after="120"/>
      </w:pPr>
      <w:r>
        <w:rPr>
          <w:b/>
        </w:rPr>
        <w:t xml:space="preserve">Source: </w:t>
      </w:r>
      <w:r>
        <w:t>Wiley: Angewandte Chemie International Edition: Table of Contents</w:t>
      </w:r>
      <w:r>
        <w:t xml:space="preserve">    </w:t>
      </w:r>
      <w:r>
        <w:rPr>
          <w:b/>
        </w:rPr>
        <w:t xml:space="preserve">Pub date: </w:t>
      </w:r>
      <w:r>
        <w:t>2026-07-26 17:52:34+00:00</w:t>
      </w:r>
      <w:r>
        <w:t xml:space="preserve">    </w:t>
      </w:r>
      <w:r>
        <w:rPr>
          <w:b/>
        </w:rPr>
        <w:t xml:space="preserve">DOI: </w:t>
      </w:r>
      <w:hyperlink r:id="rId786">
        <w:r>
          <w:rPr>
            <w:color w:val="1155CC"/>
            <w:u w:val="single"/>
          </w:rPr>
          <w:t>10.1002/anie.2119273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合物的性能由多级结构参数决定，立构规整度对于结晶、热和机械性能尤其重要。调节立构规整度的传统方法（例如调节单体对映体过量或合成不同的催化剂）通常很复杂并且缺乏精确的控制。为了应对这一挑战，我们提出了一种立体控制策略，通过利用对映体纯催化剂，该催化剂由对映体位点控制（ESC）机制和对映体对之间的聚合物交换控制。结果，对映体纯 DiMeBiPh-BINOL-salen 催化剂（</w:t>
      </w:r>
      <w:r>
        <w:t xml:space="preserve"> </w:t>
      </w:r>
      <w:r>
        <w:t>右</w:t>
      </w:r>
      <w:r>
        <w:t xml:space="preserve"> </w:t>
      </w:r>
      <w:r>
        <w:t>,</w:t>
      </w:r>
      <w:r>
        <w:t xml:space="preserve"> </w:t>
      </w:r>
      <w:r>
        <w:t>右</w:t>
      </w:r>
      <w:r>
        <w:t xml:space="preserve"> </w:t>
      </w:r>
      <w:r>
        <w:t>)‐</w:t>
      </w:r>
      <w:r>
        <w:t xml:space="preserve"> </w:t>
      </w:r>
      <w:r>
        <w:t>Y1</w:t>
      </w:r>
      <w:r>
        <w:t xml:space="preserve"> </w:t>
      </w:r>
      <w:r>
        <w:t>和（</w:t>
      </w:r>
      <w:r>
        <w:t xml:space="preserve"> </w:t>
      </w:r>
      <w:r>
        <w:t>S</w:t>
      </w:r>
      <w:r>
        <w:t xml:space="preserve"> </w:t>
      </w:r>
      <w:r>
        <w:t>,</w:t>
      </w:r>
      <w:r>
        <w:t xml:space="preserve"> </w:t>
      </w:r>
      <w:r>
        <w:t>S</w:t>
      </w:r>
      <w:r>
        <w:t xml:space="preserve"> </w:t>
      </w:r>
      <w:r>
        <w:t>)‐</w:t>
      </w:r>
      <w:r>
        <w:t xml:space="preserve"> </w:t>
      </w:r>
      <w:r>
        <w:t>Y1</w:t>
      </w:r>
      <w:r>
        <w:t xml:space="preserve"> </w:t>
      </w:r>
      <w:r>
        <w:t>设计并证明了 ROP 的出色同选择性</w:t>
      </w:r>
      <w:r>
        <w:t xml:space="preserve"> </w:t>
      </w:r>
      <w:r>
        <w:t>拉克</w:t>
      </w:r>
      <w:r>
        <w:t xml:space="preserve"> </w:t>
      </w:r>
      <w:r>
        <w:t>‐BBL 通过 ESC 机制。他们的外消旋对</w:t>
      </w:r>
      <w:r>
        <w:t xml:space="preserve"> </w:t>
      </w:r>
      <w:r>
        <w:t>拉克</w:t>
      </w:r>
      <w:r>
        <w:t xml:space="preserve"> </w:t>
      </w:r>
      <w:r>
        <w:t>‐</w:t>
      </w:r>
      <w:r>
        <w:t xml:space="preserve"> </w:t>
      </w:r>
      <w:r>
        <w:t>Y1</w:t>
      </w:r>
      <w:r>
        <w:t xml:space="preserve"> </w:t>
      </w:r>
      <w:r>
        <w:t>表现出高的间选择性（</w:t>
      </w:r>
      <w:r>
        <w:t xml:space="preserve"> </w:t>
      </w:r>
      <w:r>
        <w:t>磷</w:t>
      </w:r>
      <w:r>
        <w:t xml:space="preserve"> </w:t>
      </w:r>
      <w:r>
        <w:t>r</w:t>
      </w:r>
      <w:r>
        <w:t xml:space="preserve"> </w:t>
      </w:r>
      <w:r>
        <w:t>= 0.93）由于聚合物交换。最终推出一系列具有精简立构的P3HB产品（</w:t>
      </w:r>
      <w:r>
        <w:t xml:space="preserve"> </w:t>
      </w:r>
      <w:r>
        <w:t>磷</w:t>
      </w:r>
      <w:r>
        <w:t xml:space="preserve"> </w:t>
      </w:r>
      <w:r>
        <w:t>米</w:t>
      </w:r>
      <w:r>
        <w:t xml:space="preserve"> </w:t>
      </w:r>
      <w:r>
        <w:t>：0.07−0.90）通过简单调整催化剂的对映体过量（ee）值即可轻松制备。系统性调查研究</w:t>
      </w:r>
    </w:p>
    <w:p>
      <w:pPr>
        <w:spacing w:before="0" w:after="200" w:lineRule="auto" w:line="276"/>
      </w:pPr>
      <w:r>
        <w:rPr>
          <w:b/>
        </w:rPr>
        <w:t xml:space="preserve">Abstract (EN): </w:t>
      </w:r>
      <w:r>
        <w:t>The properties of polymers are governed by multi‐level structural parameters, with tacticity being particularly critical for crystallization, thermal, and mechanical performance. Conventional approaches to modulate tacticity—such as tuning monomer enantiomeric excess or synthesizing distinct catalysts—are often complex and lack precise control. To address this challenge, we present a stereocontrol strategy by exploiting an enantiopure catalyst governed by an enantiomorphic site control (ESC) mechanism and polymeric exchange between the enantiomer pair. As a result, the enantiopure DiMeBiPh‐BINOL‐salen catalysts (</w:t>
      </w:r>
      <w:r>
        <w:t xml:space="preserve"> </w:t>
      </w:r>
      <w:r>
        <w:t>R</w:t>
      </w:r>
      <w:r>
        <w:t xml:space="preserve"> </w:t>
      </w:r>
      <w:r>
        <w:t>,</w:t>
      </w:r>
      <w:r>
        <w:t xml:space="preserve"> </w:t>
      </w:r>
      <w:r>
        <w:t>R</w:t>
      </w:r>
      <w:r>
        <w:t xml:space="preserve"> </w:t>
      </w:r>
      <w:r>
        <w:t>)‐</w:t>
      </w:r>
      <w:r>
        <w:t xml:space="preserve"> </w:t>
      </w:r>
      <w:r>
        <w:t>Y1</w:t>
      </w:r>
      <w:r>
        <w:t xml:space="preserve"> </w:t>
      </w:r>
      <w:r>
        <w:t>and (</w:t>
      </w:r>
      <w:r>
        <w:t xml:space="preserve"> </w:t>
      </w:r>
      <w:r>
        <w:t>S</w:t>
      </w:r>
      <w:r>
        <w:t xml:space="preserve"> </w:t>
      </w:r>
      <w:r>
        <w:t>,</w:t>
      </w:r>
      <w:r>
        <w:t xml:space="preserve"> </w:t>
      </w:r>
      <w:r>
        <w:t>S</w:t>
      </w:r>
      <w:r>
        <w:t xml:space="preserve"> </w:t>
      </w:r>
      <w:r>
        <w:t>)‐</w:t>
      </w:r>
      <w:r>
        <w:t xml:space="preserve"> </w:t>
      </w:r>
      <w:r>
        <w:t>Y1</w:t>
      </w:r>
      <w:r>
        <w:t xml:space="preserve"> </w:t>
      </w:r>
      <w:r>
        <w:t>were designed and demonstrated outstanding isoselectivity for the ROP of</w:t>
      </w:r>
      <w:r>
        <w:t xml:space="preserve"> </w:t>
      </w:r>
      <w:r>
        <w:t>rac</w:t>
      </w:r>
      <w:r>
        <w:t xml:space="preserve"> </w:t>
      </w:r>
      <w:r>
        <w:t>‐BBL via the ESC mechanism. Their racemic pair</w:t>
      </w:r>
      <w:r>
        <w:t xml:space="preserve"> </w:t>
      </w:r>
      <w:r>
        <w:t>rac</w:t>
      </w:r>
      <w:r>
        <w:t xml:space="preserve"> </w:t>
      </w:r>
      <w:r>
        <w:t>‐</w:t>
      </w:r>
      <w:r>
        <w:t xml:space="preserve"> </w:t>
      </w:r>
      <w:r>
        <w:t>Y1</w:t>
      </w:r>
      <w:r>
        <w:t xml:space="preserve"> </w:t>
      </w:r>
      <w:r>
        <w:t>exhibited high syndioselectivity (</w:t>
      </w:r>
      <w:r>
        <w:t xml:space="preserve"> </w:t>
      </w:r>
      <w:r>
        <w:t>P</w:t>
      </w:r>
      <w:r>
        <w:t xml:space="preserve"> </w:t>
      </w:r>
      <w:r>
        <w:t>r</w:t>
      </w:r>
      <w:r>
        <w:t xml:space="preserve"> </w:t>
      </w:r>
      <w:r>
        <w:t>= 0.93) due to polymeric exchange. Ultimately, a series of P3HB products with streamlined tacticity (</w:t>
      </w:r>
      <w:r>
        <w:t xml:space="preserve"> </w:t>
      </w:r>
      <w:r>
        <w:t>P</w:t>
      </w:r>
      <w:r>
        <w:t xml:space="preserve"> </w:t>
      </w:r>
      <w:r>
        <w:t>m</w:t>
      </w:r>
      <w:r>
        <w:t xml:space="preserve"> </w:t>
      </w:r>
      <w:r>
        <w:t>: 0.07−0.90) was readily prepared by simply adjusting the enantiomeric excess (ee) values of the catalyst. A systematic investigation of the relationship between tacticity and material properties was performed. This work not only establishes an efficient and controllable route to tailor‐made P3HB but also provides a scalable pathway for precise stereocontrol in polymer synthesis.</w:t>
      </w:r>
    </w:p>
    <w:p>
      <w:pPr>
        <w:spacing w:before="120" w:after="120"/>
      </w:pPr>
      <w:r>
        <w:rPr>
          <w:sz w:val="18"/>
        </w:rPr>
        <w:t>——————————————————————————————————————————————————————————————————————</w:t>
      </w:r>
    </w:p>
    <w:p>
      <w:pPr>
        <w:spacing w:before="160" w:after="40" w:line="240" w:lineRule="auto"/>
      </w:pPr>
      <w:r>
        <w:rPr>
          <w:b/>
        </w:rPr>
        <w:t xml:space="preserve">[197] </w:t>
      </w:r>
      <w:hyperlink r:id="rId787">
        <w:r>
          <w:rPr>
            <w:color w:val="1155CC"/>
            <w:u w:val="single"/>
          </w:rPr>
          <w:t>基于四氮杂环芳的大环双硼酸和四硼酸多共振热激活延迟荧光材料</w:t>
        </w:r>
      </w:hyperlink>
    </w:p>
    <w:p>
      <w:pPr>
        <w:spacing w:before="0" w:after="80"/>
      </w:pPr>
      <w:r>
        <w:rPr>
          <w:i/>
          <w:sz w:val="20"/>
        </w:rPr>
        <w:t>EN: Macrocyclic Dual‐ and Tetra‐Borated Multi‐Resonance Thermally Activated Delayed Fluorescence Materials Based on Tetraazacyclophane</w:t>
      </w:r>
    </w:p>
    <w:p>
      <w:pPr>
        <w:spacing w:before="0" w:after="120"/>
      </w:pPr>
      <w:r>
        <w:rPr>
          <w:b/>
        </w:rPr>
        <w:t xml:space="preserve">Source: </w:t>
      </w:r>
      <w:r>
        <w:t>Wiley: Angewandte Chemie International Edition: Table of Contents</w:t>
      </w:r>
      <w:r>
        <w:t xml:space="preserve">    </w:t>
      </w:r>
      <w:r>
        <w:rPr>
          <w:b/>
        </w:rPr>
        <w:t xml:space="preserve">Pub date: </w:t>
      </w:r>
      <w:r>
        <w:t>2026-07-26 17:55:17+00:00</w:t>
      </w:r>
      <w:r>
        <w:t xml:space="preserve">    </w:t>
      </w:r>
      <w:r>
        <w:rPr>
          <w:b/>
        </w:rPr>
        <w:t xml:space="preserve">DOI: </w:t>
      </w:r>
      <w:hyperlink r:id="rId788">
        <w:r>
          <w:rPr>
            <w:color w:val="1155CC"/>
            <w:u w:val="single"/>
          </w:rPr>
          <w:t>10.1002/anie.7100719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在多重共振诱导热激活延迟荧光（MR-TADF）材料中</w:t>
      </w:r>
      <w:r>
        <w:t xml:space="preserve"> </w:t>
      </w:r>
      <w:r>
        <w:t>元</w:t>
      </w:r>
      <w:r>
        <w:t xml:space="preserve"> </w:t>
      </w:r>
      <w:r>
        <w:t>B-π-B构型，大多数研究主要集中在线性多硼骨架上。在这项研究中，我们报告了两种基于四氮杂环芳的大环双硼酸和四硼酸MR-TADF材料（DPN2B和DPN4B）。通过合理选择硼源和反应条件，实现了一锅双、四硼化反应。在甲苯中，DPN2B 和 DPN4B 表现出深蓝色窄带发射峰，峰值位于 451 和 442 nm，半峰全宽分别为 22 和 25 nm。基于 DPN2B 和 DPN4B 的溶液加工有机发光二极管 (OLED) 显示出纯蓝色电致发光，峰值位于 458 和 452 nm，最大外量子效率分别为 6.4% 和 4.0%。基于 DPN2B 的设备达到了国际委员会坐标 (0.14 和 0.07)。这项工作为开发多硼酸 MR-TADF 发射器和 OLED 提供了实用的大环分子设计策略。</w:t>
      </w:r>
    </w:p>
    <w:p>
      <w:pPr>
        <w:spacing w:before="0" w:after="200" w:lineRule="auto" w:line="276"/>
      </w:pPr>
      <w:r>
        <w:rPr>
          <w:b/>
        </w:rPr>
        <w:t xml:space="preserve">Abstract (EN): </w:t>
      </w:r>
      <w:r>
        <w:t>In multiple‐resonance‐induced thermally activated delayed fluorescence (MR‐TADF) materials with a</w:t>
      </w:r>
      <w:r>
        <w:t xml:space="preserve"> </w:t>
      </w:r>
      <w:r>
        <w:t>meta</w:t>
      </w:r>
      <w:r>
        <w:t xml:space="preserve"> </w:t>
      </w:r>
      <w:r>
        <w:t>B‐π‐B configuration, most studies mainly focused on linear multi‐boron frameworks. In this study, we report two macrocyclic dual‐ and tetra‐borated MR‐TADF materials based on tetraazacyclophane (DPN2B and DPN4B). By rationally selecting boron sources and reaction conditions, one‐pot double and quadruple borylation reactions were achieved. In toluene, DPN2B and DPN4B exhibit deep blue narrowband emission peaking at 451 and 442 nm, with full widths at half maximum of 22 and 25 nm, respectively. Solution‐processed organic light‐emitting diodes (OLEDs) based on DPN2B and DPN4B show pure‐blue electroluminescence with peaks at 458 and 452 nm, with maximum external quantum efficiencies of 6.4% and 4.0%, respectively. The DPN2B‐based device achieves Commission Internationale de l’Éclairage coordinates of (0.14 and 0.07). This work provides a practical macrocyclic molecular design strategy for developing multi‐borated MR‐TADF emitters and OLEDs.</w:t>
      </w:r>
    </w:p>
    <w:p>
      <w:pPr>
        <w:spacing w:before="120" w:after="120"/>
      </w:pPr>
      <w:r>
        <w:rPr>
          <w:sz w:val="18"/>
        </w:rPr>
        <w:t>——————————————————————————————————————————————————————————————————————</w:t>
      </w:r>
    </w:p>
    <w:p>
      <w:pPr>
        <w:spacing w:before="160" w:after="40" w:line="240" w:lineRule="auto"/>
      </w:pPr>
      <w:r>
        <w:rPr>
          <w:b/>
        </w:rPr>
        <w:t xml:space="preserve">[198] </w:t>
      </w:r>
      <w:hyperlink r:id="rId789">
        <w:r>
          <w:rPr>
            <w:color w:val="1155CC"/>
            <w:u w:val="single"/>
          </w:rPr>
          <w:t>同位素标记的甲醇衍生的 O-烷基异脲作为 d3-甲基化、13C-甲基化和 13CD3-甲基化的多功能实用试剂</w:t>
        </w:r>
      </w:hyperlink>
    </w:p>
    <w:p>
      <w:pPr>
        <w:spacing w:before="0" w:after="80"/>
      </w:pPr>
      <w:r>
        <w:rPr>
          <w:i/>
          <w:sz w:val="20"/>
        </w:rPr>
        <w:t>EN: Isotope‐Labeled Methanol‐Derived O‐Alkylisoureas as Versatile and Practical Agents for d3‐Methylation, 13C‐Methylation, and 13CD3‐Methylation</w:t>
      </w:r>
    </w:p>
    <w:p>
      <w:pPr>
        <w:spacing w:before="0" w:after="120"/>
      </w:pPr>
      <w:r>
        <w:rPr>
          <w:b/>
        </w:rPr>
        <w:t xml:space="preserve">Source: </w:t>
      </w:r>
      <w:r>
        <w:t>Wiley: Angewandte Chemie International Edition: Table of Contents</w:t>
      </w:r>
      <w:r>
        <w:t xml:space="preserve">    </w:t>
      </w:r>
      <w:r>
        <w:rPr>
          <w:b/>
        </w:rPr>
        <w:t xml:space="preserve">Pub date: </w:t>
      </w:r>
      <w:r>
        <w:t>2026-07-26 17:57:24+00:00</w:t>
      </w:r>
      <w:r>
        <w:t xml:space="preserve">    </w:t>
      </w:r>
      <w:r>
        <w:rPr>
          <w:b/>
        </w:rPr>
        <w:t xml:space="preserve">DOI: </w:t>
      </w:r>
      <w:hyperlink r:id="rId790">
        <w:r>
          <w:rPr>
            <w:color w:val="1155CC"/>
            <w:u w:val="single"/>
          </w:rPr>
          <w:t>10.1002/anie.7843825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开发将稳定同位素掺入有机分子的高效实用方法对于制药工业很有价值。引入氘或</w:t>
      </w:r>
      <w:r>
        <w:rPr>
          <w:vertAlign w:val="subscript"/>
        </w:rPr>
        <w:t>13</w:t>
      </w:r>
      <w:r>
        <w:t>C原子可以在不实质改变药物分子结构或功能的情况下直接追踪药物分子，并且引入CD</w:t>
      </w:r>
      <w:r>
        <w:rPr>
          <w:vertAlign w:val="subscript"/>
        </w:rPr>
        <w:t>3</w:t>
      </w:r>
      <w:r>
        <w:t>- 或</w:t>
      </w:r>
      <w:r>
        <w:rPr>
          <w:vertAlign w:val="subscript"/>
        </w:rPr>
        <w:t>13</w:t>
      </w:r>
      <w:r>
        <w:t>C标记的甲基进入药物分子是最常用的方法之一。然而，困扰当前研究领域的关键问题是缺乏高效、廉价、实用的试剂。在此，甲基-d</w:t>
      </w:r>
      <w:r>
        <w:rPr>
          <w:vertAlign w:val="subscript"/>
        </w:rPr>
        <w:t>3</w:t>
      </w:r>
      <w:r>
        <w:t>‐</w:t>
      </w:r>
      <w:r>
        <w:t xml:space="preserve"> </w:t>
      </w:r>
      <w:r>
        <w:t>N,N'</w:t>
      </w:r>
      <w:r>
        <w:t xml:space="preserve"> </w:t>
      </w:r>
      <w:r>
        <w:t>‐二异丙基氨基甲酸酯 (MDIC-d</w:t>
      </w:r>
      <w:r>
        <w:rPr>
          <w:vertAlign w:val="subscript"/>
        </w:rPr>
        <w:t>3</w:t>
      </w:r>
      <w:r>
        <w:t>), 甲基-</w:t>
      </w:r>
      <w:r>
        <w:rPr>
          <w:vertAlign w:val="subscript"/>
        </w:rPr>
        <w:t>13</w:t>
      </w:r>
      <w:r>
        <w:t>C-</w:t>
      </w:r>
      <w:r>
        <w:t>N,N'</w:t>
      </w:r>
      <w:r>
        <w:t xml:space="preserve"> </w:t>
      </w:r>
      <w:r>
        <w:t>‐二异丙基氨基甲酸酯（MDIC‐</w:t>
      </w:r>
      <w:r>
        <w:rPr>
          <w:vertAlign w:val="subscript"/>
        </w:rPr>
        <w:t>13</w:t>
      </w:r>
      <w:r>
        <w:t>C) 和甲基</w:t>
      </w:r>
      <w:r>
        <w:rPr>
          <w:vertAlign w:val="subscript"/>
        </w:rPr>
        <w:t>13</w:t>
      </w:r>
      <w:r>
        <w:t>C-d</w:t>
      </w:r>
      <w:r>
        <w:rPr>
          <w:vertAlign w:val="subscript"/>
        </w:rPr>
        <w:t>3</w:t>
      </w:r>
      <w:r>
        <w:t>‐</w:t>
      </w:r>
      <w:r>
        <w:t xml:space="preserve"> </w:t>
      </w:r>
      <w:r>
        <w:t>N,N'</w:t>
      </w:r>
      <w:r>
        <w:t xml:space="preserve"> </w:t>
      </w:r>
      <w:r>
        <w:t>‐二异丙基氨基甲酸酯（MDIC‐</w:t>
      </w:r>
      <w:r>
        <w:rPr>
          <w:vertAlign w:val="subscript"/>
        </w:rPr>
        <w:t>13</w:t>
      </w:r>
      <w:r>
        <w:t>光盘</w:t>
      </w:r>
      <w:r>
        <w:rPr>
          <w:vertAlign w:val="subscript"/>
        </w:rPr>
        <w:t>3</w:t>
      </w:r>
      <w:r>
        <w:t>），通过二异丙基碳二亚胺与相应的稳定同位素标记的甲醇反应合成，已开发用于高效</w:t>
      </w:r>
      <w:r>
        <w:t xml:space="preserve"> </w:t>
      </w:r>
      <w:r>
        <w:t>d</w:t>
      </w:r>
      <w:r>
        <w:rPr>
          <w:vertAlign w:val="subscript"/>
        </w:rPr>
        <w:t>3</w:t>
      </w:r>
      <w:r>
        <w:t>‐甲基化，</w:t>
      </w:r>
    </w:p>
    <w:p>
      <w:pPr>
        <w:spacing w:before="0" w:after="200" w:lineRule="auto" w:line="276"/>
      </w:pPr>
      <w:r>
        <w:rPr>
          <w:b/>
        </w:rPr>
        <w:t xml:space="preserve">Abstract (EN): </w:t>
      </w:r>
      <w:r>
        <w:t>The development of highly efficient and practical methods for the incorporation of stable isotopes into organic molecules are valuable for the pharmaceutical industry. The introduction of deuterium or</w:t>
      </w:r>
      <w:r>
        <w:rPr>
          <w:vertAlign w:val="subscript"/>
        </w:rPr>
        <w:t>13</w:t>
      </w:r>
      <w:r>
        <w:t>C atoms can enable the direct tracing of the drug molecule without substantially altering its structure or function, and the introduction of CD</w:t>
      </w:r>
      <w:r>
        <w:rPr>
          <w:vertAlign w:val="subscript"/>
        </w:rPr>
        <w:t>3</w:t>
      </w:r>
      <w:r>
        <w:t>‐ or</w:t>
      </w:r>
      <w:r>
        <w:rPr>
          <w:vertAlign w:val="subscript"/>
        </w:rPr>
        <w:t>13</w:t>
      </w:r>
      <w:r>
        <w:t>C‐labeled methyl into drug molecules is one of the most commonly employed methodology. However, the key issue that plagues the current research area is the lack of highly efficient, cheap and practical reagent. Herein, methyl‐d</w:t>
      </w:r>
      <w:r>
        <w:rPr>
          <w:vertAlign w:val="subscript"/>
        </w:rPr>
        <w:t>3</w:t>
      </w:r>
      <w:r>
        <w:t>‐</w:t>
      </w:r>
      <w:r>
        <w:t xml:space="preserve"> </w:t>
      </w:r>
      <w:r>
        <w:t>N,N'</w:t>
      </w:r>
      <w:r>
        <w:t xml:space="preserve"> </w:t>
      </w:r>
      <w:r>
        <w:t>‐diisopropylcarbamimidate (MDIC‐d</w:t>
      </w:r>
      <w:r>
        <w:rPr>
          <w:vertAlign w:val="subscript"/>
        </w:rPr>
        <w:t>3</w:t>
      </w:r>
      <w:r>
        <w:t>), methyl‐</w:t>
      </w:r>
      <w:r>
        <w:rPr>
          <w:vertAlign w:val="subscript"/>
        </w:rPr>
        <w:t>13</w:t>
      </w:r>
      <w:r>
        <w:t>C‐</w:t>
      </w:r>
      <w:r>
        <w:t xml:space="preserve"> </w:t>
      </w:r>
      <w:r>
        <w:t>N,N'</w:t>
      </w:r>
      <w:r>
        <w:t xml:space="preserve"> </w:t>
      </w:r>
      <w:r>
        <w:t>‐diisopropylcarbamimidate (MDIC‐</w:t>
      </w:r>
      <w:r>
        <w:rPr>
          <w:vertAlign w:val="subscript"/>
        </w:rPr>
        <w:t>13</w:t>
      </w:r>
      <w:r>
        <w:t>C) and methyl‐</w:t>
      </w:r>
      <w:r>
        <w:rPr>
          <w:vertAlign w:val="subscript"/>
        </w:rPr>
        <w:t>13</w:t>
      </w:r>
      <w:r>
        <w:t>C‐d</w:t>
      </w:r>
      <w:r>
        <w:rPr>
          <w:vertAlign w:val="subscript"/>
        </w:rPr>
        <w:t>3</w:t>
      </w:r>
      <w:r>
        <w:t>‐</w:t>
      </w:r>
      <w:r>
        <w:t xml:space="preserve"> </w:t>
      </w:r>
      <w:r>
        <w:t>N,N'</w:t>
      </w:r>
      <w:r>
        <w:t xml:space="preserve"> </w:t>
      </w:r>
      <w:r>
        <w:t>‐diisopropylcarbamimidate (MDIC‐</w:t>
      </w:r>
      <w:r>
        <w:rPr>
          <w:vertAlign w:val="subscript"/>
        </w:rPr>
        <w:t>13</w:t>
      </w:r>
      <w:r>
        <w:t>CD</w:t>
      </w:r>
      <w:r>
        <w:rPr>
          <w:vertAlign w:val="subscript"/>
        </w:rPr>
        <w:t>3</w:t>
      </w:r>
      <w:r>
        <w:t>), synthesized via reaction of diisopropylcarbodiimide with the corresponding stable isotope labelled methanols, have been developed for the efficient</w:t>
      </w:r>
      <w:r>
        <w:t xml:space="preserve"> </w:t>
      </w:r>
      <w:r>
        <w:t>d</w:t>
      </w:r>
      <w:r>
        <w:rPr>
          <w:vertAlign w:val="subscript"/>
        </w:rPr>
        <w:t>3</w:t>
      </w:r>
      <w:r>
        <w:t>‐methylation,</w:t>
      </w:r>
      <w:r>
        <w:rPr>
          <w:vertAlign w:val="subscript"/>
        </w:rPr>
        <w:t>13</w:t>
      </w:r>
      <w:r>
        <w:t>C‐methylation and</w:t>
      </w:r>
      <w:r>
        <w:rPr>
          <w:vertAlign w:val="subscript"/>
        </w:rPr>
        <w:t>13</w:t>
      </w:r>
      <w:r>
        <w:t>CD</w:t>
      </w:r>
      <w:r>
        <w:rPr>
          <w:vertAlign w:val="subscript"/>
        </w:rPr>
        <w:t>3</w:t>
      </w:r>
      <w:r>
        <w:t>‐methylation of complex molecules bearing several possible reactive sites with good selectivity, high‐level deuterium and</w:t>
      </w:r>
      <w:r>
        <w:rPr>
          <w:vertAlign w:val="subscript"/>
        </w:rPr>
        <w:t>13</w:t>
      </w:r>
      <w:r>
        <w:t>C incorporation, and good functional group tolerance under external base‐free conditions. Additionally, these reagents can also be employed for the highly efficient isotope‐labeled methylation of arenes via palladium‐catalyzed Suzuki–Miyaura type cross‐coupling.</w:t>
      </w:r>
    </w:p>
    <w:p>
      <w:pPr>
        <w:spacing w:before="120" w:after="120"/>
      </w:pPr>
      <w:r>
        <w:rPr>
          <w:sz w:val="18"/>
        </w:rPr>
        <w:t>——————————————————————————————————————————————————————————————————————</w:t>
      </w:r>
    </w:p>
    <w:p>
      <w:pPr>
        <w:spacing w:before="160" w:after="40" w:line="240" w:lineRule="auto"/>
      </w:pPr>
      <w:r>
        <w:rPr>
          <w:b/>
        </w:rPr>
        <w:t xml:space="preserve">[199] </w:t>
      </w:r>
      <w:hyperlink r:id="rId791">
        <w:r>
          <w:rPr>
            <w:color w:val="1155CC"/>
            <w:u w:val="single"/>
          </w:rPr>
          <w:t>激发态构象动力学使可见光激活的近红外磷光纳米组件能够用于生物成像</w:t>
        </w:r>
      </w:hyperlink>
    </w:p>
    <w:p>
      <w:pPr>
        <w:spacing w:before="0" w:after="80"/>
      </w:pPr>
      <w:r>
        <w:rPr>
          <w:i/>
          <w:sz w:val="20"/>
        </w:rPr>
        <w:t>EN: Excited‐State Conformational Dynamics Enables Visible‐Light‐Activated Near‐Infrared Phosphorescent Nano‐Assemblies for Bioimaging</w:t>
      </w:r>
    </w:p>
    <w:p>
      <w:pPr>
        <w:spacing w:before="0" w:after="120"/>
      </w:pPr>
      <w:r>
        <w:rPr>
          <w:b/>
        </w:rPr>
        <w:t xml:space="preserve">Source: </w:t>
      </w:r>
      <w:r>
        <w:t>Wiley: Angewandte Chemie International Edition: Table of Contents</w:t>
      </w:r>
      <w:r>
        <w:t xml:space="preserve">    </w:t>
      </w:r>
      <w:r>
        <w:rPr>
          <w:b/>
        </w:rPr>
        <w:t xml:space="preserve">Pub date: </w:t>
      </w:r>
      <w:r>
        <w:t>2026-07-26 18:01:19+00:00</w:t>
      </w:r>
      <w:r>
        <w:t xml:space="preserve">    </w:t>
      </w:r>
      <w:r>
        <w:rPr>
          <w:b/>
        </w:rPr>
        <w:t xml:space="preserve">DOI: </w:t>
      </w:r>
      <w:hyperlink r:id="rId792">
        <w:r>
          <w:rPr>
            <w:color w:val="1155CC"/>
            <w:u w:val="single"/>
          </w:rPr>
          <w:t>10.1002/anie.5778721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可见光激发近红外超长有机磷光（NIR-UOP）因其独特的优势而受到越来越多的关注。然而，高效 NIR-UOP 系统的开发仍然具有挑战性。在这项研究中，我们提出了一种合理的分子设计策略来实现可见光激发（</w:t>
      </w:r>
      <w:r>
        <w:t xml:space="preserve"> </w:t>
      </w:r>
      <w:r>
        <w:t>λ</w:t>
      </w:r>
      <w:r>
        <w:t xml:space="preserve"> </w:t>
      </w:r>
      <w:r>
        <w:t>前</w:t>
      </w:r>
      <w:r>
        <w:t xml:space="preserve"> </w:t>
      </w:r>
      <w:r>
        <w:t>= 450 nm) NIR-UOP 通过激发态构象动力学。优化后的分子 py-2mNO</w:t>
      </w:r>
      <w:r>
        <w:rPr>
          <w:vertAlign w:val="subscript"/>
        </w:rPr>
        <w:t>2</w:t>
      </w:r>
      <w:r>
        <w:t>，在 635 和 700 nm 处表现出 NIR-UOP 发射，磷光强度高达 12 cd/m2</w:t>
      </w:r>
      <w:r>
        <w:rPr>
          <w:vertAlign w:val="subscript"/>
        </w:rPr>
        <w:t>2</w:t>
      </w:r>
      <w:r>
        <w:t>寿命为 268 毫秒。机理研究表明，动态构象电荷转移有利于系间跨越（ISC）。同时，相对平坦的激发态势能面使分子能够采用平面构象，从而通过分子内吸引力相互作用抑制非辐射衰变。利用这些特性，py-2mNO</w:t>
      </w:r>
      <w:r>
        <w:rPr>
          <w:vertAlign w:val="subscript"/>
        </w:rPr>
        <w:t>2</w:t>
      </w:r>
      <w:r>
        <w:t>使用聚甲基丙烯酸甲酯（PMMA）分离策略组装基于纳米颗粒的材料。因此，缺氧肿瘤的高对比度磷光成像的信号背景比 (SBR) 为 39.47（</w:t>
      </w:r>
      <w:r>
        <w:t xml:space="preserve"> </w:t>
      </w:r>
      <w:r>
        <w:t>λ</w:t>
      </w:r>
      <w:r>
        <w:t xml:space="preserve"> </w:t>
      </w:r>
      <w:r>
        <w:t>e</w:t>
      </w:r>
      <w:r>
        <w:t xml:space="preserve"> </w:t>
      </w:r>
      <w:r>
        <w:t>x</w:t>
      </w:r>
      <w:r>
        <w:t xml:space="preserve"> </w:t>
      </w:r>
      <w:r>
        <w:t>= 365 nm）是使用这种基质隔离磷光纳米组件实现的，甚至可以用商用手机手电筒激发（SBR = 14.55）</w:t>
      </w:r>
    </w:p>
    <w:p>
      <w:pPr>
        <w:spacing w:before="0" w:after="200" w:lineRule="auto" w:line="276"/>
      </w:pPr>
      <w:r>
        <w:rPr>
          <w:b/>
        </w:rPr>
        <w:t xml:space="preserve">Abstract (EN): </w:t>
      </w:r>
      <w:r>
        <w:t>Visible‐light‐excited near‐infrared ultralong organic phosphorescence (NIR‐UOP), has attracted increasing attention due to its unique advantages. However, the development of efficient NIR‐UOP systems remains challenging. In this study, we propose a rational molecular design strategy to achieve visible‐light‐excited (</w:t>
      </w:r>
      <w:r>
        <w:t xml:space="preserve"> </w:t>
      </w:r>
      <w:r>
        <w:t>λ</w:t>
      </w:r>
      <w:r>
        <w:t xml:space="preserve"> </w:t>
      </w:r>
      <w:r>
        <w:t>ex</w:t>
      </w:r>
      <w:r>
        <w:t xml:space="preserve"> </w:t>
      </w:r>
      <w:r>
        <w:t>= 450 nm) NIR‐UOP via excited‐state conformational dynamics. The optimized molecule, py‐2mNO</w:t>
      </w:r>
      <w:r>
        <w:rPr>
          <w:vertAlign w:val="subscript"/>
        </w:rPr>
        <w:t>2</w:t>
      </w:r>
      <w:r>
        <w:t>, exhibits NIR‐UOP emission at 635 and 700 nm, with a high phosphorescence intensity of 12 cd/m</w:t>
      </w:r>
      <w:r>
        <w:rPr>
          <w:vertAlign w:val="subscript"/>
        </w:rPr>
        <w:t>2</w:t>
      </w:r>
      <w:r>
        <w:t>and a lifetime of 268 ms. Mechanistic studies reveal that the dynamic conformational charge transfer facilitates intersystem crossing (ISC). Meanwhile, the relatively flat excited‐state potential energy surface enables the molecule to adopt a planar conformation, thereby suppressing non‐radiative decay through intramolecular attractive interactions. Leveraging these properties, py‐2mNO</w:t>
      </w:r>
      <w:r>
        <w:rPr>
          <w:vertAlign w:val="subscript"/>
        </w:rPr>
        <w:t>2</w:t>
      </w:r>
      <w:r>
        <w:t>‐based nanoparticles were assembled using a polymethyl methacrylate (PMMA) isolation strategy. Consequently, high‐contrast phosphorescence imaging of hypoxic tumors with a signal‐to‐background ratio (SBR) of 39.47 (</w:t>
      </w:r>
      <w:r>
        <w:t xml:space="preserve"> </w:t>
      </w:r>
      <w:r>
        <w:t>λ</w:t>
      </w:r>
      <w:r>
        <w:t xml:space="preserve"> </w:t>
      </w:r>
      <w:r>
        <w:t>e</w:t>
      </w:r>
      <w:r>
        <w:t xml:space="preserve"> </w:t>
      </w:r>
      <w:r>
        <w:t>x</w:t>
      </w:r>
      <w:r>
        <w:t xml:space="preserve"> </w:t>
      </w:r>
      <w:r>
        <w:t>= 365 nm) was achieved using this matrix‐isolated phosphorescent nano‐assembly, which could even be excited with a commercial mobile phone flashlight (SBR = 14.55). This work not only provides a rational design strategy for visible‐light‐excited NIR‐UOP systems but also establishes an efficient nano‐assembly approach for constructing NIR‐UOP nanoparticles suitable for in vivo imaging.</w:t>
      </w:r>
    </w:p>
    <w:p>
      <w:pPr>
        <w:spacing w:before="120" w:after="120"/>
      </w:pPr>
      <w:r>
        <w:rPr>
          <w:sz w:val="18"/>
        </w:rPr>
        <w:t>——————————————————————————————————————————————————————————————————————</w:t>
      </w:r>
    </w:p>
    <w:p>
      <w:pPr>
        <w:spacing w:before="160" w:after="40" w:line="240" w:lineRule="auto"/>
      </w:pPr>
      <w:r>
        <w:rPr>
          <w:b/>
        </w:rPr>
        <w:t xml:space="preserve">[200] </w:t>
      </w:r>
      <w:hyperlink r:id="rId793">
        <w:r>
          <w:rPr>
            <w:color w:val="1155CC"/>
            <w:u w:val="single"/>
          </w:rPr>
          <w:t>从 Pt/CeO2 再分散动力学预测催化剂性能</w:t>
        </w:r>
      </w:hyperlink>
    </w:p>
    <w:p>
      <w:pPr>
        <w:spacing w:before="0" w:after="80"/>
      </w:pPr>
      <w:r>
        <w:rPr>
          <w:i/>
          <w:sz w:val="20"/>
        </w:rPr>
        <w:t>EN: Predicting Catalyst Performance From Pt/CeO2 Redispersion Kinetics</w:t>
      </w:r>
    </w:p>
    <w:p>
      <w:pPr>
        <w:spacing w:before="0" w:after="120"/>
      </w:pPr>
      <w:r>
        <w:rPr>
          <w:b/>
        </w:rPr>
        <w:t xml:space="preserve">Source: </w:t>
      </w:r>
      <w:r>
        <w:t>Wiley: Angewandte Chemie International Edition: Table of Contents</w:t>
      </w:r>
      <w:r>
        <w:t xml:space="preserve">    </w:t>
      </w:r>
      <w:r>
        <w:rPr>
          <w:b/>
        </w:rPr>
        <w:t xml:space="preserve">Pub date: </w:t>
      </w:r>
      <w:r>
        <w:t>2026-07-26 18:02:04+00:00</w:t>
      </w:r>
      <w:r>
        <w:t xml:space="preserve">    </w:t>
      </w:r>
      <w:r>
        <w:rPr>
          <w:b/>
        </w:rPr>
        <w:t xml:space="preserve">DOI: </w:t>
      </w:r>
      <w:hyperlink r:id="rId794">
        <w:r>
          <w:rPr>
            <w:color w:val="1155CC"/>
            <w:u w:val="single"/>
          </w:rPr>
          <w:t>10.1002/anie.4743891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通过动力学数据对纳米粒子的结构动力学进行定量描述具有挑战性，但这将代表重大的知识飞跃，因为这将能够预测其性质，例如在催化方面的性质。催化领域的一个引人注目的例子是 Pt 纳米颗粒在 Pt/CeO 中重新分散成单个原子</w:t>
      </w:r>
      <w:r>
        <w:rPr>
          <w:vertAlign w:val="subscript"/>
        </w:rPr>
        <w:t>2</w:t>
      </w:r>
      <w:r>
        <w:t>基催化剂。在这项工作中，我们将环境透射电子显微镜 (ETEM) 测量与催化数据相结合，以监测 Pt 纳米颗粒在特定 CeO 上的单个衰变</w:t>
      </w:r>
      <w:r>
        <w:rPr>
          <w:vertAlign w:val="subscript"/>
        </w:rPr>
        <w:t>2</w:t>
      </w:r>
      <w:r>
        <w:t>纳米立方体。在密度泛函理论模型的支持下，这为它们的动态行为（包括动力学）提供了前所未有的洞察力。我们观察到，贵金属再分散的速率很大程度上取决于局部结构环境：附近其他纳米颗粒的存在以及 CeO 上的异质性</w:t>
      </w:r>
      <w:r>
        <w:rPr>
          <w:vertAlign w:val="subscript"/>
        </w:rPr>
        <w:t>2</w:t>
      </w:r>
      <w:r>
        <w:t>表面降低了再分散率。与初始颗粒尺寸和局部环境无关，颗粒体积随时间线性减小，表明来自纳米颗粒的 Pt 原子通量恒定。这些原子尺度的发现与观察到的整体催化性能的变化相关，从而可以根据再分散过程首次预测催化剂活性，并证明原子尺度动力学见解如何与宏观效应相关联。</w:t>
      </w:r>
    </w:p>
    <w:p>
      <w:pPr>
        <w:spacing w:before="0" w:after="200" w:lineRule="auto" w:line="276"/>
      </w:pPr>
      <w:r>
        <w:rPr>
          <w:b/>
        </w:rPr>
        <w:t xml:space="preserve">Abstract (EN): </w:t>
      </w:r>
      <w:r>
        <w:t>Quantitative description of the structural dynamics of nanoparticles by kinetic data is challenging but would represent a significant knowledge leap, as this would enable the forecast of their properties, e.g., in catalysis. A striking example in catalysis is the redispersion of Pt nanoparticles into single atoms in Pt/CeO</w:t>
      </w:r>
      <w:r>
        <w:rPr>
          <w:vertAlign w:val="subscript"/>
        </w:rPr>
        <w:t>2</w:t>
      </w:r>
      <w:r>
        <w:t>‐based catalysts. In this work, we combined environmental transmission electron microscopy (ETEM) measurements with catalytic data to monitor the individual decay of Pt nanoparticles on defined CeO</w:t>
      </w:r>
      <w:r>
        <w:rPr>
          <w:vertAlign w:val="subscript"/>
        </w:rPr>
        <w:t>2</w:t>
      </w:r>
      <w:r>
        <w:t>nanocubes. Supported by density functional theory modeling, this provides unprecedented insight into their dynamic behavior, including kinetics. We observed that the rate of noble metal redispersion is strongly dependent on the local structural environment: the presence of other nearby nanoparticles and heterogeneities on the CeO</w:t>
      </w:r>
      <w:r>
        <w:rPr>
          <w:vertAlign w:val="subscript"/>
        </w:rPr>
        <w:t>2</w:t>
      </w:r>
      <w:r>
        <w:t>surface reduced the redispersion rate. Independent of the initial particle size and local environment, the particle volume decreases linearly in time, indicating a constant flux of Pt atoms from the nanoparticles. These findings at the atomic scale were correlated to the observed changes in the integral catalytic performance, allowing a first prediction of the catalyst activity based on the redispersion process and demonstrating how atomic‐scale kinetic insights can be correlated to macroscopic effects.</w:t>
      </w:r>
    </w:p>
    <w:p>
      <w:pPr>
        <w:spacing w:before="120" w:after="120"/>
      </w:pPr>
      <w:r>
        <w:rPr>
          <w:sz w:val="18"/>
        </w:rPr>
        <w:t>——————————————————————————————————————————————————————————————————————</w:t>
      </w:r>
    </w:p>
    <w:p>
      <w:pPr>
        <w:spacing w:before="160" w:after="40" w:line="240" w:lineRule="auto"/>
      </w:pPr>
      <w:r>
        <w:rPr>
          <w:b/>
        </w:rPr>
        <w:t xml:space="preserve">[201] </w:t>
      </w:r>
      <w:hyperlink r:id="rId795">
        <w:r>
          <w:rPr>
            <w:color w:val="1155CC"/>
            <w:u w:val="single"/>
          </w:rPr>
          <w:t>用于多价 HSV-1 抑制的超分子聚合物-表面活性剂共组装体</w:t>
        </w:r>
      </w:hyperlink>
    </w:p>
    <w:p>
      <w:pPr>
        <w:spacing w:before="0" w:after="80"/>
      </w:pPr>
      <w:r>
        <w:rPr>
          <w:i/>
          <w:sz w:val="20"/>
        </w:rPr>
        <w:t>EN: Supramolecular Polymer‐Surfactant Co‐Assemblies for Multivalent HSV‐1 Inhibition</w:t>
      </w:r>
    </w:p>
    <w:p>
      <w:pPr>
        <w:spacing w:before="0" w:after="120"/>
      </w:pPr>
      <w:r>
        <w:rPr>
          <w:b/>
        </w:rPr>
        <w:t xml:space="preserve">Source: </w:t>
      </w:r>
      <w:r>
        <w:t>Wiley: Angewandte Chemie International Edition: Table of Contents</w:t>
      </w:r>
      <w:r>
        <w:t xml:space="preserve">    </w:t>
      </w:r>
      <w:r>
        <w:rPr>
          <w:b/>
        </w:rPr>
        <w:t xml:space="preserve">Pub date: </w:t>
      </w:r>
      <w:r>
        <w:t>2026-07-26 18:04:15+00:00</w:t>
      </w:r>
      <w:r>
        <w:t xml:space="preserve">    </w:t>
      </w:r>
      <w:r>
        <w:rPr>
          <w:b/>
        </w:rPr>
        <w:t xml:space="preserve">DOI: </w:t>
      </w:r>
      <w:hyperlink r:id="rId796">
        <w:r>
          <w:rPr>
            <w:color w:val="1155CC"/>
            <w:u w:val="single"/>
          </w:rPr>
          <w:t>10.1002/anie.8702628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分子组装体对于细胞生命和生物交互材料至关重要。这些组件的结构和功能受到其分子组件设计的决定性影响。在这项工作中，我们提出了六种具有磺酸盐头基的新型生物功能表面活性剂的模块化合成策略（称为</w:t>
      </w:r>
      <w:r>
        <w:t xml:space="preserve"> </w:t>
      </w:r>
      <w:r>
        <w:t>超凡韦</w:t>
      </w:r>
      <w:r>
        <w:t xml:space="preserve"> </w:t>
      </w:r>
      <w:r>
        <w:t>表面活性剂）。这些两亲性分子旨在与病毒包膜蛋白产生强烈相互作用，抑制病毒，并共同组装水溶性苯-1,3,5-三甲酰胺衍生物（BTA）以生成表面活性剂接枝的超分子聚合物。系统的光谱和显微镜研究表明，共组装体的形态很大程度上取决于表面活性剂-BTA 的比例。当表面活性剂比例高于 1 时，天然 BTA 纳米纤维被破坏，形成胶束结构。在单纯疱疹病毒（HSV-1）测试中，纤维超分子聚合物显示出显着较低的半最大抑制浓度（IC</w:t>
      </w:r>
      <w:r>
        <w:rPr>
          <w:vertAlign w:val="subscript"/>
        </w:rPr>
        <w:t>50</w:t>
      </w:r>
      <w:r>
        <w:t>）与纯表面活性剂的相应胶束聚集体相比。有趣的是，共组装体表现出比单独的功能性表面活性剂更低的细胞毒性，这可能是由于它们结构化地融入到聚合物支架中。通过氢-氘交换质谱 (HDX-MS) 探测，共组装体的动力学显示出与有效性的相关性。这些结果展示了一种新的联合组装</w:t>
      </w:r>
    </w:p>
    <w:p>
      <w:pPr>
        <w:spacing w:before="0" w:after="200" w:lineRule="auto" w:line="276"/>
      </w:pPr>
      <w:r>
        <w:rPr>
          <w:b/>
        </w:rPr>
        <w:t xml:space="preserve">Abstract (EN): </w:t>
      </w:r>
      <w:r>
        <w:t>Supramolecular assemblies are of fundamental importance for cellular life and bio‐interactive materials. The structure and function of these assemblies are decisively influenced by the design of their molecular components. In this work, we present a modular synthetic strategy for six novel bio‐functional surfactants with a sulfonate headgroup (termed</w:t>
      </w:r>
      <w:r>
        <w:t xml:space="preserve"> </w:t>
      </w:r>
      <w:r>
        <w:t>SupraVir</w:t>
      </w:r>
      <w:r>
        <w:t xml:space="preserve"> </w:t>
      </w:r>
      <w:r>
        <w:t>surfactants). These amphiphilic molecules were designed for strong interactions with viral envelope proteins, virus inhibition, and to co‐assemble water‐soluble benzene‐1,3,5‐tricarboxamide derivatives (BTAs) to generate surfactant‐grafted supramolecular polymers. Systematic spectroscopic and microscopic studies showed that the morphology of the co‐assemblies strongly depends on the surfactant‐BTA ratio. At surfactant ratios higher than 1, the native BTA nanofibers were disrupted, resulting in micellar architectures. In the test with herpes simplex virus (HSV‐1), fibrous supramolecular polymers show significantly lower half‐maximal inhibitory concentrations (IC</w:t>
      </w:r>
      <w:r>
        <w:rPr>
          <w:vertAlign w:val="subscript"/>
        </w:rPr>
        <w:t>50</w:t>
      </w:r>
      <w:r>
        <w:t>) compared to the corresponding micellar aggregates of the pure surfactants. Interestingly, the co‐assemblies exhibited lower cytotoxicity than the functional surfactants alone, probably due to their structured incorporation into the polymeric scaffold. The dynamics of the co‐assemblies, probed by hydrogen‐deuterium exchange mass spectrometry (HDX‐MS), showed correlations to the effectiveness. These results demonstrate a new co‐assembly strategy of functional positioning antiviral surfactants in supramolecular scaffolds for the development of multivalent antiviral materials.</w:t>
      </w:r>
    </w:p>
    <w:p>
      <w:pPr>
        <w:spacing w:before="120" w:after="120"/>
      </w:pPr>
      <w:r>
        <w:rPr>
          <w:sz w:val="18"/>
        </w:rPr>
        <w:t>——————————————————————————————————————————————————————————————————————</w:t>
      </w:r>
    </w:p>
    <w:p>
      <w:pPr>
        <w:spacing w:before="160" w:after="40" w:line="240" w:lineRule="auto"/>
      </w:pPr>
      <w:r>
        <w:rPr>
          <w:b/>
        </w:rPr>
        <w:t xml:space="preserve">[202] </w:t>
      </w:r>
      <w:hyperlink r:id="rId797">
        <w:r>
          <w:rPr>
            <w:color w:val="1155CC"/>
            <w:u w:val="single"/>
          </w:rPr>
          <w:t>主客体相互作用诱导的莫比乌斯形芳族聚酰胺大环化合物的拓扑异构现象</w:t>
        </w:r>
      </w:hyperlink>
    </w:p>
    <w:p>
      <w:pPr>
        <w:spacing w:before="0" w:after="80"/>
      </w:pPr>
      <w:r>
        <w:rPr>
          <w:i/>
          <w:sz w:val="20"/>
        </w:rPr>
        <w:t>EN: Topological Isomerism of Möbius‐Shaped Aramide Macrocycles Induced by Host‐Guest Interactions</w:t>
      </w:r>
    </w:p>
    <w:p>
      <w:pPr>
        <w:spacing w:before="0" w:after="120"/>
      </w:pPr>
      <w:r>
        <w:rPr>
          <w:b/>
        </w:rPr>
        <w:t xml:space="preserve">Source: </w:t>
      </w:r>
      <w:r>
        <w:t>Wiley: Angewandte Chemie International Edition: Table of Contents</w:t>
      </w:r>
      <w:r>
        <w:t xml:space="preserve">    </w:t>
      </w:r>
      <w:r>
        <w:rPr>
          <w:b/>
        </w:rPr>
        <w:t xml:space="preserve">Pub date: </w:t>
      </w:r>
      <w:r>
        <w:t>2026-07-26 18:06:30+00:00</w:t>
      </w:r>
      <w:r>
        <w:t xml:space="preserve">    </w:t>
      </w:r>
      <w:r>
        <w:rPr>
          <w:b/>
        </w:rPr>
        <w:t xml:space="preserve">DOI: </w:t>
      </w:r>
      <w:hyperlink r:id="rId798">
        <w:r>
          <w:rPr>
            <w:color w:val="1155CC"/>
            <w:u w:val="single"/>
          </w:rPr>
          <w:t>10.1002/anie.7978333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与以完全共轭主链为特征的传统莫比乌斯分子相比，合成的酰胺连接的莫比乌斯形大环化合物代表了一类迄今为止尚未报道的拓扑结构。在这里，我们报告了第一个氢键莫比乌斯型芳族聚酰胺大环的合理设计。该设计的核心是分子内氢键</w:t>
      </w:r>
      <w:r>
        <w:t xml:space="preserve"> </w:t>
      </w:r>
      <w:r>
        <w:t>帕拉</w:t>
      </w:r>
      <w:r>
        <w:t xml:space="preserve"> </w:t>
      </w:r>
      <w:r>
        <w:t>‐连接的芳香链段，它关键地稳定了构象并将大环锁定为单扭转拓扑。晶体学分析明确证实了它们的单扭曲莫比乌斯形结构，而 LOL-π 计算支持跨大环主链的持续电子离域。值得注意的是，在引入水簇时，单扭曲莫比乌斯形和平面休克尔形构象之间发生了可逆的拓扑转换，水簇占据了中心空腔并竞争性地破坏了</w:t>
      </w:r>
      <w:r>
        <w:t xml:space="preserve"> </w:t>
      </w:r>
      <w:r>
        <w:t>帕拉</w:t>
      </w:r>
      <w:r>
        <w:t xml:space="preserve"> </w:t>
      </w:r>
      <w:r>
        <w:t>‐连接体氢键。此外，与手性氨基酸的络合诱导了特征性的圆二色性响应，成功地将宿主-客体识别转化为不同的手性光学输出。这项工作建立了一个完全酰胺连接的大环平台，可以实现莫比乌斯构象和休克尔形构象之间的刺激响应相互转换。</w:t>
      </w:r>
    </w:p>
    <w:p>
      <w:pPr>
        <w:spacing w:before="0" w:after="200" w:lineRule="auto" w:line="276"/>
      </w:pPr>
      <w:r>
        <w:rPr>
          <w:b/>
        </w:rPr>
        <w:t xml:space="preserve">Abstract (EN): </w:t>
      </w:r>
      <w:r>
        <w:t>In contrast to traditional Möbius molecules characterized by fully conjugated backbones, synthetic amide‐linked Möbius‐shaped macrocycles represent a hitherto‐unreported class of topological architectures. Here we report the rational design of the first hydrogen‐bonded Möbius‐shaped aramide macrocycles. Central to this design are intramolecular hydrogen bonds within a</w:t>
      </w:r>
      <w:r>
        <w:t xml:space="preserve"> </w:t>
      </w:r>
      <w:r>
        <w:t>para</w:t>
      </w:r>
      <w:r>
        <w:t xml:space="preserve"> </w:t>
      </w:r>
      <w:r>
        <w:t>‐linked aromatic segment, which critically stabilize the conformation and lock the macrocyclic ring into a single‐twist topology. Crystallographic analyses unambiguously confirm their single‐twisted Möbius‐shaped architectures, while LOL‐π calculations support sustained electronic delocalization across the macrocyclic backbones. Notably, a reversible topological switching between a single‐twisted Möbius‐shaped and a planar Hückel‐shaped conformation occurs upon the introduction of water clusters, which occupy the central cavity and competitively disrupt the</w:t>
      </w:r>
      <w:r>
        <w:t xml:space="preserve"> </w:t>
      </w:r>
      <w:r>
        <w:t>para</w:t>
      </w:r>
      <w:r>
        <w:t xml:space="preserve"> </w:t>
      </w:r>
      <w:r>
        <w:t>‐linker hydrogen bonds. Furthermore, complexation with chiral amino acids induces characteristic circular dichroism responses, successfully translating host–guest recognition into distinct chiroptical outputs. This work establishes a fully amide‐linked macrocyclic platform that enables stimuli‐responsive interconversion between Möbius‐ and Hückel‐shaped conformations.</w:t>
      </w:r>
    </w:p>
    <w:p>
      <w:pPr>
        <w:spacing w:before="120" w:after="120"/>
      </w:pPr>
      <w:r>
        <w:rPr>
          <w:sz w:val="18"/>
        </w:rPr>
        <w:t>——————————————————————————————————————————————————————————————————————</w:t>
      </w:r>
    </w:p>
    <w:p>
      <w:pPr>
        <w:spacing w:before="160" w:after="40" w:line="240" w:lineRule="auto"/>
      </w:pPr>
      <w:r>
        <w:rPr>
          <w:b/>
        </w:rPr>
        <w:t xml:space="preserve">[203] </w:t>
      </w:r>
      <w:hyperlink r:id="rId799">
        <w:r>
          <w:rPr>
            <w:color w:val="1155CC"/>
            <w:u w:val="single"/>
          </w:rPr>
          <w:t>通过错配交换扩展区分核酸突变的设计规则</w:t>
        </w:r>
      </w:hyperlink>
    </w:p>
    <w:p>
      <w:pPr>
        <w:spacing w:before="0" w:after="80"/>
      </w:pPr>
      <w:r>
        <w:rPr>
          <w:i/>
          <w:sz w:val="20"/>
        </w:rPr>
        <w:t>EN: Expanding the Design Rules for Discriminating Nucleic Acid Mutations via Mismatch‐Exchange</w:t>
      </w:r>
    </w:p>
    <w:p>
      <w:pPr>
        <w:spacing w:before="0" w:after="120"/>
      </w:pPr>
      <w:r>
        <w:rPr>
          <w:b/>
        </w:rPr>
        <w:t xml:space="preserve">Source: </w:t>
      </w:r>
      <w:r>
        <w:t>Wiley: Angewandte Chemie International Edition: Table of Contents</w:t>
      </w:r>
      <w:r>
        <w:t xml:space="preserve">    </w:t>
      </w:r>
      <w:r>
        <w:rPr>
          <w:b/>
        </w:rPr>
        <w:t xml:space="preserve">Pub date: </w:t>
      </w:r>
      <w:r>
        <w:t>2026-07-26 18:06:32+00:00</w:t>
      </w:r>
      <w:r>
        <w:t xml:space="preserve">    </w:t>
      </w:r>
      <w:r>
        <w:rPr>
          <w:b/>
        </w:rPr>
        <w:t xml:space="preserve">DOI: </w:t>
      </w:r>
      <w:hyperlink r:id="rId800">
        <w:r>
          <w:rPr>
            <w:color w:val="1155CC"/>
            <w:u w:val="single"/>
          </w:rPr>
          <w:t>10.1002/anie.8342320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核酸之间通过沃森-克里克碱基配对实现的互补性制定了设计杂交探针的基本原理，但通常对单核苷酸突变的序列选择性较低。在此，我们报告错配交换作为一种新的设计原理，通过简单地操纵探针和反应产物中错配的数量和位置，可以对单核苷酸多态性（SNP）进行高度灵敏和稳健的区分。利用错配驱动链交换并微调特异性，错配交换对于分析包含多个附近 SNP 的复杂核酸靶标特别有利。对同义 SNP 的选择性耐受和基于 OR 门的成簇耐药 SNP 检测都得到了证明。一旦应用于临床环境中的核酸检测，错配交换就能够在包含 65 个临床血浆样本的临床队列中区分多种拉米夫定耐药乙型肝炎病毒突变体。</w:t>
      </w:r>
    </w:p>
    <w:p>
      <w:pPr>
        <w:spacing w:before="0" w:after="200" w:lineRule="auto" w:line="276"/>
      </w:pPr>
      <w:r>
        <w:rPr>
          <w:b/>
        </w:rPr>
        <w:t xml:space="preserve">Abstract (EN): </w:t>
      </w:r>
      <w:r>
        <w:t>Complementarity between nucleic acids via Watson–Crick base pairing formulates the basic principle for designing hybridization probes but often suffers low sequence selectivity against single nucleotide mutations. Herein, we report mismatch‐exchange as a new design principle that allows the highly sensitive and robust discrimination of single nucleotide polymorphisms (SNPs) by simply manipulating the number and position of mismatches in both probes and the reaction products. Leveraging mismatches to drive the strand‐exchange and finetuning the specificity, mismatch‐exchange is particularly advantageous for analyzing complex nucleic acid targets containing multiple nearby SNPs. Both selective tolerance to synonymous SNPs and OR‐gate‐based detection of clustered drug‐resistant SNPs were demonstrated. Once deployed to nucleic acid testing in clinical settings, mismatch‐exchange enabled the discrimination of multiple lamivudine‐resistant hepatitis B virus mutants in a clinical cohort containing 65 clinical plasma samples.</w:t>
      </w:r>
    </w:p>
    <w:p>
      <w:pPr>
        <w:spacing w:before="120" w:after="120"/>
      </w:pPr>
      <w:r>
        <w:rPr>
          <w:sz w:val="18"/>
        </w:rPr>
        <w:t>——————————————————————————————————————————————————————————————————————</w:t>
      </w:r>
    </w:p>
    <w:p>
      <w:pPr>
        <w:spacing w:before="160" w:after="40" w:line="240" w:lineRule="auto"/>
      </w:pPr>
      <w:r>
        <w:rPr>
          <w:b/>
        </w:rPr>
        <w:t xml:space="preserve">[204] </w:t>
      </w:r>
      <w:hyperlink r:id="rId801">
        <w:r>
          <w:rPr>
            <w:color w:val="1155CC"/>
            <w:u w:val="single"/>
          </w:rPr>
          <w:t>室温下催化 C-F 键活化：[Pd(1-MeNAP)TFA]2 和 LiHMDS 实现烯醇化交叉偶联</w:t>
        </w:r>
      </w:hyperlink>
    </w:p>
    <w:p>
      <w:pPr>
        <w:spacing w:before="0" w:after="80"/>
      </w:pPr>
      <w:r>
        <w:rPr>
          <w:i/>
          <w:sz w:val="20"/>
        </w:rPr>
        <w:t>EN: Catalytic C–F Bond Activation at Room Temperature: Enolate Cross‐Couplings Enabled by [Pd(1‐MeNAP)TFA]2 and LiHMDS</w:t>
      </w:r>
    </w:p>
    <w:p>
      <w:pPr>
        <w:spacing w:before="0" w:after="120"/>
      </w:pPr>
      <w:r>
        <w:rPr>
          <w:b/>
        </w:rPr>
        <w:t xml:space="preserve">Source: </w:t>
      </w:r>
      <w:r>
        <w:t>Wiley: Angewandte Chemie International Edition: Table of Contents</w:t>
      </w:r>
      <w:r>
        <w:t xml:space="preserve">    </w:t>
      </w:r>
      <w:r>
        <w:rPr>
          <w:b/>
        </w:rPr>
        <w:t xml:space="preserve">Pub date: </w:t>
      </w:r>
      <w:r>
        <w:t>2026-07-26 18:07:47+00:00</w:t>
      </w:r>
      <w:r>
        <w:t xml:space="preserve">    </w:t>
      </w:r>
      <w:r>
        <w:rPr>
          <w:b/>
        </w:rPr>
        <w:t xml:space="preserve">DOI: </w:t>
      </w:r>
      <w:hyperlink r:id="rId802">
        <w:r>
          <w:rPr>
            <w:color w:val="1155CC"/>
            <w:u w:val="single"/>
          </w:rPr>
          <w:t>10.1002/anie.9818208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由于其优异的稳定性，只有少数过渡金属催化剂能够激活 C─F 键进行 C-C 偶联反应，通常是在恶劣条件下或使用高反应性亲核试剂。我们在此报告甲基萘基 (MeNAP) 三氟乙酸钯/</w:t>
      </w:r>
      <w:r>
        <w:t xml:space="preserve"> </w:t>
      </w:r>
      <w:r>
        <w:t>t</w:t>
      </w:r>
      <w:r>
        <w:t xml:space="preserve"> </w:t>
      </w:r>
      <w:r>
        <w:t>以双（三甲基甲硅烷基）氨基锂（LiHMDS）为基础的 BuBrettPhos 催化剂能够使原位生成的烯醇化物与未活化的芳基氟化物发生 α-芳基化。该反应在室温下温和条件下进行，并延伸至酮、酯、腈，甚至酰胺烯醇化物。 DFT 计算表明，锂盐与氟原子的配位决定性地促进了 Pd 插入 C─F 键，这解释了为什么这种迄今为止难以捉摸的反应现在可以在如此异常温和的条件下实现。</w:t>
      </w:r>
    </w:p>
    <w:p>
      <w:pPr>
        <w:spacing w:before="0" w:after="200" w:lineRule="auto" w:line="276"/>
      </w:pPr>
      <w:r>
        <w:rPr>
          <w:b/>
        </w:rPr>
        <w:t xml:space="preserve">Abstract (EN): </w:t>
      </w:r>
      <w:r>
        <w:t>Due to their exceptional stability, only few transition metal catalysts are capable of activating C─F bonds for C–C‐coupling reactions, usually under harsh conditions or with highly reactive nucleophiles. We herein report that a methyl naphthyl (MeNAP) palladium trifluoroacetate/</w:t>
      </w:r>
      <w:r>
        <w:t xml:space="preserve"> </w:t>
      </w:r>
      <w:r>
        <w:t>t</w:t>
      </w:r>
      <w:r>
        <w:t xml:space="preserve"> </w:t>
      </w:r>
      <w:r>
        <w:t>BuBrettPhos catalyst with lithium bis(trimethylsilyl)amide (LiHMDS) as the base enables α‐arylations of in situ generated enolates with non‐activated aryl fluorides. The reaction proceeds under mild conditions at room temperature and extends to ketone, ester, nitrile, and even amide enolates. DFT calculations reveal that the coordination of lithium salts to the fluorine atom decisively facilitates the insertion of Pd into the C─F bond, explaining why this so far elusive reaction is now possible at such exceptionally mild conditions.</w:t>
      </w:r>
    </w:p>
    <w:p>
      <w:pPr>
        <w:spacing w:before="120" w:after="120"/>
      </w:pPr>
      <w:r>
        <w:rPr>
          <w:sz w:val="18"/>
        </w:rPr>
        <w:t>——————————————————————————————————————————————————————————————————————</w:t>
      </w:r>
    </w:p>
    <w:p>
      <w:pPr>
        <w:spacing w:before="160" w:after="40" w:line="240" w:lineRule="auto"/>
      </w:pPr>
      <w:r>
        <w:rPr>
          <w:b/>
        </w:rPr>
        <w:t xml:space="preserve">[205] </w:t>
      </w:r>
      <w:hyperlink r:id="rId803">
        <w:r>
          <w:rPr>
            <w:color w:val="1155CC"/>
            <w:u w:val="single"/>
          </w:rPr>
          <w:t>铑催化磺酰亚胺和磺二亚胺的环化：手性芳香杂环的合成与探索</w:t>
        </w:r>
      </w:hyperlink>
    </w:p>
    <w:p>
      <w:pPr>
        <w:spacing w:before="0" w:after="80"/>
      </w:pPr>
      <w:r>
        <w:rPr>
          <w:i/>
          <w:sz w:val="20"/>
        </w:rPr>
        <w:t>EN: A Rhodium-Catalyzed Cyclization of Sulfonimidamides and Sulfondiimidamides: Synthesis and Exploration of Chiral Aromatic Heterocycles</w:t>
      </w:r>
    </w:p>
    <w:p>
      <w:pPr>
        <w:spacing w:before="0" w:after="120"/>
      </w:pPr>
      <w:r>
        <w:rPr>
          <w:b/>
        </w:rPr>
        <w:t xml:space="preserve">Source: </w:t>
      </w:r>
      <w:r>
        <w:t>Journal of the American Chemical Society: Latest Articles (ACS Publications)</w:t>
      </w:r>
      <w:r>
        <w:t xml:space="preserve">    </w:t>
      </w:r>
      <w:r>
        <w:rPr>
          <w:b/>
        </w:rPr>
        <w:t xml:space="preserve">Pub date: </w:t>
      </w:r>
      <w:r>
        <w:t>2026-07-27 00:00:00+00:00</w:t>
      </w:r>
      <w:r>
        <w:t xml:space="preserve">    </w:t>
      </w:r>
      <w:r>
        <w:rPr>
          <w:b/>
        </w:rPr>
        <w:t xml:space="preserve">DOI: </w:t>
      </w:r>
      <w:hyperlink r:id="rId804">
        <w:r>
          <w:rPr>
            <w:color w:val="1155CC"/>
            <w:u w:val="single"/>
          </w:rPr>
          <w:t>10.1021/jacs.6c04114</w:t>
        </w:r>
      </w:hyperlink>
    </w:p>
    <w:p>
      <w:pPr>
        <w:spacing w:before="0" w:after="120"/>
      </w:pPr>
      <w:r>
        <w:rPr>
          <w:b/>
        </w:rPr>
        <w:t xml:space="preserve">Notes: </w:t>
      </w:r>
      <w:r>
        <w:t>abstract_source=pubmed</w:t>
      </w:r>
    </w:p>
    <w:p>
      <w:pPr>
        <w:spacing w:before="0" w:after="80" w:lineRule="auto" w:line="276"/>
      </w:pPr>
      <w:r>
        <w:rPr>
          <w:b/>
        </w:rPr>
        <w:t xml:space="preserve">摘要（ZH）: </w:t>
      </w:r>
      <w:r>
        <w:t>尽管环状 SIA 已表现出广阔的医学潜力，但其构建方法仍然相对匮乏。当与高价碘和金属催化剂混合时，SIA 已被证明是适合氮丙啶化和 C-H 胺化的氮烯前体。在此，我们报道了通过二铑氮烯中间体进行 N-酰基型取代的 SIA 的分子内环化，形成新的 N-杂原子键。该反应产生多种具有立体硫中心的芳香杂环产物。利用计算和光谱技术的结合来研究立体化学和芳香性之间的复杂关系，并探索它们独特的电子和几何特征。最后，通过合成具有杂环核心的恩杂鲁胺类似物并确定其药代动力学特性和生物活性，评估了这些杂环基序用于药物化学的潜力。</w:t>
      </w:r>
    </w:p>
    <w:p>
      <w:pPr>
        <w:spacing w:before="0" w:after="200" w:lineRule="auto" w:line="276"/>
      </w:pPr>
      <w:r>
        <w:rPr>
          <w:b/>
        </w:rPr>
        <w:t xml:space="preserve">Abstract (EN): </w:t>
      </w:r>
      <w:r>
        <w:t>Although cyclic SIAs have demonstrated promising medicinal potential, methodologies for their construction remain relatively scarce. SIAs have proven to be suitable nitrene precursors for aziridination and C-H amination, when mixed with hypervalent iodine and a metal catalyst. Herein, we report the intramolecular cyclization of SIAs featuring N-acyl-type substitution via a dirhodium nitrene intermediate, forming a new N-heteroatom bond. The reaction leads to a diverse array of aromatic heterocyclic products featuring stereogenic sulfur centers. A combination of computational and spectroscopic techniques were utilized to investigate the complex relationship between stereochemistry and aromaticity as well as to explore their unique electronic and geometric features. Finally, the potential for these heterocyclic motifs to be utilized for medicinal chemistry was evaluated by synthesizing an analogue of enzalutamide featuring the heterocyclic core and determining its resulting pharmacokinetic properties and bioactivity.</w:t>
      </w:r>
    </w:p>
    <w:p>
      <w:pPr>
        <w:spacing w:before="120" w:after="120"/>
      </w:pPr>
      <w:r>
        <w:rPr>
          <w:sz w:val="18"/>
        </w:rPr>
        <w:t>——————————————————————————————————————————————————————————————————————</w:t>
      </w:r>
    </w:p>
    <w:p>
      <w:pPr>
        <w:spacing w:before="160" w:after="40" w:line="240" w:lineRule="auto"/>
      </w:pPr>
      <w:r>
        <w:rPr>
          <w:b/>
        </w:rPr>
        <w:t xml:space="preserve">[206] </w:t>
      </w:r>
      <w:hyperlink r:id="rId805">
        <w:r>
          <w:rPr>
            <w:color w:val="1155CC"/>
            <w:u w:val="single"/>
          </w:rPr>
          <w:t>三甲基铵取代的两亲性柱[n]芳烃通道用于选择性水渗透</w:t>
        </w:r>
      </w:hyperlink>
    </w:p>
    <w:p>
      <w:pPr>
        <w:spacing w:before="0" w:after="80"/>
      </w:pPr>
      <w:r>
        <w:rPr>
          <w:i/>
          <w:sz w:val="20"/>
        </w:rPr>
        <w:t>EN: Trimethylammonium-Substituted Amphiphilic Pillar[ n ]arene Channels for Selective Water Permeation</w:t>
      </w:r>
    </w:p>
    <w:p>
      <w:pPr>
        <w:spacing w:before="0" w:after="120"/>
      </w:pPr>
      <w:r>
        <w:rPr>
          <w:b/>
        </w:rPr>
        <w:t xml:space="preserve">Source: </w:t>
      </w:r>
      <w:r>
        <w:t>Journal of the American Chemical Society: Latest Articles (ACS Publications)</w:t>
      </w:r>
      <w:r>
        <w:t xml:space="preserve">    </w:t>
      </w:r>
      <w:r>
        <w:rPr>
          <w:b/>
        </w:rPr>
        <w:t xml:space="preserve">Pub date: </w:t>
      </w:r>
      <w:r>
        <w:t>2026-07-27 00:00:00+00:00</w:t>
      </w:r>
      <w:r>
        <w:t xml:space="preserve">    </w:t>
      </w:r>
      <w:r>
        <w:rPr>
          <w:b/>
        </w:rPr>
        <w:t xml:space="preserve">DOI: </w:t>
      </w:r>
      <w:hyperlink r:id="rId806">
        <w:r>
          <w:rPr>
            <w:color w:val="1155CC"/>
            <w:u w:val="single"/>
          </w:rPr>
          <w:t>10.1021/jacs.6c11291</w:t>
        </w:r>
      </w:hyperlink>
    </w:p>
    <w:p>
      <w:pPr>
        <w:spacing w:before="0" w:after="120"/>
      </w:pPr>
      <w:r>
        <w:rPr>
          <w:b/>
        </w:rPr>
        <w:t xml:space="preserve">Notes: </w:t>
      </w:r>
      <w:r>
        <w:t>abstract_source=pubmed</w:t>
      </w:r>
    </w:p>
    <w:p>
      <w:pPr>
        <w:spacing w:before="0" w:after="80" w:lineRule="auto" w:line="276"/>
      </w:pPr>
      <w:r>
        <w:rPr>
          <w:b/>
        </w:rPr>
        <w:t xml:space="preserve">摘要（ZH）: </w:t>
      </w:r>
      <w:r>
        <w:t>人工水通道 (AWC) 是仿生天然水通道蛋白 (AQP) 的合成系统，可选择性地输送水，同时排斥离子。两亲性边缘分化的柱[5]芳烃和柱[6]芳烃，在相对的边缘上具有阳离子甲基铵和烷基取代基，自发组装成具有可调孔径和通道长度的二维通道。在此，我们考虑了这些通道的烷基链（丁基-C4 和癸基-C10）与膜分配的关系，并研究了脂质双层内潜在的结构-活性关系。大孔隙和有利的亲脂性的协同效应导致 AP-P6A-C10 具有最高的水渗透性（每秒每通道约 1 × 108 个水分子）以及离子排斥。本发明的通道可被视为人工通道的罕见仿生例子，其优先输送水，同时呈现低质子或离子输送活性。</w:t>
      </w:r>
    </w:p>
    <w:p>
      <w:pPr>
        <w:spacing w:before="0" w:after="200" w:lineRule="auto" w:line="276"/>
      </w:pPr>
      <w:r>
        <w:rPr>
          <w:b/>
        </w:rPr>
        <w:t xml:space="preserve">Abstract (EN): </w:t>
      </w:r>
      <w:r>
        <w:t>Artificial water channels (AWCs) are synthetic systems biomimicking natural aquaporins (AQPs) that selectively transport water while rejecting ions. Amphiphilic rim-differentiated pillar[5]arenes and pillar[6]arenes, featuring cationic methylammonium and alkyl substituents on opposite rims, spontaneously assemble into two-dimensional channels with tunable pore sizes and channel lengths. Herein, we considered the alkyl chains (butyl-C4 and decatyl-C10) of these channels in relation to membrane partitioning and investigated the potential structure-activity relationships within the lipid bilayer. A synergistic effect of a large pore and favorable lipophilicity led to the highest water permeation (∼1 × 108 water molecules per channel per second) for AP-P6A-C10, as well as ion rejection. The present channels may be regarded as a rare biomimetic example of artificial channels that preferentially transport water while presenting low proton or ion transport activity.</w:t>
      </w:r>
    </w:p>
    <w:p>
      <w:pPr>
        <w:spacing w:before="120" w:after="120"/>
      </w:pPr>
      <w:r>
        <w:rPr>
          <w:sz w:val="18"/>
        </w:rPr>
        <w:t>——————————————————————————————————————————————————————————————————————</w:t>
      </w:r>
    </w:p>
    <w:p>
      <w:pPr>
        <w:spacing w:before="160" w:after="40" w:line="240" w:lineRule="auto"/>
      </w:pPr>
      <w:r>
        <w:rPr>
          <w:b/>
        </w:rPr>
        <w:t xml:space="preserve">[207] </w:t>
      </w:r>
      <w:hyperlink r:id="rId807">
        <w:r>
          <w:rPr>
            <w:color w:val="1155CC"/>
            <w:u w:val="single"/>
          </w:rPr>
          <w:t>激子根据自旋晶格排列选择性地耦合到磁振子</w:t>
        </w:r>
      </w:hyperlink>
    </w:p>
    <w:p>
      <w:pPr>
        <w:spacing w:before="0" w:after="80"/>
      </w:pPr>
      <w:r>
        <w:rPr>
          <w:i/>
          <w:sz w:val="20"/>
        </w:rPr>
        <w:t>EN: Exciton Selectively Coupled to Magnon Dependent on Spin–Lattice Alignment</w:t>
      </w:r>
    </w:p>
    <w:p>
      <w:pPr>
        <w:spacing w:before="0" w:after="120"/>
      </w:pPr>
      <w:r>
        <w:rPr>
          <w:b/>
        </w:rPr>
        <w:t xml:space="preserve">Source: </w:t>
      </w:r>
      <w:r>
        <w:t>Journal of the American Chemical Society: Latest Articles (ACS Publications)</w:t>
      </w:r>
      <w:r>
        <w:t xml:space="preserve">    </w:t>
      </w:r>
      <w:r>
        <w:rPr>
          <w:b/>
        </w:rPr>
        <w:t xml:space="preserve">Pub date: </w:t>
      </w:r>
      <w:r>
        <w:t>2026-07-27 00:00:00+00:00</w:t>
      </w:r>
      <w:r>
        <w:t xml:space="preserve">    </w:t>
      </w:r>
      <w:r>
        <w:rPr>
          <w:b/>
        </w:rPr>
        <w:t xml:space="preserve">DOI: </w:t>
      </w:r>
      <w:hyperlink r:id="rId808">
        <w:r>
          <w:rPr>
            <w:color w:val="1155CC"/>
            <w:u w:val="single"/>
          </w:rPr>
          <w:t>10.1021/jacs.6c04934</w:t>
        </w:r>
      </w:hyperlink>
    </w:p>
    <w:p>
      <w:pPr>
        <w:spacing w:before="0" w:after="120"/>
      </w:pPr>
      <w:r>
        <w:rPr>
          <w:b/>
        </w:rPr>
        <w:t xml:space="preserve">Notes: </w:t>
      </w:r>
      <w:r>
        <w:t>abstract_source=pubmed</w:t>
      </w:r>
    </w:p>
    <w:p>
      <w:pPr>
        <w:spacing w:before="0" w:after="80" w:lineRule="auto" w:line="276"/>
      </w:pPr>
      <w:r>
        <w:rPr>
          <w:b/>
        </w:rPr>
        <w:t xml:space="preserve">摘要（ZH）: </w:t>
      </w:r>
      <w:r>
        <w:t>激子是电子-空穴对的玻色子准粒子，通常可以通过异质结构工程通过磁性进行调制，而反铁磁体由于其净磁化强度为零而无法产生这种调制场。然而，将反铁磁体与半导体集成来协调激子发射仍然是非常理想的，它具有可忽略的杂散场和更快的自旋动力学的优点。然而，开发一种通过反铁磁（AFM）磁振子操纵激子的有效方法仍然具有挑战性。在这里，我们报告了范德华（vdW）异质结构中的磁振子耦合（MEC），并揭示了激子发射对 AFM 自旋顺序的独特依赖性。激子选择性地与尼尔型反铁磁体耦合，导致激子能量大幅增加。这归因于自旋晶格排列通道的形成，促进跳跃电子介导的磁振子-激子相互作用和价带分裂。我们的结果指出了层间 MEC 在 AFM 自旋配​​置方面的本质，为基本激发调制和基于 AFM 的光自旋电子学的发展提供了新的视角。</w:t>
      </w:r>
    </w:p>
    <w:p>
      <w:pPr>
        <w:spacing w:before="0" w:after="200" w:lineRule="auto" w:line="276"/>
      </w:pPr>
      <w:r>
        <w:rPr>
          <w:b/>
        </w:rPr>
        <w:t xml:space="preserve">Abstract (EN): </w:t>
      </w:r>
      <w:r>
        <w:t>Excitons are the bosonic quasiparticles of electron-hole pairs that can generally be modulated by magnetism through heterostructure engineering, while antiferromagnets cannot generate such modulation fields due to their zero net magnetization. Nevertheless, integrating antiferromagnets with semiconductors remains highly desirable to coordinate exciton emission, offering advantages of negligibly stray fields and faster spin dynamics. However, developing an effective approach to manipulate excitons via antiferromagnetic (AFM) magnons remains challenging. Here, we report magnon-exciton coupling (MEC) in van der Waals (vdW) heterostructures and reveal the distinctive dependence of exciton emission on AFM spin order. Excitons selectively couple with Néel-type antiferromagnets, resulting in a substantial increase in exciton energy. This is attributed to the formation of spin-lattice-aligned channels that facilitate hopping-electron mediated magnon-exciton interaction and valence band splitting. Our results pinpoint the essence of interlayer MEC with respect to AFM spin configuration, providing a new perspective for both elementary excitation modulation and the development of AFM-based opto-spintronics.</w:t>
      </w:r>
    </w:p>
    <w:p>
      <w:pPr>
        <w:spacing w:before="120" w:after="120"/>
      </w:pPr>
      <w:r>
        <w:rPr>
          <w:sz w:val="18"/>
        </w:rPr>
        <w:t>——————————————————————————————————————————————————————————————————————</w:t>
      </w:r>
    </w:p>
    <w:p>
      <w:pPr>
        <w:spacing w:before="160" w:after="40" w:line="240" w:lineRule="auto"/>
      </w:pPr>
      <w:r>
        <w:rPr>
          <w:b/>
        </w:rPr>
        <w:t xml:space="preserve">[208] </w:t>
      </w:r>
      <w:hyperlink r:id="rId809">
        <w:r>
          <w:rPr>
            <w:color w:val="1155CC"/>
            <w:u w:val="single"/>
          </w:rPr>
          <w:t>较大的分子通过类似内螺旋的适应进入较小的沸石通道</w:t>
        </w:r>
      </w:hyperlink>
    </w:p>
    <w:p>
      <w:pPr>
        <w:spacing w:before="0" w:after="80"/>
      </w:pPr>
      <w:r>
        <w:rPr>
          <w:i/>
          <w:sz w:val="20"/>
        </w:rPr>
        <w:t>EN: Bigger Molecules Enter Smaller Channels of Zeolites via Inward-Coil-Alike Adaptation</w:t>
      </w:r>
    </w:p>
    <w:p>
      <w:pPr>
        <w:spacing w:before="0" w:after="120"/>
      </w:pPr>
      <w:r>
        <w:rPr>
          <w:b/>
        </w:rPr>
        <w:t xml:space="preserve">Source: </w:t>
      </w:r>
      <w:r>
        <w:t>Journal of the American Chemical Society: Latest Articles (ACS Publications)</w:t>
      </w:r>
      <w:r>
        <w:t xml:space="preserve">    </w:t>
      </w:r>
      <w:r>
        <w:rPr>
          <w:b/>
        </w:rPr>
        <w:t xml:space="preserve">Pub date: </w:t>
      </w:r>
      <w:r>
        <w:t>2026-07-27 00:00:00+00:00</w:t>
      </w:r>
      <w:r>
        <w:t xml:space="preserve">    </w:t>
      </w:r>
      <w:r>
        <w:rPr>
          <w:b/>
        </w:rPr>
        <w:t xml:space="preserve">DOI: </w:t>
      </w:r>
      <w:hyperlink r:id="rId810">
        <w:r>
          <w:rPr>
            <w:color w:val="1155CC"/>
            <w:u w:val="single"/>
          </w:rPr>
          <w:t>10.1021/jacs.6c09502</w:t>
        </w:r>
      </w:hyperlink>
    </w:p>
    <w:p>
      <w:pPr>
        <w:spacing w:before="0" w:after="120"/>
      </w:pPr>
      <w:r>
        <w:rPr>
          <w:b/>
        </w:rPr>
        <w:t xml:space="preserve">Notes: </w:t>
      </w:r>
      <w:r>
        <w:t>abstract_source=pubmed</w:t>
      </w:r>
    </w:p>
    <w:p>
      <w:pPr>
        <w:spacing w:before="0" w:after="80" w:lineRule="auto" w:line="276"/>
      </w:pPr>
      <w:r>
        <w:rPr>
          <w:b/>
        </w:rPr>
        <w:t xml:space="preserve">摘要（ZH）: </w:t>
      </w:r>
      <w:r>
        <w:t>尽管沸石具有明确的孔径，但越来越多的证据表明，超过标称尺寸的分子可能会渗透到孔隙中，这对尺寸排阻分子筛分的经典范例提出了挑战。尽管已经报道了容纳客体分子的沸石的骨架灵活性，但客体分子的潜在结构适应性仍未得到充分探索。在这项研究中，我们证明了最小投影直径超过沸石孔径约2倍的大荧光团可以发生向内卷曲，尺寸减小约18-27%，并能够进入各种沸石框架的亚纳米通道，这一点通过时间分辨荧光技术、X射线衍射细化和原位电子显微镜证实。这些发现首次表明，除了沸石框架固有的灵活性之外，客体分子本身可能表现出意想不到的高度构象变化，以促进孔的进入。此外，我们还证明了荧光团的光物理交替是由于响应各种沸石的结构适应而发生的能态变化。因此，荧光寿命可以作为分子应变的敏感描述符，提供沸石内不同受限微环境的读数。这种方法建立了一种探测微孔材料中孔隙可及性和主客体相互作用的新策略。</w:t>
      </w:r>
    </w:p>
    <w:p>
      <w:pPr>
        <w:spacing w:before="0" w:after="200" w:lineRule="auto" w:line="276"/>
      </w:pPr>
      <w:r>
        <w:rPr>
          <w:b/>
        </w:rPr>
        <w:t xml:space="preserve">Abstract (EN): </w:t>
      </w:r>
      <w:r>
        <w:t>Despite the well-defined pore apertures of zeolites, accumulating evidence reveals that molecules exceeding the nominal dimensions may permeate the pore, challenging the classical paradigm of size-exclusion molecular sieving. Although the framework flexibility of zeolites accommodating guest molecules has been reported, the potential structural adaptation of guest molecules remains underexplored. In this study, we demonstrated that a bulky fluorophore with a minimum projection diameter exceeding the zeolite pore size by ∼2-fold can undergo inward coiling, reducing size by about 18-27%, and enabling entry into the subnanometric channels of various zeolite frameworks, as confirmed by time-resolved fluorescence techniques, X-ray diffraction refinement, and in situ electron microscopy. These findings suggest, for the first time, that beyond the intrinsic flexibility of zeolite frameworks, guest molecules themselves may exhibit an unexpectedly high degree of conformational alternation to facilitate pore entry. Additionally, we demonstrated photophysical alternation of fluorophores as a result of energy state change in response to structure adaptation to various zeolites. Consequently, the fluorescence lifetime serves as a sensitive descriptor of molecular strain, providing a readout of the diverse confined microenvironments within zeolites. This approach establishes a novel strategy for probing pore accessibility and host-guest interactions in microporous materials.</w:t>
      </w:r>
    </w:p>
    <w:p>
      <w:pPr>
        <w:spacing w:before="120" w:after="120"/>
      </w:pPr>
      <w:r>
        <w:rPr>
          <w:sz w:val="18"/>
        </w:rPr>
        <w:t>——————————————————————————————————————————————————————————————————————</w:t>
      </w:r>
    </w:p>
    <w:p>
      <w:pPr>
        <w:spacing w:before="160" w:after="40" w:line="240" w:lineRule="auto"/>
      </w:pPr>
      <w:r>
        <w:rPr>
          <w:b/>
        </w:rPr>
        <w:t xml:space="preserve">[209] </w:t>
      </w:r>
      <w:hyperlink r:id="rId811">
        <w:r>
          <w:rPr>
            <w:color w:val="1155CC"/>
            <w:u w:val="single"/>
          </w:rPr>
          <w:t>片状膜定向多相复合凝聚</w:t>
        </w:r>
      </w:hyperlink>
    </w:p>
    <w:p>
      <w:pPr>
        <w:spacing w:before="0" w:after="80"/>
      </w:pPr>
      <w:r>
        <w:rPr>
          <w:i/>
          <w:sz w:val="20"/>
        </w:rPr>
        <w:t>EN: Patchy Membrane-Directed Multiphase Complex Coacervation</w:t>
      </w:r>
    </w:p>
    <w:p>
      <w:pPr>
        <w:spacing w:before="0" w:after="120"/>
      </w:pPr>
      <w:r>
        <w:rPr>
          <w:b/>
        </w:rPr>
        <w:t xml:space="preserve">Source: </w:t>
      </w:r>
      <w:r>
        <w:t>Journal of the American Chemical Society: Latest Articles (ACS Publications)</w:t>
      </w:r>
      <w:r>
        <w:t xml:space="preserve">    </w:t>
      </w:r>
      <w:r>
        <w:rPr>
          <w:b/>
        </w:rPr>
        <w:t xml:space="preserve">Pub date: </w:t>
      </w:r>
      <w:r>
        <w:t>2026-07-27 00:00:00+00:00</w:t>
      </w:r>
      <w:r>
        <w:t xml:space="preserve">    </w:t>
      </w:r>
      <w:r>
        <w:rPr>
          <w:b/>
        </w:rPr>
        <w:t xml:space="preserve">DOI: </w:t>
      </w:r>
      <w:hyperlink r:id="rId812">
        <w:r>
          <w:rPr>
            <w:color w:val="1155CC"/>
            <w:u w:val="single"/>
          </w:rPr>
          <w:t>10.1021/jacs.6c11826</w:t>
        </w:r>
      </w:hyperlink>
    </w:p>
    <w:p>
      <w:pPr>
        <w:spacing w:before="0" w:after="120"/>
      </w:pPr>
      <w:r>
        <w:rPr>
          <w:b/>
        </w:rPr>
        <w:t xml:space="preserve">Notes: </w:t>
      </w:r>
      <w:r>
        <w:t>abstract_source=pubmed</w:t>
      </w:r>
    </w:p>
    <w:p>
      <w:pPr>
        <w:spacing w:before="0" w:after="80" w:lineRule="auto" w:line="276"/>
      </w:pPr>
      <w:r>
        <w:rPr>
          <w:b/>
        </w:rPr>
        <w:t xml:space="preserve">摘要（ZH）: </w:t>
      </w:r>
      <w:r>
        <w:t>多相分离是生物分子凝聚体调节生物功能的关键特征。在细胞中，相分离可以发生在本体溶液中或脂质膜上。为了在人造细胞中建立类似生命的特征，人们进行了大量研究来重现多相分离行为。然而，这主要局限于本体特性，而膜相互作用的研究却少得多。在这里，我们引入了一种基于膜的策略，其中界面静电异质性控制基于直链淀粉的凝聚层中的多相分离，从而能够形成位于膜界面附近的子区室。通过将带有带负电的金纳米颗粒装饰的碗形聚合物囊泡（口细胞）整合到三元聚合物膜中，我们构建了一种片状膜结构，引入了局部的、高电荷界面域，从而稳定了基于直链淀粉的凝聚层。添加琥珀酰化牛血清白蛋白作为第二相形成成分后，嵌入的口细胞可以精确控制多相分离。调节凝聚层界面处口细胞的覆盖范围可以系统地调节富含蛋白质的子液滴的大小、空间定位和数量。完整的口细胞覆盖进一步增强了针对离子强度和 pH 变化的多相稳定性，同时提高了长期储存稳定性。此外，界面多相组织可以通过离子强度和温度动态调节。此外，扩大后的</w:t>
      </w:r>
    </w:p>
    <w:p>
      <w:pPr>
        <w:spacing w:before="0" w:after="200" w:lineRule="auto" w:line="276"/>
      </w:pPr>
      <w:r>
        <w:rPr>
          <w:b/>
        </w:rPr>
        <w:t xml:space="preserve">Abstract (EN): </w:t>
      </w:r>
      <w:r>
        <w:t>Multiphase separation is a key feature in biomolecular condensates to regulate biological function. In cells, phase separation can occur in a bulk solution or on a lipid membrane. To establish life-like features in artificial cells, much research has been carried out to reproduce multiphase separation behavior. However, this has been mostly restricted to bulk properties, whereas membrane interactions are much less investigated. Here, we introduce a membrane-based strategy in which interfacial electrostatic heterogeneity governs multiphase separation in amylose-based coacervates, enabling the formation of subcompartments localized near the membrane interface. By integrating bowl-shaped polymer vesicles (stomatocytes) decorated with negatively charged gold nanoparticles into a terpolymer membrane, we construct a patchy membrane architecture that introduces localized, highly charged interfacial domains, thereby stabilizing amylose-based coacervates. Upon the addition of succinylated bovine serum albumin as a second phase-forming component, the embedded stomatocytes allow precise control over multiphase separation. Modulating the stomatocytes' coverage at the coacervate interface enables systematic tuning of the size, spatial localization, and number of protein-enriched subdroplets. Complete stomatocyte coverage further enhances multiphase stability against variations in ionic strength and pH, while improving long-term storage stability. Moreover, the interfacial multiphase organization can be dynamically regulated by ionic strength and temperature. Furthermore, the enlarged interfacial area promotes enhanced cargo uptake, while the programmable positioning of enzyme-containing subcompartments enables spatial regulation of interprotocellular chemical communication. Together, these findings establish interfacial electrostatic heterogeneity as a versatile strategy for engineering membrane-associated multiphase protocells in which spatial organization governs molecular transport, catalysis, and communication.</w:t>
      </w:r>
    </w:p>
    <w:p>
      <w:pPr>
        <w:spacing w:before="120" w:after="120"/>
      </w:pPr>
      <w:r>
        <w:rPr>
          <w:sz w:val="18"/>
        </w:rPr>
        <w:t>——————————————————————————————————————————————————————————————————————</w:t>
      </w:r>
    </w:p>
    <w:p>
      <w:pPr>
        <w:spacing w:before="160" w:after="40" w:line="240" w:lineRule="auto"/>
      </w:pPr>
      <w:r>
        <w:rPr>
          <w:b/>
        </w:rPr>
        <w:t xml:space="preserve">[210] </w:t>
      </w:r>
      <w:hyperlink r:id="rId813">
        <w:r>
          <w:rPr>
            <w:color w:val="1155CC"/>
            <w:u w:val="single"/>
          </w:rPr>
          <w:t>用于对映选择性和区域发散 1,3- 和 1,4- 氮迁移的非血红素铁酶的定向进化：非经典 α- 和 β- 氨基酸的生物催化不对称合成</w:t>
        </w:r>
      </w:hyperlink>
    </w:p>
    <w:p>
      <w:pPr>
        <w:spacing w:before="0" w:after="80"/>
      </w:pPr>
      <w:r>
        <w:rPr>
          <w:i/>
          <w:sz w:val="20"/>
        </w:rPr>
        <w:t>EN: Directed Evolution of Nonheme Fe Enzymes for Enantioselective and Regiodivergent 1,3- and 1,4-Nitrogen Migration: Biocatalytic Asymmetric Synthesis of Noncanonical α- and β-Amino Acids</w:t>
      </w:r>
    </w:p>
    <w:p>
      <w:pPr>
        <w:spacing w:before="0" w:after="120"/>
      </w:pPr>
      <w:r>
        <w:rPr>
          <w:b/>
        </w:rPr>
        <w:t xml:space="preserve">Source: </w:t>
      </w:r>
      <w:r>
        <w:t>Journal of the American Chemical Society: Latest Articles (ACS Publications)</w:t>
      </w:r>
      <w:r>
        <w:t xml:space="preserve">    </w:t>
      </w:r>
      <w:r>
        <w:rPr>
          <w:b/>
        </w:rPr>
        <w:t xml:space="preserve">Pub date: </w:t>
      </w:r>
      <w:r>
        <w:t>2026-07-27 00:00:00+00:00</w:t>
      </w:r>
      <w:r>
        <w:t xml:space="preserve">    </w:t>
      </w:r>
      <w:r>
        <w:rPr>
          <w:b/>
        </w:rPr>
        <w:t xml:space="preserve">DOI: </w:t>
      </w:r>
      <w:hyperlink r:id="rId814">
        <w:r>
          <w:rPr>
            <w:color w:val="1155CC"/>
            <w:u w:val="single"/>
          </w:rPr>
          <w:t>10.1021/jacs.6c08775</w:t>
        </w:r>
      </w:hyperlink>
    </w:p>
    <w:p>
      <w:pPr>
        <w:spacing w:before="0" w:after="120"/>
      </w:pPr>
      <w:r>
        <w:rPr>
          <w:b/>
        </w:rPr>
        <w:t xml:space="preserve">Notes: </w:t>
      </w:r>
      <w:r>
        <w:t>abstract_source=pubmed</w:t>
      </w:r>
    </w:p>
    <w:p>
      <w:pPr>
        <w:spacing w:before="0" w:after="80" w:lineRule="auto" w:line="276"/>
      </w:pPr>
      <w:r>
        <w:rPr>
          <w:b/>
        </w:rPr>
        <w:t xml:space="preserve">摘要（ZH）: </w:t>
      </w:r>
      <w:r>
        <w:t>生物催化剂控制的羧酸衍生物的区域选择性 C(sp)-H 官能化为合成非常规 α-和 β-氨基酸提供了一种强大的方法。在此，我们报道了一种非血红素铁酶催化的、区域差异性和对映选择性的氮迁移，这是通过矮牵牛 (PhyACCO) 的 1-氨基环丙烷-1-羧酸氧化酶的定向进化实现的。通过对氮烷基酯 N 保护基团和非血红素 Fe 酶的系统评估，以及蛋白质工程的迭代，我们开发了两种互补的氮迁移酶 ACCONimα 和 ACCONimβ，它们能够实现生物催化剂控制的 1,3- 和 1,4- 氮迁移，并具有出色的区域选择性。 ACCONimα 通过未活化（非苄基）二级 C(sp)-H 键的酰胺化催化 α-氨基酸的高效对映选择性合成，总周转数 (TTN) 高达 1900，kcat 为 1560 min-1，提供多种非规范 α-氨基酸。 ACCONimα 进一步允许通过三级 C(sp)-H 键酰胺化从外消旋底物对映体合成具有挑战性的 α,α-二取代氨基酸。相比之下，ACCONimβ 通过催化剂控制的 1,6-氢原子转移途径实现了 β-氨基酸的区域选择性和对映选择性合成，该途径在很大程度上尚未得到充分探索。动力学和分子内氢-氘竞争研究表明，HAT 具有决定速率的作用，放能更强的 1,6-HAT 显示出比 1,5-HAT 更小的 KIE。 ACCONimα 和 ACCONimβ 对 1,5- 和 1,6-HAT 途径表现出相似的动力学同位素效应，表明</w:t>
      </w:r>
    </w:p>
    <w:p>
      <w:pPr>
        <w:spacing w:before="0" w:after="200" w:lineRule="auto" w:line="276"/>
      </w:pPr>
      <w:r>
        <w:rPr>
          <w:b/>
        </w:rPr>
        <w:t xml:space="preserve">Abstract (EN): </w:t>
      </w:r>
      <w:r>
        <w:t>Biocatalyst-controlled regioselective C(sp)-H functionalization of carboxylic acid derivatives provides a powerful method for the synthesis of noncanonical α- and β-amino acids. Herein, we report a nonheme Fe enzyme-catalyzed, regiodivergent, and enantioselective nitrogen migration, enabled by directed evolution of 1-aminocyclopropane-1-carboxylic acid oxidase from Petunia hybrida (PhyACCO). Through systematic evaluation of azanyl ester N-protecting groups and nonheme Fe enzymes, as well as iterative rounds of protein engineering, we developed two complementary nitrogen migratases, ACCONimα and ACCONimβ, that enabled biocatalyst-controlled 1,3- and 1,4-nitrogen migration with excellent regioselectivity. ACCONimα catalyzed the efficient enantioselective synthesis of α-amino acids via amidation of unactivated (nonbenzylic) secondary C(sp)-H bonds with up to 1900 total turnover numbers (TTN) and a kcat of 1560 min-1, affording diverse noncanonical α-amino acids. ACCONimα further allowed the enantioconvergent synthesis of challenging α,α-disubstituted amino acids from racemic substrates via tertiary C(sp)-H bond amidation. In contrast, ACCONimβ enabled the regio- and enantioselective synthesis of β-amino acids via a catalyst-controlled 1,6-hydrogen atom transfer pathway that remains largely underexplored. Kinetic and intramolecular hydrogen-deuterium competition studies indicated rate-determining HAT, with the more exergonic 1,6-HAT showing a smaller KIE than 1,5-HAT. ACCONimα and ACCONimβ exhibited similar kinetic isotope effects for both 1,5- and 1,6-HAT pathways, suggesting that enzyme engineering controls regio- and enantioselectivity but does not alter the intrinsic transition-state properties of the HAT event. Together, these results further established engineered nonheme Fe enzymes as an excellent platform for the development of stereoselective, synthetically useful non-native biocatalytic transformations.</w:t>
      </w:r>
    </w:p>
    <w:p>
      <w:pPr>
        <w:spacing w:before="120" w:after="120"/>
      </w:pPr>
      <w:r>
        <w:rPr>
          <w:sz w:val="18"/>
        </w:rPr>
        <w:t>——————————————————————————————————————————————————————————————————————</w:t>
      </w:r>
    </w:p>
    <w:p>
      <w:pPr>
        <w:spacing w:before="160" w:after="40" w:line="240" w:lineRule="auto"/>
      </w:pPr>
      <w:r>
        <w:rPr>
          <w:b/>
        </w:rPr>
        <w:t xml:space="preserve">[211] </w:t>
      </w:r>
      <w:hyperlink r:id="rId815">
        <w:r>
          <w:rPr>
            <w:color w:val="1155CC"/>
            <w:u w:val="single"/>
          </w:rPr>
          <w:t>共价有机框架中动态配位的金属依赖性构型转换</w:t>
        </w:r>
      </w:hyperlink>
    </w:p>
    <w:p>
      <w:pPr>
        <w:spacing w:before="0" w:after="80"/>
      </w:pPr>
      <w:r>
        <w:rPr>
          <w:i/>
          <w:sz w:val="20"/>
        </w:rPr>
        <w:t>EN: Dynamic Coordination-Enabled Metal-Dependent Configurational Switching in a Covalent Organic Framework</w:t>
      </w:r>
    </w:p>
    <w:p>
      <w:pPr>
        <w:spacing w:before="0" w:after="120"/>
      </w:pPr>
      <w:r>
        <w:rPr>
          <w:b/>
        </w:rPr>
        <w:t xml:space="preserve">Source: </w:t>
      </w:r>
      <w:r>
        <w:t>Journal of the American Chemical Society: Latest Articles (ACS Publications)</w:t>
      </w:r>
      <w:r>
        <w:t xml:space="preserve">    </w:t>
      </w:r>
      <w:r>
        <w:rPr>
          <w:b/>
        </w:rPr>
        <w:t xml:space="preserve">Pub date: </w:t>
      </w:r>
      <w:r>
        <w:t>2026-07-27 00:00:00+00:00</w:t>
      </w:r>
      <w:r>
        <w:t xml:space="preserve">    </w:t>
      </w:r>
      <w:r>
        <w:rPr>
          <w:b/>
        </w:rPr>
        <w:t xml:space="preserve">DOI: </w:t>
      </w:r>
      <w:hyperlink r:id="rId816">
        <w:r>
          <w:rPr>
            <w:color w:val="1155CC"/>
            <w:u w:val="single"/>
          </w:rPr>
          <w:t>10.1021/jacs.6c10544</w:t>
        </w:r>
      </w:hyperlink>
    </w:p>
    <w:p>
      <w:pPr>
        <w:spacing w:before="0" w:after="120"/>
      </w:pPr>
      <w:r>
        <w:rPr>
          <w:b/>
        </w:rPr>
        <w:t xml:space="preserve">Notes: </w:t>
      </w:r>
      <w:r>
        <w:t>abstract_source=pubmed</w:t>
      </w:r>
    </w:p>
    <w:p>
      <w:pPr>
        <w:spacing w:before="0" w:after="80" w:lineRule="auto" w:line="276"/>
      </w:pPr>
      <w:r>
        <w:rPr>
          <w:b/>
        </w:rPr>
        <w:t xml:space="preserve">摘要（ZH）: </w:t>
      </w:r>
      <w:r>
        <w:t>能够精确和化学触发结构转变的晶体材料的合成仍然是一个重大挑战。在此，我们报告了一种动态配位介导策略，用于构建高度稳定的双酰腙连接的共价有机框架COF-LIFM20-Zn，其具有可调节的U形五齿锌配位中心。 Zn2+的动态配位行为通过脱金属和重金属化实现了U型和W型构型之间的可逆相互转换，Zn2+去除率达到96.2%，重金属化效率高达97.9%，并在三个U-W转换循环中保留了可逆性。此外，Cu2+的掺入表现出明显的配位偏好，将框架重新编程为J形构型。因此，U型、W型和J型构型之间的相互转换是由单晶框架内的金属配位触发的。这些配位编程的结构转变系统地调节COF的孔结构和金属依赖性光物理性质。其中，COF-LIFM20-Zn 表现出高效的可见光驱动的 NAD+ 再生，而 COF-LIFM20-Cu 显着抑制活性，从而实现金属诱导的光催化性能构型调节。这项工作建立了一种通过动态共价和配位化学集成构建可重构COF的通用策略，为开发具有可编程结构的自适应晶体材料提供了新的机会</w:t>
      </w:r>
    </w:p>
    <w:p>
      <w:pPr>
        <w:spacing w:before="0" w:after="200" w:lineRule="auto" w:line="276"/>
      </w:pPr>
      <w:r>
        <w:rPr>
          <w:b/>
        </w:rPr>
        <w:t xml:space="preserve">Abstract (EN): </w:t>
      </w:r>
      <w:r>
        <w:t>The synthesis of crystalline materials capable of precise and chemically triggered structural transformations remains a significant challenge. Herein, we report a dynamic coordination-mediated strategy for constructing a highly stable bis-acylhydrazone-linked covalent organic framework, COF-LIFM20-Zn, featuring an adjustable U-shaped pentadentate Zn coordination center. The dynamic coordination behavior of Zn2+ enables reversible interconversions between U- and W-shaped configurations through demetalation and remetalation, as evidenced by 96.2% Zn2+ removal, a remetalation efficiency of up to 97.9%, and retained reversibility over three U-W switching cycles. Furthermore, incorporation of Cu2+, which exhibits a distinct coordination preference, reprograms the framework into a J-shaped configuration. Consequently, interconversions among the U-, W-, and J-shaped configurations are triggered by metal coordination within a single crystalline framework. These coordination-programmed structural transformations systematically modulate the pore structures and metal-dependent photophysical properties of the COFs. Among them, COF-LIFM20-Zn exhibits efficient visible-light-driven NAD+ regeneration, whereas COF-LIFM20-Cu significantly suppresses the activity, enabling metal-induced configurational regulation of photocatalytic performance. This work establishes a versatile strategy for constructing reconfigurable COFs through the integration of dynamic covalent and coordination chemistry, providing new opportunities for developing adaptive crystalline materials with programmable structures and tunable functionalities.</w:t>
      </w:r>
    </w:p>
    <w:p>
      <w:pPr>
        <w:spacing w:before="120" w:after="120"/>
      </w:pPr>
      <w:r>
        <w:rPr>
          <w:sz w:val="18"/>
        </w:rPr>
        <w:t>——————————————————————————————————————————————————————————————————————</w:t>
      </w:r>
    </w:p>
    <w:p>
      <w:pPr>
        <w:spacing w:before="160" w:after="40" w:line="240" w:lineRule="auto"/>
      </w:pPr>
      <w:r>
        <w:rPr>
          <w:b/>
        </w:rPr>
        <w:t xml:space="preserve">[212] </w:t>
      </w:r>
      <w:hyperlink r:id="rId817">
        <w:r>
          <w:rPr>
            <w:color w:val="1155CC"/>
            <w:u w:val="single"/>
          </w:rPr>
          <w:t>手性磷酸催化的 C-O 键不对称氢解</w:t>
        </w:r>
      </w:hyperlink>
    </w:p>
    <w:p>
      <w:pPr>
        <w:spacing w:before="0" w:after="80"/>
      </w:pPr>
      <w:r>
        <w:rPr>
          <w:i/>
          <w:sz w:val="20"/>
        </w:rPr>
        <w:t>EN: Chiral Phosphoric Acid-Catalyzed Asymmetric Hydrogenolysis of C–O Bonds</w:t>
      </w:r>
    </w:p>
    <w:p>
      <w:pPr>
        <w:spacing w:before="0" w:after="120"/>
      </w:pPr>
      <w:r>
        <w:rPr>
          <w:b/>
        </w:rPr>
        <w:t xml:space="preserve">Source: </w:t>
      </w:r>
      <w:r>
        <w:t>Journal of the American Chemical Society: Latest Articles (ACS Publications)</w:t>
      </w:r>
      <w:r>
        <w:t xml:space="preserve">    </w:t>
      </w:r>
      <w:r>
        <w:rPr>
          <w:b/>
        </w:rPr>
        <w:t xml:space="preserve">Pub date: </w:t>
      </w:r>
      <w:r>
        <w:t>2026-07-27 00:00:00+00:00</w:t>
      </w:r>
      <w:r>
        <w:t xml:space="preserve">    </w:t>
      </w:r>
      <w:r>
        <w:rPr>
          <w:b/>
        </w:rPr>
        <w:t xml:space="preserve">DOI: </w:t>
      </w:r>
      <w:hyperlink r:id="rId818">
        <w:r>
          <w:rPr>
            <w:color w:val="1155CC"/>
            <w:u w:val="single"/>
          </w:rPr>
          <w:t>10.1021/jacs.6c11054</w:t>
        </w:r>
      </w:hyperlink>
    </w:p>
    <w:p>
      <w:pPr>
        <w:spacing w:before="0" w:after="120"/>
      </w:pPr>
      <w:r>
        <w:rPr>
          <w:b/>
        </w:rPr>
        <w:t xml:space="preserve">Notes: </w:t>
      </w:r>
      <w:r>
        <w:t>abstract_source=pubmed</w:t>
      </w:r>
    </w:p>
    <w:p>
      <w:pPr>
        <w:spacing w:before="0" w:after="80" w:lineRule="auto" w:line="276"/>
      </w:pPr>
      <w:r>
        <w:rPr>
          <w:b/>
        </w:rPr>
        <w:t xml:space="preserve">摘要（ZH）: </w:t>
      </w:r>
      <w:r>
        <w:t>手性磷酸与仿生氢源（Hantzsch 酯）的组合构成了不饱和化合物不对称还原的强大系统。相比之下，由于C-O键能高且底物与催化剂之间的分子间亲和力弱，C-O单键的不对称氢解仍然是一个难以捉摸的挑战。在这项研究中，我们报告了一种由芳构化驱动的氢键激活策略，用于使用手性磷酸/Hantzsch酯系统进行C-O键的不对称氢解。该方案能够对邻醌单缩酮进行动力学拆分，提供选择性因子高达 1773 的轴向手性化合物和手性螺环。此外，该方法为轴向手性大麻二酚 (axCBD) 类似物提供了有效的途径。初步机理实验和DFT计算表明，不对称氢解通过对映选择性1,4-转移氢化引发步骤进行，随后是芳构化驱动的远程质子转移和骨架重排。</w:t>
      </w:r>
    </w:p>
    <w:p>
      <w:pPr>
        <w:spacing w:before="0" w:after="200" w:lineRule="auto" w:line="276"/>
      </w:pPr>
      <w:r>
        <w:rPr>
          <w:b/>
        </w:rPr>
        <w:t xml:space="preserve">Abstract (EN): </w:t>
      </w:r>
      <w:r>
        <w:t>The combination of chiral phosphoric acid with a biomimetic hydrogen source (Hantzsch esters) constitutes a powerful system for asymmetric reduction of unsaturated compounds. In contrast, asymmetric hydrogenolysis of C-O single bonds remains an elusive challenge owing to the high C-O bond energy and the weak intermolecular affinity between the substrate and the catalyst. In this study, we report a hydrogen-bond-activation strategy, driven by aromatization, for asymmetric hydrogenolysis of C-O bonds using the chiral phosphoric acid/Hantzsch ester system. This protocol enables kinetic resolution of o-quinone monoketals, affording axially chiral compounds and chiral spirocycles with selectivity factors up to 1773. Moreover, this methodology provides an efficient route to axially chiral cannabidiol (axCBD) analogs. Preliminary mechanistic experiments and DFT calculations suggested that asymmetric hydrogenolysis proceeded via an enantioselective 1,4-transfer hydrogenation initiation step, followed by an aromatization-driven remote proton transfer and skeletal rearrangement.</w:t>
      </w:r>
    </w:p>
    <w:p>
      <w:pPr>
        <w:spacing w:before="120" w:after="120"/>
      </w:pPr>
      <w:r>
        <w:rPr>
          <w:sz w:val="18"/>
        </w:rPr>
        <w:t>——————————————————————————————————————————————————————————————————————</w:t>
      </w:r>
    </w:p>
    <w:p>
      <w:pPr>
        <w:spacing w:before="160" w:after="40" w:line="240" w:lineRule="auto"/>
      </w:pPr>
      <w:r>
        <w:rPr>
          <w:b/>
        </w:rPr>
        <w:t xml:space="preserve">[213] </w:t>
      </w:r>
      <w:hyperlink r:id="rId819">
        <w:r>
          <w:rPr>
            <w:color w:val="1155CC"/>
            <w:u w:val="single"/>
          </w:rPr>
          <w:t>操纵无限层镍酸盐场重入超导竞争的化学途径</w:t>
        </w:r>
      </w:hyperlink>
    </w:p>
    <w:p>
      <w:pPr>
        <w:spacing w:before="0" w:after="80"/>
      </w:pPr>
      <w:r>
        <w:rPr>
          <w:i/>
          <w:sz w:val="20"/>
        </w:rPr>
        <w:t>EN: A chemical avenue to manipulate field-reentrant superconducting competition in infinite layer nickelates</w:t>
      </w:r>
    </w:p>
    <w:p>
      <w:pPr>
        <w:spacing w:before="0" w:after="120"/>
      </w:pPr>
      <w:r>
        <w:rPr>
          <w:b/>
        </w:rPr>
        <w:t xml:space="preserve">Source: </w:t>
      </w:r>
      <w:r>
        <w:t>National Science Review Advance Access</w:t>
      </w:r>
      <w:r>
        <w:t xml:space="preserve">    </w:t>
      </w:r>
      <w:r>
        <w:rPr>
          <w:b/>
        </w:rPr>
        <w:t xml:space="preserve">Pub date: </w:t>
      </w:r>
      <w:r>
        <w:t>2026-07-27 00:00:00+00:00</w:t>
      </w:r>
      <w:r>
        <w:t xml:space="preserve">    </w:t>
      </w:r>
      <w:r>
        <w:rPr>
          <w:b/>
        </w:rPr>
        <w:t xml:space="preserve">DOI: </w:t>
      </w:r>
      <w:hyperlink r:id="rId820">
        <w:r>
          <w:rPr>
            <w:color w:val="1155CC"/>
            <w:u w:val="single"/>
          </w:rPr>
          <w:t>10.1093/nsr/nwag457</w:t>
        </w:r>
      </w:hyperlink>
    </w:p>
    <w:p>
      <w:pPr>
        <w:spacing w:before="0" w:after="120"/>
      </w:pPr>
      <w:r>
        <w:rPr>
          <w:b/>
        </w:rPr>
        <w:t xml:space="preserve">Notes: </w:t>
      </w:r>
      <w:r>
        <w:t>abstract_source=rss_oup</w:t>
      </w:r>
    </w:p>
    <w:p>
      <w:pPr>
        <w:spacing w:before="0" w:after="80" w:lineRule="auto" w:line="276"/>
      </w:pPr>
      <w:r>
        <w:rPr>
          <w:b/>
        </w:rPr>
        <w:t xml:space="preserve">摘要（ZH）: </w:t>
      </w:r>
      <w:r>
        <w:t>最近，初步在高温（T</w:t>
      </w:r>
    </w:p>
    <w:p>
      <w:pPr>
        <w:spacing w:before="0" w:after="200" w:lineRule="auto" w:line="276"/>
      </w:pPr>
      <w:r>
        <w:rPr>
          <w:b/>
        </w:rPr>
        <w:t xml:space="preserve">Abstract (EN): </w:t>
      </w:r>
      <w:r>
        <w:t>Recently, preliminary magnetic field-reentrant superconductivity manifested in high-temperature (T</w:t>
      </w:r>
    </w:p>
    <w:p>
      <w:pPr>
        <w:spacing w:before="120" w:after="120"/>
      </w:pPr>
      <w:r>
        <w:rPr>
          <w:sz w:val="18"/>
        </w:rPr>
        <w:t>——————————————————————————————————————————————————————————————————————</w:t>
      </w:r>
    </w:p>
    <w:p>
      <w:pPr>
        <w:spacing w:before="160" w:after="40" w:line="240" w:lineRule="auto"/>
      </w:pPr>
      <w:r>
        <w:rPr>
          <w:b/>
        </w:rPr>
        <w:t xml:space="preserve">[214] </w:t>
      </w:r>
      <w:hyperlink r:id="rId821">
        <w:r>
          <w:rPr>
            <w:color w:val="1155CC"/>
            <w:u w:val="single"/>
          </w:rPr>
          <w:t>使用全维量子动力学破译水合质子的红外光谱</w:t>
        </w:r>
      </w:hyperlink>
    </w:p>
    <w:p>
      <w:pPr>
        <w:spacing w:before="0" w:after="80"/>
      </w:pPr>
      <w:r>
        <w:rPr>
          <w:i/>
          <w:sz w:val="20"/>
        </w:rPr>
        <w:t>EN: Deciphering the infrared spectrum of the hydrated proton using full-dimensional quantum dynamics</w:t>
      </w:r>
    </w:p>
    <w:p>
      <w:pPr>
        <w:spacing w:before="0" w:after="120"/>
      </w:pPr>
      <w:r>
        <w:rPr>
          <w:b/>
        </w:rPr>
        <w:t xml:space="preserve">Source: </w:t>
      </w:r>
      <w:r>
        <w:t>Nature Chemistry</w:t>
      </w:r>
      <w:r>
        <w:t xml:space="preserve">    </w:t>
      </w:r>
      <w:r>
        <w:rPr>
          <w:b/>
        </w:rPr>
        <w:t xml:space="preserve">Pub date: </w:t>
      </w:r>
      <w:r>
        <w:t>2026-07-27 00:00:00+00:00</w:t>
      </w:r>
      <w:r>
        <w:t xml:space="preserve">    </w:t>
      </w:r>
      <w:r>
        <w:rPr>
          <w:b/>
        </w:rPr>
        <w:t xml:space="preserve">DOI: </w:t>
      </w:r>
      <w:hyperlink r:id="rId822">
        <w:r>
          <w:rPr>
            <w:color w:val="1155CC"/>
            <w:u w:val="single"/>
          </w:rPr>
          <w:t>10.1038/s41557-026-02209-3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水质子的性质传统上通过两个限制性结构基序来解释：Zundel 和本征阳离子。然而，溶剂化质子的实验红外（IR）光谱揭示了更加动态的特征，特征连续吸收带内的不同强度调制证明了这一点。事实上，最近的超快二维红外光谱表明，溶剂化引起的 H 周围的结构扭曲</w:t>
      </w:r>
      <w:r>
        <w:rPr>
          <w:vertAlign w:val="subscript"/>
        </w:rPr>
        <w:t>2</w:t>
      </w:r>
      <w:r>
        <w:t>OH</w:t>
      </w:r>
      <w:r>
        <w:t xml:space="preserve"> </w:t>
      </w:r>
      <w:r>
        <w:t>+</w:t>
      </w:r>
      <w:r>
        <w:t xml:space="preserve"> </w:t>
      </w:r>
      <w:r>
        <w:t>⋯OH</w:t>
      </w:r>
      <w:r>
        <w:rPr>
          <w:vertAlign w:val="subscript"/>
        </w:rPr>
        <w:t>2</w:t>
      </w:r>
      <w:r>
        <w:t>图案对红外响应有着至关重要的影响。在这里，我们通过扩展 Zundel 复合体 H 的全维量子动力学模拟来研究这种不对称性的作用</w:t>
      </w:r>
      <w:r>
        <w:t xml:space="preserve"> </w:t>
      </w:r>
      <w:r>
        <w:t>+</w:t>
      </w:r>
      <w:r>
        <w:t xml:space="preserve"> </w:t>
      </w:r>
      <w:r>
        <w:t>（H</w:t>
      </w:r>
      <w:r>
        <w:rPr>
          <w:vertAlign w:val="subscript"/>
        </w:rPr>
        <w:t>2</w:t>
      </w:r>
      <w:r>
        <w:t>哦）</w:t>
      </w:r>
      <w:r>
        <w:rPr>
          <w:vertAlign w:val="subscript"/>
        </w:rPr>
        <w:t>6</w:t>
      </w:r>
      <w:r>
        <w:t>，它在结构上包含 Zundel 和 Eigen 主题。从第二个溶剂化壳中系统地去除一个水分子逐渐导致从完全对称的 Zundel 型复合物向本征型光谱特征的偏离。这些结果提供了不对称溶剂化环境与水性质子的第一和第二溶剂化壳层的结构响应之间的直接映射，为理解这种不对称性如何控制水性环境中的质子迁移率提供了结构和动力学基础。</w:t>
      </w:r>
    </w:p>
    <w:p>
      <w:pPr>
        <w:spacing w:before="0" w:after="200" w:lineRule="auto" w:line="276"/>
      </w:pPr>
      <w:r>
        <w:rPr>
          <w:b/>
        </w:rPr>
        <w:t xml:space="preserve">Abstract (EN): </w:t>
      </w:r>
      <w:r>
        <w:t>The nature of the aqueous proton has been traditionally interpreted through two limiting structural motifs: the Zundel and Eigen cations. However, experimental infrared (IR) spectra of the solvated proton reveal a far more dynamic character, as evidenced by distinct intensity modulations within the characteristic continuum absorption band. In fact, recent ultrafast two-dimensional IR spectroscopy suggests that solvation-induced structural distortions around H</w:t>
      </w:r>
      <w:r>
        <w:rPr>
          <w:vertAlign w:val="subscript"/>
        </w:rPr>
        <w:t>2</w:t>
      </w:r>
      <w:r>
        <w:t>O⋯H</w:t>
      </w:r>
      <w:r>
        <w:t xml:space="preserve"> </w:t>
      </w:r>
      <w:r>
        <w:t>+</w:t>
      </w:r>
      <w:r>
        <w:t xml:space="preserve"> </w:t>
      </w:r>
      <w:r>
        <w:t>⋯OH</w:t>
      </w:r>
      <w:r>
        <w:rPr>
          <w:vertAlign w:val="subscript"/>
        </w:rPr>
        <w:t>2</w:t>
      </w:r>
      <w:r>
        <w:t>motifs critically shape the IR response. Here we investigate the role of such asymmetry through full-dimensional quantum dynamics simulations of the extended Zundel complex H</w:t>
      </w:r>
      <w:r>
        <w:t xml:space="preserve"> </w:t>
      </w:r>
      <w:r>
        <w:t>+</w:t>
      </w:r>
      <w:r>
        <w:t xml:space="preserve"> </w:t>
      </w:r>
      <w:r>
        <w:t>(H</w:t>
      </w:r>
      <w:r>
        <w:rPr>
          <w:vertAlign w:val="subscript"/>
        </w:rPr>
        <w:t>2</w:t>
      </w:r>
      <w:r>
        <w:t>O)</w:t>
      </w:r>
      <w:r>
        <w:rPr>
          <w:vertAlign w:val="subscript"/>
        </w:rPr>
        <w:t>6</w:t>
      </w:r>
      <w:r>
        <w:t>, which structurally encompasses both Zundel and Eigen motifs. Systematic removal of one water molecule from the second solvation shell gradually introduces deviations from the perfectly symmetric Zundel-like complex towards Eigen-like spectral features. These results provide a direct map between the asymmetric solvation environment and the structural response of the first and second solvation shells of the aqueous proton, offering a structural and dynamical basis for understanding how this asymmetry governs proton mobility in aqueous environments.</w:t>
      </w:r>
    </w:p>
    <w:p>
      <w:pPr>
        <w:spacing w:before="120" w:after="120"/>
      </w:pPr>
      <w:r>
        <w:rPr>
          <w:sz w:val="18"/>
        </w:rPr>
        <w:t>——————————————————————————————————————————————————————————————————————</w:t>
      </w:r>
    </w:p>
    <w:p>
      <w:pPr>
        <w:spacing w:before="160" w:after="40" w:line="240" w:lineRule="auto"/>
      </w:pPr>
      <w:r>
        <w:rPr>
          <w:b/>
        </w:rPr>
        <w:t xml:space="preserve">[215] </w:t>
      </w:r>
      <w:hyperlink r:id="rId823">
        <w:r>
          <w:rPr>
            <w:color w:val="1155CC"/>
            <w:u w:val="single"/>
          </w:rPr>
          <w:t>用于寡核苷酸修饰的支持物磷酸化</w:t>
        </w:r>
      </w:hyperlink>
    </w:p>
    <w:p>
      <w:pPr>
        <w:spacing w:before="0" w:after="80"/>
      </w:pPr>
      <w:r>
        <w:rPr>
          <w:i/>
          <w:sz w:val="20"/>
        </w:rPr>
        <w:t>EN: On-support phosphitylation for oligonucleotide modification</w:t>
      </w:r>
    </w:p>
    <w:p>
      <w:pPr>
        <w:spacing w:before="0" w:after="120"/>
      </w:pPr>
      <w:r>
        <w:rPr>
          <w:b/>
        </w:rPr>
        <w:t xml:space="preserve">Source: </w:t>
      </w:r>
      <w:r>
        <w:t>Nature Chemistry</w:t>
      </w:r>
      <w:r>
        <w:t xml:space="preserve">    </w:t>
      </w:r>
      <w:r>
        <w:rPr>
          <w:b/>
        </w:rPr>
        <w:t xml:space="preserve">Pub date: </w:t>
      </w:r>
      <w:r>
        <w:t>2026-07-27 00:00:00+00:00</w:t>
      </w:r>
      <w:r>
        <w:t xml:space="preserve">    </w:t>
      </w:r>
      <w:r>
        <w:rPr>
          <w:b/>
        </w:rPr>
        <w:t xml:space="preserve">DOI: </w:t>
      </w:r>
      <w:hyperlink r:id="rId824">
        <w:r>
          <w:rPr>
            <w:color w:val="1155CC"/>
            <w:u w:val="single"/>
          </w:rPr>
          <w:t>10.1038/s41557-026-02229-z</w:t>
        </w:r>
      </w:hyperlink>
    </w:p>
    <w:p>
      <w:pPr>
        <w:spacing w:before="0" w:after="120"/>
      </w:pPr>
      <w:r>
        <w:rPr>
          <w:b/>
        </w:rPr>
        <w:t xml:space="preserve">Notes: </w:t>
      </w:r>
      <w:r>
        <w:t>abstract_source=rss_nature</w:t>
      </w:r>
    </w:p>
    <w:p>
      <w:pPr>
        <w:spacing w:before="0" w:after="80" w:lineRule="auto" w:line="276"/>
      </w:pPr>
      <w:r>
        <w:rPr>
          <w:b/>
        </w:rPr>
        <w:t xml:space="preserve">摘要（ZH）: </w:t>
      </w:r>
      <w:r>
        <w:t>通过对不断增长的寡核苷酸链进行直接的支持物磷酸化，建立了寡核苷酸功能化的简化方法，从而能够与双功能醇和核苷偶联。该方法提供了多种末端和内部修饰的途径，提高了官能团耐受性，促进试剂回收，并提供了超出当前亚磷酰胺策略的更高灵活性。</w:t>
      </w:r>
    </w:p>
    <w:p>
      <w:pPr>
        <w:spacing w:before="0" w:after="200" w:lineRule="auto" w:line="276"/>
      </w:pPr>
      <w:r>
        <w:rPr>
          <w:b/>
        </w:rPr>
        <w:t xml:space="preserve">Abstract (EN): </w:t>
      </w:r>
      <w:r>
        <w:t>A streamlined approach for oligonucleotide functionalization is established through direct on-support phosphitylation of the growing oligonucleotide chain, enabling coupling with bifunctional alcohols and nucleosides. This method provides access to diverse terminal and internal modifications, improves functional-group tolerance, facilitates reagent recovery and offers increased flexibility beyond current phosphoramidite strategies.</w:t>
      </w:r>
    </w:p>
    <w:p>
      <w:pPr>
        <w:spacing w:before="120" w:after="120"/>
      </w:pPr>
      <w:r>
        <w:rPr>
          <w:sz w:val="18"/>
        </w:rPr>
        <w:t>——————————————————————————————————————————————————————————————————————</w:t>
      </w:r>
    </w:p>
    <w:p>
      <w:pPr>
        <w:spacing w:before="160" w:after="40" w:line="240" w:lineRule="auto"/>
      </w:pPr>
      <w:r>
        <w:rPr>
          <w:b/>
        </w:rPr>
        <w:t xml:space="preserve">[216] </w:t>
      </w:r>
      <w:hyperlink r:id="rId825">
        <w:r>
          <w:rPr>
            <w:color w:val="1155CC"/>
            <w:u w:val="single"/>
          </w:rPr>
          <w:t>介孔COF结构的界面能量引导合成</w:t>
        </w:r>
      </w:hyperlink>
    </w:p>
    <w:p>
      <w:pPr>
        <w:spacing w:before="0" w:after="80"/>
      </w:pPr>
      <w:r>
        <w:rPr>
          <w:i/>
          <w:sz w:val="20"/>
        </w:rPr>
        <w:t>EN: Interfacial-energy-directed synthesis of mesoporous COF architectures</w:t>
      </w:r>
    </w:p>
    <w:p>
      <w:pPr>
        <w:spacing w:before="0" w:after="120"/>
      </w:pPr>
      <w:r>
        <w:rPr>
          <w:b/>
        </w:rPr>
        <w:t xml:space="preserve">Source: </w:t>
      </w:r>
      <w:r>
        <w:t>National Science Review Advance Access</w:t>
      </w:r>
      <w:r>
        <w:t xml:space="preserve">    </w:t>
      </w:r>
      <w:r>
        <w:rPr>
          <w:b/>
        </w:rPr>
        <w:t xml:space="preserve">Pub date: </w:t>
      </w:r>
      <w:r>
        <w:t>2026-07-27 00:00:00+00:00</w:t>
      </w:r>
      <w:r>
        <w:t xml:space="preserve">    </w:t>
      </w:r>
      <w:r>
        <w:rPr>
          <w:b/>
        </w:rPr>
        <w:t xml:space="preserve">DOI: </w:t>
      </w:r>
      <w:hyperlink r:id="rId826">
        <w:r>
          <w:rPr>
            <w:color w:val="1155CC"/>
            <w:u w:val="single"/>
          </w:rPr>
          <w:t>10.1093/nsr/nwag454</w:t>
        </w:r>
      </w:hyperlink>
    </w:p>
    <w:p>
      <w:pPr>
        <w:spacing w:before="0" w:after="120"/>
      </w:pPr>
      <w:r>
        <w:rPr>
          <w:b/>
        </w:rPr>
        <w:t xml:space="preserve">Notes: </w:t>
      </w:r>
      <w:r>
        <w:t>abstract_source=openalex</w:t>
      </w:r>
    </w:p>
    <w:p>
      <w:pPr>
        <w:spacing w:before="0" w:after="80" w:lineRule="auto" w:line="276"/>
      </w:pPr>
      <w:r>
        <w:rPr>
          <w:b/>
        </w:rPr>
        <w:t xml:space="preserve">摘要（ZH）: </w:t>
      </w:r>
      <w:r>
        <w:t>唐静，山内佑介；介孔 COF 结构的界面能量定向合成，国家科学评论，，nwag454，https://doi.org/10.1</w:t>
      </w:r>
    </w:p>
    <w:p>
      <w:pPr>
        <w:spacing w:before="0" w:after="200" w:lineRule="auto" w:line="276"/>
      </w:pPr>
      <w:r>
        <w:rPr>
          <w:b/>
        </w:rPr>
        <w:t xml:space="preserve">Abstract (EN): </w:t>
      </w:r>
      <w:r>
        <w:t>Jing Tang, Yusuke Yamauchi; Interfacial-energy-directed synthesis of mesoporous COF architectures, National Science Review, , nwag454, https://doi.org/10.1</w:t>
      </w:r>
    </w:p>
    <w:p>
      <w:pPr>
        <w:spacing w:before="120" w:after="120"/>
      </w:pPr>
      <w:r>
        <w:rPr>
          <w:sz w:val="18"/>
        </w:rPr>
        <w:t>——————————————————————————————————————————————————————————————————————</w:t>
      </w:r>
    </w:p>
    <w:p>
      <w:pPr>
        <w:spacing w:before="160" w:after="40" w:line="240" w:lineRule="auto"/>
      </w:pPr>
      <w:r>
        <w:rPr>
          <w:b/>
        </w:rPr>
        <w:t xml:space="preserve">[217] </w:t>
      </w:r>
      <w:hyperlink r:id="rId827">
        <w:r>
          <w:rPr>
            <w:color w:val="1155CC"/>
            <w:u w:val="single"/>
          </w:rPr>
          <w:t>half-Heusler 化合物中的填充断层和空位交换占据</w:t>
        </w:r>
      </w:hyperlink>
    </w:p>
    <w:p>
      <w:pPr>
        <w:spacing w:before="0" w:after="80"/>
      </w:pPr>
      <w:r>
        <w:rPr>
          <w:i/>
          <w:sz w:val="20"/>
        </w:rPr>
        <w:t>EN: Filling faults and vacancy swap occupation in half-Heusler compounds</w:t>
      </w:r>
    </w:p>
    <w:p>
      <w:pPr>
        <w:spacing w:before="0" w:after="120"/>
      </w:pPr>
      <w:r>
        <w:rPr>
          <w:b/>
        </w:rPr>
        <w:t xml:space="preserve">Source: </w:t>
      </w:r>
      <w:r>
        <w:t>National Science Review Advance Access</w:t>
      </w:r>
      <w:r>
        <w:t xml:space="preserve">    </w:t>
      </w:r>
      <w:r>
        <w:rPr>
          <w:b/>
        </w:rPr>
        <w:t xml:space="preserve">Pub date: </w:t>
      </w:r>
      <w:r>
        <w:t>2026-07-27 00:00:00+00:00</w:t>
      </w:r>
      <w:r>
        <w:t xml:space="preserve">    </w:t>
      </w:r>
      <w:r>
        <w:rPr>
          <w:b/>
        </w:rPr>
        <w:t xml:space="preserve">DOI: </w:t>
      </w:r>
      <w:hyperlink r:id="rId828">
        <w:r>
          <w:rPr>
            <w:color w:val="1155CC"/>
            <w:u w:val="single"/>
          </w:rPr>
          <w:t>10.1093/nsr/nwag458</w:t>
        </w:r>
      </w:hyperlink>
    </w:p>
    <w:p>
      <w:pPr>
        <w:spacing w:before="0" w:after="120"/>
      </w:pPr>
      <w:r>
        <w:rPr>
          <w:b/>
        </w:rPr>
        <w:t xml:space="preserve">Notes: </w:t>
      </w:r>
      <w:r>
        <w:t>abstract_source=rss_oup</w:t>
      </w:r>
    </w:p>
    <w:p>
      <w:pPr>
        <w:spacing w:before="0" w:after="80" w:lineRule="auto" w:line="276"/>
      </w:pPr>
      <w:r>
        <w:rPr>
          <w:b/>
        </w:rPr>
        <w:t xml:space="preserve">摘要（ZH）: </w:t>
      </w:r>
      <w:r>
        <w:t>缺陷在理解和阐明材料科学中的结构-性能关系方面发挥着至关重要的作用。在这里，我们报告了一种新型平面缺陷的存在，填充缺陷</w:t>
      </w:r>
    </w:p>
    <w:p>
      <w:pPr>
        <w:spacing w:before="0" w:after="200" w:lineRule="auto" w:line="276"/>
      </w:pPr>
      <w:r>
        <w:rPr>
          <w:b/>
        </w:rPr>
        <w:t xml:space="preserve">Abstract (EN): </w:t>
      </w:r>
      <w:r>
        <w:t>Defects play a vital role in understanding and elucidating the structure-property relationship in materials science. Here we report the existence of a new kind of planar defect, filling fault</w:t>
      </w:r>
    </w:p>
    <w:p>
      <w:pPr>
        <w:spacing w:before="120" w:after="120"/>
      </w:pPr>
      <w:r>
        <w:rPr>
          <w:sz w:val="18"/>
        </w:rPr>
        <w:t>——————————————————————————————————————————————————————————————————————</w:t>
      </w:r>
    </w:p>
    <w:p>
      <w:pPr>
        <w:spacing w:before="160" w:after="40" w:line="240" w:lineRule="auto"/>
      </w:pPr>
      <w:r>
        <w:rPr>
          <w:b/>
        </w:rPr>
        <w:t xml:space="preserve">[218] </w:t>
      </w:r>
      <w:hyperlink r:id="rId829">
        <w:r>
          <w:rPr>
            <w:color w:val="1155CC"/>
            <w:u w:val="single"/>
          </w:rPr>
          <w:t>如何防止人工智能危害数学</w:t>
        </w:r>
      </w:hyperlink>
    </w:p>
    <w:p>
      <w:pPr>
        <w:spacing w:before="0" w:after="80"/>
      </w:pPr>
      <w:r>
        <w:rPr>
          <w:i/>
          <w:sz w:val="20"/>
        </w:rPr>
        <w:t>EN: How to prevent AI from harming mathematics</w:t>
      </w:r>
    </w:p>
    <w:p>
      <w:pPr>
        <w:spacing w:before="0" w:after="120"/>
      </w:pPr>
      <w:r>
        <w:rPr>
          <w:b/>
        </w:rPr>
        <w:t xml:space="preserve">Source: </w:t>
      </w:r>
      <w:r>
        <w:t>Nature</w:t>
      </w:r>
      <w:r>
        <w:t xml:space="preserve">    </w:t>
      </w:r>
      <w:r>
        <w:rPr>
          <w:b/>
        </w:rPr>
        <w:t xml:space="preserve">Pub date: </w:t>
      </w:r>
      <w:r>
        <w:t>2026-07-27 00:00:00+00:00</w:t>
      </w:r>
      <w:r>
        <w:t xml:space="preserve">    </w:t>
      </w:r>
      <w:r>
        <w:rPr>
          <w:b/>
        </w:rPr>
        <w:t xml:space="preserve">DOI: </w:t>
      </w:r>
      <w:hyperlink r:id="rId830">
        <w:r>
          <w:rPr>
            <w:color w:val="1155CC"/>
            <w:u w:val="single"/>
          </w:rPr>
          <w:t>10.1038/d41586-026-02309-7</w:t>
        </w:r>
      </w:hyperlink>
    </w:p>
    <w:p>
      <w:pPr>
        <w:spacing w:before="0" w:after="120"/>
      </w:pPr>
      <w:r>
        <w:rPr>
          <w:b/>
        </w:rPr>
        <w:t xml:space="preserve">Notes: </w:t>
      </w:r>
      <w:r>
        <w:t>abstract_source=rss_nature</w:t>
      </w:r>
    </w:p>
    <w:p>
      <w:pPr>
        <w:spacing w:before="0" w:after="80" w:lineRule="auto" w:line="276"/>
      </w:pPr>
      <w:r>
        <w:rPr>
          <w:b/>
        </w:rPr>
        <w:t xml:space="preserve">摘要（ZH）: </w:t>
      </w:r>
      <w:r>
        <w:t>数学家必须紧急认识到人工智能对其领域的影响，并迅速采取行动减轻威胁。</w:t>
      </w:r>
    </w:p>
    <w:p>
      <w:pPr>
        <w:spacing w:before="0" w:after="200" w:lineRule="auto" w:line="276"/>
      </w:pPr>
      <w:r>
        <w:rPr>
          <w:b/>
        </w:rPr>
        <w:t xml:space="preserve">Abstract (EN): </w:t>
      </w:r>
      <w:r>
        <w:t>Mathematicians must urgently recognize AI’s impacts on their field — and act swiftly to mitigate threats.</w:t>
      </w:r>
    </w:p>
    <w:p>
      <w:pPr>
        <w:spacing w:before="120" w:after="120"/>
      </w:pPr>
      <w:r>
        <w:rPr>
          <w:sz w:val="18"/>
        </w:rPr>
        <w:t>——————————————————————————————————————————————————————————————————————</w:t>
      </w:r>
    </w:p>
    <w:p>
      <w:pPr>
        <w:spacing w:before="160" w:after="40" w:line="240" w:lineRule="auto"/>
      </w:pPr>
      <w:r>
        <w:rPr>
          <w:b/>
        </w:rPr>
        <w:t xml:space="preserve">[219] </w:t>
      </w:r>
      <w:hyperlink r:id="rId831">
        <w:r>
          <w:rPr>
            <w:color w:val="1155CC"/>
            <w:u w:val="single"/>
          </w:rPr>
          <w:t>发烧时梦见果冻和蛞蝓</w:t>
        </w:r>
      </w:hyperlink>
    </w:p>
    <w:p>
      <w:pPr>
        <w:spacing w:before="0" w:after="80"/>
      </w:pPr>
      <w:r>
        <w:rPr>
          <w:i/>
          <w:sz w:val="20"/>
        </w:rPr>
        <w:t>EN: A fever dream of jellies and slugs</w:t>
      </w:r>
    </w:p>
    <w:p>
      <w:pPr>
        <w:spacing w:before="0" w:after="120"/>
      </w:pPr>
      <w:r>
        <w:rPr>
          <w:b/>
        </w:rPr>
        <w:t xml:space="preserve">Source: </w:t>
      </w:r>
      <w:r>
        <w:t>Nature</w:t>
      </w:r>
      <w:r>
        <w:t xml:space="preserve">    </w:t>
      </w:r>
      <w:r>
        <w:rPr>
          <w:b/>
        </w:rPr>
        <w:t xml:space="preserve">Pub date: </w:t>
      </w:r>
      <w:r>
        <w:t>2026-07-27 00:00:00+00:00</w:t>
      </w:r>
      <w:r>
        <w:t xml:space="preserve">    </w:t>
      </w:r>
      <w:r>
        <w:rPr>
          <w:b/>
        </w:rPr>
        <w:t xml:space="preserve">DOI: </w:t>
      </w:r>
      <w:hyperlink r:id="rId832">
        <w:r>
          <w:rPr>
            <w:color w:val="1155CC"/>
            <w:u w:val="single"/>
          </w:rPr>
          <w:t>10.1038/d41586-026-02314-w</w:t>
        </w:r>
      </w:hyperlink>
    </w:p>
    <w:p>
      <w:pPr>
        <w:spacing w:before="0" w:after="120"/>
      </w:pPr>
      <w:r>
        <w:rPr>
          <w:b/>
        </w:rPr>
        <w:t xml:space="preserve">Notes: </w:t>
      </w:r>
      <w:r>
        <w:t>abstract_source=rss_nature</w:t>
      </w:r>
    </w:p>
    <w:p>
      <w:pPr>
        <w:spacing w:before="0" w:after="80" w:lineRule="auto" w:line="276"/>
      </w:pPr>
      <w:r>
        <w:rPr>
          <w:b/>
        </w:rPr>
        <w:t xml:space="preserve">摘要（ZH）: </w:t>
      </w:r>
      <w:r>
        <w:t>庆祝恩斯特·海克尔对生命形式的草图，从微观到宏伟。</w:t>
      </w:r>
    </w:p>
    <w:p>
      <w:pPr>
        <w:spacing w:before="0" w:after="200" w:lineRule="auto" w:line="276"/>
      </w:pPr>
      <w:r>
        <w:rPr>
          <w:b/>
        </w:rPr>
        <w:t xml:space="preserve">Abstract (EN): </w:t>
      </w:r>
      <w:r>
        <w:t>A celebration of Ernst Haeckel’s sketches of life forms, from microscopic to majestic.</w:t>
      </w:r>
    </w:p>
    <w:p>
      <w:pPr>
        <w:spacing w:before="120" w:after="120"/>
      </w:pPr>
      <w:r>
        <w:rPr>
          <w:sz w:val="18"/>
        </w:rPr>
        <w:t>——————————————————————————————————————————————————————————————————————</w:t>
      </w:r>
    </w:p>
    <w:p>
      <w:pPr>
        <w:spacing w:before="160" w:after="40" w:line="240" w:lineRule="auto"/>
      </w:pPr>
      <w:r>
        <w:rPr>
          <w:b/>
        </w:rPr>
        <w:t xml:space="preserve">[220] </w:t>
      </w:r>
      <w:hyperlink r:id="rId833">
        <w:r>
          <w:rPr>
            <w:color w:val="1155CC"/>
            <w:u w:val="single"/>
          </w:rPr>
          <w:t>层状反铁磁体中应变和磁场操纵的非易失性向列序</w:t>
        </w:r>
      </w:hyperlink>
    </w:p>
    <w:p>
      <w:pPr>
        <w:spacing w:before="0" w:after="80"/>
      </w:pPr>
      <w:r>
        <w:rPr>
          <w:i/>
          <w:sz w:val="20"/>
        </w:rPr>
        <w:t>EN: Nonvolatile nematic order manipulated by strain and magnetic field in a layered antiferromagnet</w:t>
      </w:r>
    </w:p>
    <w:p>
      <w:pPr>
        <w:spacing w:before="0" w:after="120"/>
      </w:pPr>
      <w:r>
        <w:rPr>
          <w:b/>
        </w:rPr>
        <w:t xml:space="preserve">Source: </w:t>
      </w:r>
      <w:r>
        <w:t>Physical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电子向列性是指电子特性自发破坏主晶格的旋转对称性，导致电子特性各向异性的状态。在这项工作中，我们证明了层状反铁磁体 CoTa3S6 表现出可切换的向列序，电阻率各向异性和光学双折射的出现证明了这一点。这种向列态的起始温度 T* 与系统中反铁磁转变的温度不同，表明存在单独的对称破缺机制。向列序可以通过面内旋转对称破缺应变或面内磁场来操纵，后者表现出明显的非易失性记忆效应。值得注意的是，我们发现电子传输中破坏的三重旋转对称性可以通过适度的面外场恢复。我们假设向列性是电子起源的，并且是由与范霍夫奇点相关的不稳定性产生的。由此产生的相图表明电子向列性与所提出的潜在共线和非共面自旋顺序之间相互交织的相互作用。我们的研究结果表明，CoTa3S6 是一种多功能反铁磁平台，具有因旋转、时间反转和反演对称性破缺而产生的高度可调功能。</w:t>
      </w:r>
    </w:p>
    <w:p>
      <w:pPr>
        <w:spacing w:before="0" w:after="200" w:lineRule="auto" w:line="276"/>
      </w:pPr>
      <w:r>
        <w:rPr>
          <w:b/>
        </w:rPr>
        <w:t xml:space="preserve">Abstract (EN): </w:t>
      </w:r>
      <w:r>
        <w:t>Electronic nematicity refers to a state whose electronic properties spontaneously break rotation symmetries of the host crystalline lattice, leading to anisotropic electronic properties. In this work, we demonstrate that the layered antiferromagnet CoTa3S6 exhibits a switchable nematic order, evidenced by the emergence of both resistivity anisotropy and optical birefringence. This nematic state sets in at a temperature T* distinct from that of the antiferromagnetic transitions in the system, indicating a separate symmetry-breaking mechanism. The nematic order can be manipulated either by an in-plane rotation symmetry-breaking strain or in-plane magnetic field, with the latter exhibiting a pronounced non-volatile memory effect. Remarkably, we find that the broken three-fold rotation symmetry in electronic transport is restored with a moderate out-of-plane field. We hypothesize that the nematicity is of electronic origin and emerges from instabilities associated with van Hove singularities. The resulting phase diagram points to an intertwined interplay between the electronic nematicity and the proposed underlying collinear and non-coplanar spin orders. Our findings establish CoTa3S6 as a versatile antiferromagnetic platform with highly tunable functionalities arising from the breaking of rotational, time-reversal, and inversion symmetries.</w:t>
      </w:r>
    </w:p>
    <w:p>
      <w:pPr>
        <w:spacing w:before="120" w:after="120"/>
      </w:pPr>
      <w:r>
        <w:rPr>
          <w:sz w:val="18"/>
        </w:rPr>
        <w:t>——————————————————————————————————————————————————————————————————————</w:t>
      </w:r>
    </w:p>
    <w:p>
      <w:pPr>
        <w:spacing w:before="160" w:after="40" w:line="240" w:lineRule="auto"/>
      </w:pPr>
      <w:r>
        <w:rPr>
          <w:b/>
        </w:rPr>
        <w:t xml:space="preserve">[221] </w:t>
      </w:r>
      <w:hyperlink r:id="rId834">
        <w:r>
          <w:rPr>
            <w:color w:val="1155CC"/>
            <w:u w:val="single"/>
          </w:rPr>
          <w:t>不对称金属/分子/金属接触处电子传输的决定因素</w:t>
        </w:r>
      </w:hyperlink>
    </w:p>
    <w:p>
      <w:pPr>
        <w:spacing w:before="0" w:after="80"/>
      </w:pPr>
      <w:r>
        <w:rPr>
          <w:i/>
          <w:sz w:val="20"/>
        </w:rPr>
        <w:t>EN: Determinants of electron transport at asymmetric metal/molecule/metal contacts</w:t>
      </w:r>
    </w:p>
    <w:p>
      <w:pPr>
        <w:spacing w:before="0" w:after="120"/>
      </w:pPr>
      <w:r>
        <w:rPr>
          <w:b/>
        </w:rPr>
        <w:t xml:space="preserve">Source: </w:t>
      </w:r>
      <w:r>
        <w:t>Physical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单分子电子器件提供了超越后摩尔尺度限制的最终途径。然而，分子二极管的开发仍然因反复试验而陷入瘫痪，因为经典的传输模型在涉及强共价相互作用和弱非共价相互作用的复杂混合界面上失败。在这里，我们建立了一个统一的理论模型，能够精确定量预测高度不对称金属/分子/金属接触上的电子传输。通过筛选 144 个不同的分子连接（包括经典的供体-受体结构），我们揭示了驱动电荷整流的微观机制：不对称锚定基团诱导明显的电子极化，而动态吸附状态变化决定空间耦合。这种相互作用从根本上是由界面键偶极子和有效隧道宽度之间的深层协同作用决定的。我们推导出桥接量子隧道和热激发的复合描述符，在单稳态和双稳态范围内实现 &gt;93% 的预测精度。以此为指导，我们确定了最佳配置，在 0.12 V 下产生 19.25 的固有整流比，大大优于传统的 D–π–A 系统。</w:t>
      </w:r>
    </w:p>
    <w:p>
      <w:pPr>
        <w:spacing w:before="0" w:after="200" w:lineRule="auto" w:line="276"/>
      </w:pPr>
      <w:r>
        <w:rPr>
          <w:b/>
        </w:rPr>
        <w:t xml:space="preserve">Abstract (EN): </w:t>
      </w:r>
      <w:r>
        <w:t>Single–molecule electronic devices offer the ultimate pathway to transcend post–Moore scaling limits. However, developing molecular diodes remains paralyzed by trial–and–error, as classical transport models fail at complex hybrid interfaces involving both strong covalent and weak non–covalent interactions. Here, we establish a unified theoretical model enabling precise quantitative prediction of electron transport across highly asymmetric metal/molecule/metal contacts. By screening 144 diverse molecular junctions—including classic donor–acceptor architectures—we uncover the microscopic mechanisms driving charge rectification: asymmetric anchoring groups induce pronounced electronic polarization, while dynamic adsorption–state changes dictate spatial coupling. This interplay is fundamentally governed by a deep synergy between interfacial bond dipoles and effective tunneling widths. We derive a composite descriptor bridging quantum tunneling and thermal excitation, achieving &gt;93% predictive accuracies across monostable and bistable regimes. Guided by this, we identify optimal configurations yielding an intrinsic rectification ratio of 19.25 at 0.12 V, drastically outperforming conventional D–π–A systems.</w:t>
      </w:r>
    </w:p>
    <w:p>
      <w:pPr>
        <w:spacing w:before="120" w:after="120"/>
      </w:pPr>
      <w:r>
        <w:rPr>
          <w:sz w:val="18"/>
        </w:rPr>
        <w:t>——————————————————————————————————————————————————————————————————————</w:t>
      </w:r>
    </w:p>
    <w:p>
      <w:pPr>
        <w:spacing w:before="160" w:after="40" w:line="240" w:lineRule="auto"/>
      </w:pPr>
      <w:r>
        <w:rPr>
          <w:b/>
        </w:rPr>
        <w:t xml:space="preserve">[222] </w:t>
      </w:r>
      <w:hyperlink r:id="rId835">
        <w:r>
          <w:rPr>
            <w:color w:val="1155CC"/>
            <w:u w:val="single"/>
          </w:rPr>
          <w:t>研究人员正在建造在大脑类器官上运行的计算机，但忽视了一个重大的伦理问题</w:t>
        </w:r>
      </w:hyperlink>
    </w:p>
    <w:p>
      <w:pPr>
        <w:spacing w:before="0" w:after="80"/>
      </w:pPr>
      <w:r>
        <w:rPr>
          <w:i/>
          <w:sz w:val="20"/>
        </w:rPr>
        <w:t>EN: Researchers are building computers that run on brain organoids — but have neglected a major ethical issue</w:t>
      </w:r>
    </w:p>
    <w:p>
      <w:pPr>
        <w:spacing w:before="0" w:after="120"/>
      </w:pPr>
      <w:r>
        <w:rPr>
          <w:b/>
        </w:rPr>
        <w:t xml:space="preserve">Source: </w:t>
      </w:r>
      <w:r>
        <w:t>Nature</w:t>
      </w:r>
      <w:r>
        <w:t xml:space="preserve">    </w:t>
      </w:r>
      <w:r>
        <w:rPr>
          <w:b/>
        </w:rPr>
        <w:t xml:space="preserve">Pub date: </w:t>
      </w:r>
      <w:r>
        <w:t>2026-07-27 00:00:00+00:00</w:t>
      </w:r>
      <w:r>
        <w:t xml:space="preserve">    </w:t>
      </w:r>
      <w:r>
        <w:rPr>
          <w:b/>
        </w:rPr>
        <w:t xml:space="preserve">DOI: </w:t>
      </w:r>
      <w:hyperlink r:id="rId836">
        <w:r>
          <w:rPr>
            <w:color w:val="1155CC"/>
            <w:u w:val="single"/>
          </w:rPr>
          <w:t>10.1038/d41586-026-02316-8</w:t>
        </w:r>
      </w:hyperlink>
    </w:p>
    <w:p>
      <w:pPr>
        <w:spacing w:before="0" w:after="120"/>
      </w:pPr>
      <w:r>
        <w:rPr>
          <w:b/>
        </w:rPr>
        <w:t xml:space="preserve">Notes: </w:t>
      </w:r>
      <w:r>
        <w:t>abstract_source=rss_nature</w:t>
      </w:r>
    </w:p>
    <w:p>
      <w:pPr>
        <w:spacing w:before="0" w:after="80" w:lineRule="auto" w:line="276"/>
      </w:pPr>
      <w:r>
        <w:rPr>
          <w:b/>
        </w:rPr>
        <w:t xml:space="preserve">摘要（ZH）: </w:t>
      </w:r>
      <w:r>
        <w:t>为生物医学研究提供组织样本的人们可能不知道他们的细胞正被用于生物计算机。</w:t>
      </w:r>
    </w:p>
    <w:p>
      <w:pPr>
        <w:spacing w:before="0" w:after="200" w:lineRule="auto" w:line="276"/>
      </w:pPr>
      <w:r>
        <w:rPr>
          <w:b/>
        </w:rPr>
        <w:t xml:space="preserve">Abstract (EN): </w:t>
      </w:r>
      <w:r>
        <w:t>People who give tissue samples for biomedical research might have no idea that their cells are being used for biocomputers.</w:t>
      </w:r>
    </w:p>
    <w:p>
      <w:pPr>
        <w:spacing w:before="120" w:after="120"/>
      </w:pPr>
      <w:r>
        <w:rPr>
          <w:sz w:val="18"/>
        </w:rPr>
        <w:t>——————————————————————————————————————————————————————————————————————</w:t>
      </w:r>
    </w:p>
    <w:p>
      <w:pPr>
        <w:spacing w:before="160" w:after="40" w:line="240" w:lineRule="auto"/>
      </w:pPr>
      <w:r>
        <w:rPr>
          <w:b/>
        </w:rPr>
        <w:t xml:space="preserve">[223] </w:t>
      </w:r>
      <w:hyperlink r:id="rId837">
        <w:r>
          <w:rPr>
            <w:color w:val="1155CC"/>
            <w:u w:val="single"/>
          </w:rPr>
          <w:t>大脑中的“计时器”追踪睡眠并预测觉醒</w:t>
        </w:r>
      </w:hyperlink>
    </w:p>
    <w:p>
      <w:pPr>
        <w:spacing w:before="0" w:after="80"/>
      </w:pPr>
      <w:r>
        <w:rPr>
          <w:i/>
          <w:sz w:val="20"/>
        </w:rPr>
        <w:t>EN: ‘Timer’ in the brain tracks sleep — and predicts awakening</w:t>
      </w:r>
    </w:p>
    <w:p>
      <w:pPr>
        <w:spacing w:before="0" w:after="120"/>
      </w:pPr>
      <w:r>
        <w:rPr>
          <w:b/>
        </w:rPr>
        <w:t xml:space="preserve">Source: </w:t>
      </w:r>
      <w:r>
        <w:t>Nature</w:t>
      </w:r>
      <w:r>
        <w:t xml:space="preserve">    </w:t>
      </w:r>
      <w:r>
        <w:rPr>
          <w:b/>
        </w:rPr>
        <w:t xml:space="preserve">Pub date: </w:t>
      </w:r>
      <w:r>
        <w:t>2026-07-27 00:00:00+00:00</w:t>
      </w:r>
      <w:r>
        <w:t xml:space="preserve">    </w:t>
      </w:r>
      <w:r>
        <w:rPr>
          <w:b/>
        </w:rPr>
        <w:t xml:space="preserve">DOI: </w:t>
      </w:r>
      <w:hyperlink r:id="rId838">
        <w:r>
          <w:rPr>
            <w:color w:val="1155CC"/>
            <w:u w:val="single"/>
          </w:rPr>
          <w:t>10.1038/d41586-026-02294-x</w:t>
        </w:r>
      </w:hyperlink>
    </w:p>
    <w:p>
      <w:pPr>
        <w:spacing w:before="0" w:after="120"/>
      </w:pPr>
      <w:r>
        <w:rPr>
          <w:b/>
        </w:rPr>
        <w:t xml:space="preserve">Notes: </w:t>
      </w:r>
      <w:r>
        <w:t>abstract_source=rss_nature</w:t>
      </w:r>
    </w:p>
    <w:p>
      <w:pPr>
        <w:spacing w:before="0" w:after="80" w:lineRule="auto" w:line="276"/>
      </w:pPr>
      <w:r>
        <w:rPr>
          <w:b/>
        </w:rPr>
        <w:t xml:space="preserve">摘要（ZH）: </w:t>
      </w:r>
      <w:r>
        <w:t>小鼠研究表明，蛋白质上的化学标签可以提供睡眠剥夺的生物标志物。</w:t>
      </w:r>
    </w:p>
    <w:p>
      <w:pPr>
        <w:spacing w:before="0" w:after="200" w:lineRule="auto" w:line="276"/>
      </w:pPr>
      <w:r>
        <w:rPr>
          <w:b/>
        </w:rPr>
        <w:t xml:space="preserve">Abstract (EN): </w:t>
      </w:r>
      <w:r>
        <w:t>Chemical tags on proteins could provide a biomarker for sleep deprivation, mouse studies suggest.</w:t>
      </w:r>
    </w:p>
    <w:p>
      <w:pPr>
        <w:spacing w:before="120" w:after="120"/>
      </w:pPr>
      <w:r>
        <w:rPr>
          <w:sz w:val="18"/>
        </w:rPr>
        <w:t>——————————————————————————————————————————————————————————————————————</w:t>
      </w:r>
    </w:p>
    <w:p>
      <w:pPr>
        <w:spacing w:before="160" w:after="40" w:line="240" w:lineRule="auto"/>
      </w:pPr>
      <w:r>
        <w:rPr>
          <w:b/>
        </w:rPr>
        <w:t xml:space="preserve">[224] </w:t>
      </w:r>
      <w:hyperlink r:id="rId839">
        <w:r>
          <w:rPr>
            <w:color w:val="1155CC"/>
            <w:u w:val="single"/>
          </w:rPr>
          <w:t>上转换纳米颗粒中的自发和无限期眨眼可实现埃级精度的多色超分辨率成像</w:t>
        </w:r>
      </w:hyperlink>
    </w:p>
    <w:p>
      <w:pPr>
        <w:spacing w:before="0" w:after="80"/>
      </w:pPr>
      <w:r>
        <w:rPr>
          <w:i/>
          <w:sz w:val="20"/>
        </w:rPr>
        <w:t>EN: Spontaneous and indefinite blinking in upconverting nanoparticles for ångström-precision multicolour super-resolution imaging</w:t>
      </w:r>
    </w:p>
    <w:p>
      <w:pPr>
        <w:spacing w:before="0" w:after="120"/>
      </w:pPr>
      <w:r>
        <w:rPr>
          <w:b/>
        </w:rPr>
        <w:t xml:space="preserve">Source: </w:t>
      </w:r>
      <w:r>
        <w:t>Nature Nanotechnology</w:t>
      </w:r>
      <w:r>
        <w:t xml:space="preserve">    </w:t>
      </w:r>
      <w:r>
        <w:rPr>
          <w:b/>
        </w:rPr>
        <w:t xml:space="preserve">Pub date: </w:t>
      </w:r>
      <w:r>
        <w:t>2026-07-27 00:00:00+00:00</w:t>
      </w:r>
      <w:r>
        <w:t xml:space="preserve">    </w:t>
      </w:r>
      <w:r>
        <w:rPr>
          <w:b/>
        </w:rPr>
        <w:t xml:space="preserve">DOI: </w:t>
      </w:r>
      <w:hyperlink r:id="rId840">
        <w:r>
          <w:rPr>
            <w:color w:val="1155CC"/>
            <w:u w:val="single"/>
          </w:rPr>
          <w:t>10.1038/s41565-026-02233-x</w:t>
        </w:r>
      </w:hyperlink>
    </w:p>
    <w:p>
      <w:pPr>
        <w:spacing w:before="0" w:after="120"/>
      </w:pPr>
      <w:r>
        <w:rPr>
          <w:b/>
        </w:rPr>
        <w:t xml:space="preserve">Notes: </w:t>
      </w:r>
      <w:r>
        <w:t>abstract_source=pubmed</w:t>
      </w:r>
    </w:p>
    <w:p>
      <w:pPr>
        <w:spacing w:before="0" w:after="80" w:lineRule="auto" w:line="276"/>
      </w:pPr>
      <w:r>
        <w:rPr>
          <w:b/>
        </w:rPr>
        <w:t xml:space="preserve">摘要（ZH）: </w:t>
      </w:r>
      <w:r>
        <w:t>单分子定位显微镜可实现高分辨率生物成像，但其精度受到传统荧光团快速光漂白的限制。多色成像进一步受到需要光谱不同的染料的限制，这些染料需要单独的激发或顺序采集。在这里，我们展示了小型（~10 nm）上转换纳米颗粒可以在成分上进行调整，以在单次近红外激发下表现出自发的、持续的闪烁，而无需光学或化学调制。通过调整敏化剂 (Yb3+)-发射极 (Tm3+/Er3+) 比率，我们确定了一种具有内在开关切换和低占空比 (~0.9%) 且无光漂白或统计老化的机制，从而在支持上转换的随机光学重建显微镜中实现重复定位和亚埃级精度（超过 88,000 个定位为 0.62 Å）。通过阐明这种闪烁的潜在物理机制，我们设计了用于多色上转换随机光学重建显微镜的蓝色和红色发射探针。该技术能够以单蛋白分辨率实现紧密堆积的 UCNP 的分辨率以及细胞膜上表皮生长因子受体二聚体和多聚体的可视化，所有这些都通过简单的光学设置实现，无需成像缓冲液。</w:t>
      </w:r>
    </w:p>
    <w:p>
      <w:pPr>
        <w:spacing w:before="0" w:after="200" w:lineRule="auto" w:line="276"/>
      </w:pPr>
      <w:r>
        <w:rPr>
          <w:b/>
        </w:rPr>
        <w:t xml:space="preserve">Abstract (EN): </w:t>
      </w:r>
      <w:r>
        <w:t>Single-molecule localization microscopy enables high-resolution biological imaging, but its precision is limited by the rapid photobleaching of conventional fluorophores. Multicolour imaging is further constrained by the need for spectrally distinct dyes requiring separate excitations or sequential acquisition. Here we show that small (~10 nm) upconverting nanoparticles can be compositionally tuned to exhibit spontaneous, sustained blinking under single near-infrared excitation without optical or chemical modulation. By adjusting sensitizer (Yb3+)-emitter (Tm3+/Er3+) ratios, we identify a regime with intrinsic ON-OFF switching and low duty cycles (~0.9%) without photobleaching or statistical aging, enabling repeated localizations and sub-ångström precision (0.62 Å over 88,000 localizations) in upconversion-enabled stochastic optical reconstruction microscopy. By elucidating the underlying physical mechanism of this blinking, we engineered blue- and red-emitting probes for multicolour upconversion-enabled stochastic optical reconstruction microscopy. This technique enables the resolution of tightly packed UCNPs and the visualization of epidermal growth factor receptor dimers and multimers on cell membranes at single-protein resolution, all achieved with a simple optical setup without imaging buffers.</w:t>
      </w:r>
    </w:p>
    <w:p>
      <w:pPr>
        <w:spacing w:before="120" w:after="120"/>
      </w:pPr>
      <w:r>
        <w:rPr>
          <w:sz w:val="18"/>
        </w:rPr>
        <w:t>——————————————————————————————————————————————————————————————————————</w:t>
      </w:r>
    </w:p>
    <w:p>
      <w:pPr>
        <w:spacing w:before="160" w:after="40" w:line="240" w:lineRule="auto"/>
      </w:pPr>
      <w:r>
        <w:rPr>
          <w:b/>
        </w:rPr>
        <w:t xml:space="preserve">[225] </w:t>
      </w:r>
      <w:hyperlink r:id="rId841">
        <w:r>
          <w:rPr>
            <w:color w:val="1155CC"/>
            <w:u w:val="single"/>
          </w:rPr>
          <w:t>通过[1,4]重氮辛嵌入三维凹纳米石墨烯的多位点非共价连接自适应制造多孔晶体</w:t>
        </w:r>
      </w:hyperlink>
    </w:p>
    <w:p>
      <w:pPr>
        <w:spacing w:before="0" w:after="80"/>
      </w:pPr>
      <w:r>
        <w:rPr>
          <w:i/>
          <w:sz w:val="20"/>
        </w:rPr>
        <w:t>EN: Adaptive Fabrication of Porous Crystals through Multiple-Site Noncovalent Conjunction of [1,4]Diazocine-Embedded Three-Dimensionally Concave Nanographenes</w:t>
      </w:r>
    </w:p>
    <w:p>
      <w:pPr>
        <w:spacing w:before="0" w:after="120"/>
      </w:pPr>
      <w:r>
        <w:rPr>
          <w:b/>
        </w:rPr>
        <w:t xml:space="preserve">Source: </w:t>
      </w:r>
      <w:r>
        <w:t>Journal of the American Chemical Society: Latest Articles (ACS Publications)</w:t>
      </w:r>
      <w:r>
        <w:t xml:space="preserve">    </w:t>
      </w:r>
      <w:r>
        <w:rPr>
          <w:b/>
        </w:rPr>
        <w:t xml:space="preserve">Pub date: </w:t>
      </w:r>
      <w:r>
        <w:t>2026-07-27 00:00:00+00:00</w:t>
      </w:r>
      <w:r>
        <w:t xml:space="preserve">    </w:t>
      </w:r>
      <w:r>
        <w:rPr>
          <w:b/>
        </w:rPr>
        <w:t xml:space="preserve">DOI: </w:t>
      </w:r>
      <w:hyperlink r:id="rId842">
        <w:r>
          <w:rPr>
            <w:color w:val="1155CC"/>
            <w:u w:val="single"/>
          </w:rPr>
          <w:t>10.1021/jacs.6c06132</w:t>
        </w:r>
      </w:hyperlink>
    </w:p>
    <w:p>
      <w:pPr>
        <w:spacing w:before="0" w:after="120"/>
      </w:pPr>
      <w:r>
        <w:rPr>
          <w:b/>
        </w:rPr>
        <w:t xml:space="preserve">Notes: </w:t>
      </w:r>
      <w:r>
        <w:t>abstract_source=pubmed</w:t>
      </w:r>
    </w:p>
    <w:p>
      <w:pPr>
        <w:spacing w:before="0" w:after="80" w:lineRule="auto" w:line="276"/>
      </w:pPr>
      <w:r>
        <w:rPr>
          <w:b/>
        </w:rPr>
        <w:t xml:space="preserve">摘要（ZH）: </w:t>
      </w:r>
      <w:r>
        <w:t>具有优异加工性能的非共价多孔晶体由于其广泛的新兴应用而最近受到了广泛的关注。但此类材料的施工仍然是极其偶然的，缺乏精细的控制。在此，我们开发了一种独特的策略，使用具有可调节大体积结构的三维纳米石墨烯来自适应地制造一系列非共价多孔晶体。通过带有不同取代基的四咔唑前体的 Scholl 环化获得具有单侧或双边弯曲的 [1,4]重氮辛结构域的立体特异性纳米石墨烯。利用刚性八边形和柔性咔唑基团不同地构造的多个固有凹面，这些纳米石墨烯很容易自组装成具有直一维、锯齿形一维或互连二维通道的非共价多孔晶体。有趣的是，与其他芳香族衍生物（例如芘）的共组装进一步促进了由无孔隙结构单元构建多孔共晶。此外，在与富勒烯共组装时，长程电荷转移相互作用赋予所得的多孔共晶以导电性能。</w:t>
      </w:r>
    </w:p>
    <w:p>
      <w:pPr>
        <w:spacing w:before="0" w:after="200" w:lineRule="auto" w:line="276"/>
      </w:pPr>
      <w:r>
        <w:rPr>
          <w:b/>
        </w:rPr>
        <w:t xml:space="preserve">Abstract (EN): </w:t>
      </w:r>
      <w:r>
        <w:t>Noncovalent porous crystals with superior processability have recently received intense attention due to their vast emerging applications. However, the construction of such materials is still extremely incidental and lacks a fine control. Herein, we develop a unique strategy using three-dimensional nanographenes with tunable bulky configurations to adaptively fabricate a series of noncovalent porous crystals. Stereospecific nanographenes with either unilateral or bilateral curved [1,4]diazocine domains are obtained by Scholl cyclization of tetracarbazole precursors bearing diverse substituents. Leveraging the multiple intrinsic concavities variably constructed by the rigid octagons and flexible carbazole groups, these nanographenes readily self-assemble into noncovalent porous crystals featuring straight one-dimensional, zigzag one-dimensional, or interconnected two-dimensional channels. Interestingly, coassembly with other aromatic derivatives such as pyrene further facilitates the construction of porous cocrystals from porosity-absent building blocks. Moreover, upon coassembly with fullerenes, the long-range charge-transfer interactions endow the resulting porous cocrystals with conducting properties.</w:t>
      </w:r>
    </w:p>
    <w:p>
      <w:pPr>
        <w:spacing w:before="120" w:after="120"/>
      </w:pPr>
      <w:r>
        <w:rPr>
          <w:sz w:val="18"/>
        </w:rPr>
        <w:t>——————————————————————————————————————————————————————————————————————</w:t>
      </w:r>
    </w:p>
    <w:p>
      <w:pPr>
        <w:spacing w:before="160" w:after="40" w:line="240" w:lineRule="auto"/>
      </w:pPr>
      <w:r>
        <w:rPr>
          <w:b/>
        </w:rPr>
        <w:t xml:space="preserve">[226] </w:t>
      </w:r>
      <w:hyperlink r:id="rId843">
        <w:r>
          <w:rPr>
            <w:color w:val="1155CC"/>
            <w:u w:val="single"/>
          </w:rPr>
          <w:t>对患有多种微生物肺部感染的 ICU 患者进行个性化噬菌体治疗：来自单臂试验的一个病例</w:t>
        </w:r>
      </w:hyperlink>
    </w:p>
    <w:p>
      <w:pPr>
        <w:spacing w:before="0" w:after="80"/>
      </w:pPr>
      <w:r>
        <w:rPr>
          <w:i/>
          <w:sz w:val="20"/>
        </w:rPr>
        <w:t>EN: Personalized Phage Therapy in an ICU Patient with Polymicrobial Pulmonary Infections: a case from a single-arm trial</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由多重耐药 (MDR) 病原体引起的呼吸机相关感染 (VAI) 给重症监护病房 (ICU) 带来了重大挑战。噬菌体疗法已成为 VAI 的一种有前景的替代方案，尽管其疗效取决于多种因素。我们报告了一名 40 岁男性 ICU 患者，其肺部连续感染多重耐药鲍曼不动杆菌、肺炎克雷伯菌和嗜麦芽寡养单胞菌。七轮针对单一或双重病原体的定制噬菌体疗法与抗生素一起进行。鲍曼不动杆菌被完全根除，但肺炎克雷伯菌和嗜麦芽糖链球菌由于菌株更换和噬菌体抗性而表现出周期性清除和复发。噬菌体疗法与细菌负荷、发烧、降钙素原和 IL-6 水平的降低以及肺部炎症的改善相关，而白细胞计数和 C 反应蛋白的反应有限。没有发生严重不良事件。主要病原体的动态变化与临床进展一致，噬菌体疗法提供短暂的控制，延长干预窗口并减少高水平抗生素的使用。六个月后，患者脱离通气并出院。该案例强调了 VAI 管理的复杂性，并强调了个性化噬菌体疗法在减轻 MDR 感染和尽量减少抗生素依赖方面的潜力。该病例参加了单臂试验（ChiCTR2000036801）。</w:t>
      </w:r>
    </w:p>
    <w:p>
      <w:pPr>
        <w:spacing w:before="0" w:after="200" w:lineRule="auto" w:line="276"/>
      </w:pPr>
      <w:r>
        <w:rPr>
          <w:b/>
        </w:rPr>
        <w:t xml:space="preserve">Abstract (EN): </w:t>
      </w:r>
      <w:r>
        <w:t>Ventilator-associated infections (VAIs) caused by multidrug-resistant (MDR) pathogens poses a significant challenge in intensive care units (ICUs). Phage therapy has emerged as a promising alternative for VAIs, though its efficacy depends on multiple factors. We report a 40-year-old male ICU patient with sequential pulmonary infections of MDR Acinetobacter baumannii, Klebsiella pneumoniae, and Stenotrophomonas maltophilia. Seven rounds of tailored phage therapy—targeting single or dual pathogens—were administered adjunctive to antibiotics. A. baumannii was complete eradication, but K. pneumoniae and S. maltophilia showed cyclical clearance and recurrence due to strain replacement and phage resistance. Phage therapy correlated with reduced bacterial load, fever, procalcitonin, and IL-6 levels, alongside improved pulmonary inflammation, while white blood cell counts and C-reactive protein showed limited response. No severe adverse events occurred. Dynamic shifts in dominant pathogens aligned with clinical progression, with phage therapy providing transient control, extending the window for intervention and reducing high-level antibiotic use. After six months, the patient was weaned from ventilation and discharged. This case underscores the complexity of VAI management and highlights the potential of personalized phage therapy to mitigate MDR infections and minimize antibiotic reliance. This case was enrolled in a single arm trial (ChiCTR2000036801).</w:t>
      </w:r>
    </w:p>
    <w:p>
      <w:pPr>
        <w:spacing w:before="120" w:after="120"/>
      </w:pPr>
      <w:r>
        <w:rPr>
          <w:sz w:val="18"/>
        </w:rPr>
        <w:t>——————————————————————————————————————————————————————————————————————</w:t>
      </w:r>
    </w:p>
    <w:p>
      <w:pPr>
        <w:spacing w:before="160" w:after="40" w:line="240" w:lineRule="auto"/>
      </w:pPr>
      <w:r>
        <w:rPr>
          <w:b/>
        </w:rPr>
        <w:t xml:space="preserve">[227] </w:t>
      </w:r>
      <w:hyperlink r:id="rId844">
        <w:r>
          <w:rPr>
            <w:color w:val="1155CC"/>
            <w:u w:val="single"/>
          </w:rPr>
          <w:t>与食品相关的能源消耗有助于揭示中国农村家庭的贫困状况</w:t>
        </w:r>
      </w:hyperlink>
    </w:p>
    <w:p>
      <w:pPr>
        <w:spacing w:before="0" w:after="80"/>
      </w:pPr>
      <w:r>
        <w:rPr>
          <w:i/>
          <w:sz w:val="20"/>
        </w:rPr>
        <w:t>EN: Food-related energy consumption can help reveal poverty in rural Chinese households</w:t>
      </w:r>
    </w:p>
    <w:p>
      <w:pPr>
        <w:spacing w:before="0" w:after="120"/>
      </w:pPr>
      <w:r>
        <w:rPr>
          <w:b/>
        </w:rPr>
        <w:t xml:space="preserve">Source: </w:t>
      </w:r>
      <w:r>
        <w:t>Scientific community and society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烹饪能源消耗对于满足基本需求非常重要，是对传统贫困衡量的补充。在这里，我们提出了一个基于能源消耗的指标（能源恩格尔系数），衡量用于食品准备活动的家庭能源相对于总能源的比例。通过对中国全国范围的家庭调查，我们发现该指标表现出与地区和家庭特征一致的模式。此外，它比传统的恩格尔系数更准确地反映了恩格尔定律，传统的恩格尔系数认为收入较低的家庭将较大比例的收入用于基本需求。与主观经验和资产所有权等非货币指标相比，我们提出的衡量标准也显示出比传统系数更强的性能。我们的分析表明，能源恩格尔系数识别出了13.9%的贫困家庭，其中85.8%的家庭没有被传统系数识别。这些家庭主要是低收入、小规模的农村家庭。因此，该指标与贫困识别相辅相成，有助于改善福利分配。</w:t>
      </w:r>
    </w:p>
    <w:p>
      <w:pPr>
        <w:spacing w:before="0" w:after="200" w:lineRule="auto" w:line="276"/>
      </w:pPr>
      <w:r>
        <w:rPr>
          <w:b/>
        </w:rPr>
        <w:t xml:space="preserve">Abstract (EN): </w:t>
      </w:r>
      <w:r>
        <w:t>Energy consumption for cooking is important for satisfying basic needs, complementing traditional poverty measurements. Here, we propose an energy consumption-based indicator (Energy Engel Coefficient) that measures the proportion of household energy dedicated to food preparation activities relative to the total. Using a nation-wide household survey in China, we find that this indicator exhibits consistent patterns with regional and household characteristics. In addition, it more accurately reflects Engel’s Law than traditional Engel Coefficient, which holds that households with lower incomes spend a larger proportion of their income on basic needs. Our proposed measure also shows stronger performance than traditional coefficient in comparing with non-monetary metrics like subjective experience and asset ownership. Our analysis reveals that the Energy Engel Coefficient identifies 13.9% of households experiencing poverty, with 85.8% of these households not identified by the traditional coefficient. These households are predominantly low-income, small-sized rural ones. Therefore, this indicator complements poverty identification and contributes to improving the distribution of welfare.</w:t>
      </w:r>
    </w:p>
    <w:p>
      <w:pPr>
        <w:spacing w:before="120" w:after="120"/>
      </w:pPr>
      <w:r>
        <w:rPr>
          <w:sz w:val="18"/>
        </w:rPr>
        <w:t>——————————————————————————————————————————————————————————————————————</w:t>
      </w:r>
    </w:p>
    <w:p>
      <w:pPr>
        <w:spacing w:before="160" w:after="40" w:line="240" w:lineRule="auto"/>
      </w:pPr>
      <w:r>
        <w:rPr>
          <w:b/>
        </w:rPr>
        <w:t xml:space="preserve">[228] </w:t>
      </w:r>
      <w:hyperlink r:id="rId845">
        <w:r>
          <w:rPr>
            <w:color w:val="1155CC"/>
            <w:u w:val="single"/>
          </w:rPr>
          <w:t>北方连续多年冻土区冠层介导的气候反馈</w:t>
        </w:r>
      </w:hyperlink>
    </w:p>
    <w:p>
      <w:pPr>
        <w:spacing w:before="0" w:after="80"/>
      </w:pPr>
      <w:r>
        <w:rPr>
          <w:i/>
          <w:sz w:val="20"/>
        </w:rPr>
        <w:t>EN: Canopy-mediated climate feedbacks in the boreal continuous permafrost zone</w:t>
      </w:r>
    </w:p>
    <w:p>
      <w:pPr>
        <w:spacing w:before="0" w:after="120"/>
      </w:pPr>
      <w:r>
        <w:rPr>
          <w:b/>
        </w:rPr>
        <w:t xml:space="preserve">Source: </w:t>
      </w:r>
      <w:r>
        <w:t>Nature Climate Change</w:t>
      </w:r>
      <w:r>
        <w:t xml:space="preserve">    </w:t>
      </w:r>
      <w:r>
        <w:rPr>
          <w:b/>
        </w:rPr>
        <w:t xml:space="preserve">Pub date: </w:t>
      </w:r>
      <w:r>
        <w:t>2026-07-27 00:00:00+00:00</w:t>
      </w:r>
      <w:r>
        <w:t xml:space="preserve">    </w:t>
      </w:r>
      <w:r>
        <w:rPr>
          <w:b/>
        </w:rPr>
        <w:t xml:space="preserve">DOI: </w:t>
      </w:r>
      <w:hyperlink r:id="rId846">
        <w:r>
          <w:rPr>
            <w:color w:val="1155CC"/>
            <w:u w:val="single"/>
          </w:rPr>
          <w:t>10.1038/s41558-026-02692-z</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北方森林覆盖了大约四分之一的连续永久冻土带，储存的地上碳相对较少，但可以热保护大量的土壤有机碳（SOC）库。在这里，使用基于过程的模型来比较森林和裸地情景下的季节性融化深度，我们量化了落叶针叶、常绿针叶和落叶阔叶冠层在永久冻土热动力学上的不同冠层隔热能力。冠层缓冲在冻结状态下维持约 59 Pg 的碳，相当于森林永久冻土碳库总量的 32%，远远超过北方生物量储量 (7–19 Pg)。冠层变化可以通过逐渐解冻（40 Pg）和快速热喀斯特塌陷（19 Pg）来调动这种冻结的SOC。虽然森林损失牺牲了生物量碳储量，但由此产生的解冻将使先前冻结的水库中更多数量级的有机碳暴露出来，从而揭示出严重的不对称性。连续多年冻土区的森林保护策略必须考虑到冠层介导的冰冻有机碳的热保护，这远远超出了其生物质固碳能力。</w:t>
      </w:r>
    </w:p>
    <w:p>
      <w:pPr>
        <w:spacing w:before="0" w:after="200" w:lineRule="auto" w:line="276"/>
      </w:pPr>
      <w:r>
        <w:rPr>
          <w:b/>
        </w:rPr>
        <w:t xml:space="preserve">Abstract (EN): </w:t>
      </w:r>
      <w:r>
        <w:t>Boreal forests, covering approximately a quarter of the continuous permafrost zone, store relatively modest aboveground carbon, but thermally protect vast soil organic carbon (SOC) pools. Here, using a process-based model to compare seasonal thaw depths under forested and bare-ground scenarios, we quantify distinct canopy thermal insulation capacities of deciduous needleleaf, evergreen needleleaf and deciduous broadleaf canopies on permafrost thermal dynamics. Canopy buffering maintains approximately 59 Pg of carbon in a frozen state, which equals 32% of the total forested permafrost carbon pool and far exceeds boreal biomass stocks (7–19 Pg). Canopy changes could mobilize this frozen SOC through gradual thaw (40 Pg) and rapid thermokarst collapse (19 Pg). While forest loss sacrifices biomass carbon stocks, resulting thaw would expose orders of magnitude more SOC from previously frozen reservoirs, revealing a critical asymmetry. Forest conservation strategies in continuous permafrost zones must account for canopy-mediated thermal protection of frozen SOC, which far exceeds its biomass carbon sequestration capacity.</w:t>
      </w:r>
    </w:p>
    <w:p>
      <w:pPr>
        <w:spacing w:before="120" w:after="120"/>
      </w:pPr>
      <w:r>
        <w:rPr>
          <w:sz w:val="18"/>
        </w:rPr>
        <w:t>——————————————————————————————————————————————————————————————————————</w:t>
      </w:r>
    </w:p>
    <w:p>
      <w:pPr>
        <w:spacing w:before="160" w:after="40" w:line="240" w:lineRule="auto"/>
      </w:pPr>
      <w:r>
        <w:rPr>
          <w:b/>
        </w:rPr>
        <w:t xml:space="preserve">[229] </w:t>
      </w:r>
      <w:hyperlink r:id="rId847">
        <w:r>
          <w:rPr>
            <w:color w:val="1155CC"/>
            <w:u w:val="single"/>
          </w:rPr>
          <w:t>英国物理设施面临的生存选择：商业化还是关闭</w:t>
        </w:r>
      </w:hyperlink>
    </w:p>
    <w:p>
      <w:pPr>
        <w:spacing w:before="0" w:after="80"/>
      </w:pPr>
      <w:r>
        <w:rPr>
          <w:i/>
          <w:sz w:val="20"/>
        </w:rPr>
        <w:t>EN: The existential choice facing UK physics facilities: commercialize or close</w:t>
      </w:r>
    </w:p>
    <w:p>
      <w:pPr>
        <w:spacing w:before="0" w:after="120"/>
      </w:pPr>
      <w:r>
        <w:rPr>
          <w:b/>
        </w:rPr>
        <w:t xml:space="preserve">Source: </w:t>
      </w:r>
      <w:r>
        <w:t>Nature</w:t>
      </w:r>
      <w:r>
        <w:t xml:space="preserve">    </w:t>
      </w:r>
      <w:r>
        <w:rPr>
          <w:b/>
        </w:rPr>
        <w:t xml:space="preserve">Pub date: </w:t>
      </w:r>
      <w:r>
        <w:t>2026-07-27 00:00:00+00:00</w:t>
      </w:r>
      <w:r>
        <w:t xml:space="preserve">    </w:t>
      </w:r>
      <w:r>
        <w:rPr>
          <w:b/>
        </w:rPr>
        <w:t xml:space="preserve">DOI: </w:t>
      </w:r>
      <w:hyperlink r:id="rId848">
        <w:r>
          <w:rPr>
            <w:color w:val="1155CC"/>
            <w:u w:val="single"/>
          </w:rPr>
          <w:t>10.1038/d41586-026-02171-7</w:t>
        </w:r>
      </w:hyperlink>
    </w:p>
    <w:p>
      <w:pPr>
        <w:spacing w:before="0" w:after="120"/>
      </w:pPr>
      <w:r>
        <w:rPr>
          <w:b/>
        </w:rPr>
        <w:t xml:space="preserve">Notes: </w:t>
      </w:r>
      <w:r>
        <w:t>abstract_source=rss_nature</w:t>
      </w:r>
    </w:p>
    <w:p>
      <w:pPr>
        <w:spacing w:before="0" w:after="80" w:lineRule="auto" w:line="276"/>
      </w:pPr>
      <w:r>
        <w:rPr>
          <w:b/>
        </w:rPr>
        <w:t xml:space="preserve">摘要（ZH）: </w:t>
      </w:r>
      <w:r>
        <w:t>除非找到现金，否则国家同步加速器源、激光设施和粒子加速器将面临关闭的威胁。</w:t>
      </w:r>
    </w:p>
    <w:p>
      <w:pPr>
        <w:spacing w:before="0" w:after="200" w:lineRule="auto" w:line="276"/>
      </w:pPr>
      <w:r>
        <w:rPr>
          <w:b/>
        </w:rPr>
        <w:t xml:space="preserve">Abstract (EN): </w:t>
      </w:r>
      <w:r>
        <w:t>The national synchrotron source, a laser facility and a particle accelerator are under threat of closure unless cash is found.</w:t>
      </w:r>
    </w:p>
    <w:p>
      <w:pPr>
        <w:spacing w:before="120" w:after="120"/>
      </w:pPr>
      <w:r>
        <w:rPr>
          <w:sz w:val="18"/>
        </w:rPr>
        <w:t>——————————————————————————————————————————————————————————————————————</w:t>
      </w:r>
    </w:p>
    <w:p>
      <w:pPr>
        <w:spacing w:before="160" w:after="40" w:line="240" w:lineRule="auto"/>
      </w:pPr>
      <w:r>
        <w:rPr>
          <w:b/>
        </w:rPr>
        <w:t xml:space="preserve">[230] </w:t>
      </w:r>
      <w:hyperlink r:id="rId849">
        <w:r>
          <w:rPr>
            <w:color w:val="1155CC"/>
            <w:u w:val="single"/>
          </w:rPr>
          <w:t>用于不对称自由基-自由基交叉偶联的吡哆醛光酶</w:t>
        </w:r>
      </w:hyperlink>
    </w:p>
    <w:p>
      <w:pPr>
        <w:spacing w:before="0" w:after="80"/>
      </w:pPr>
      <w:r>
        <w:rPr>
          <w:i/>
          <w:sz w:val="20"/>
        </w:rPr>
        <w:t>EN: Pyridoxal photoenzymes for asymmetric radical–radical cross-couplings</w:t>
      </w:r>
    </w:p>
    <w:p>
      <w:pPr>
        <w:spacing w:before="0" w:after="120"/>
      </w:pPr>
      <w:r>
        <w:rPr>
          <w:b/>
        </w:rPr>
        <w:t xml:space="preserve">Source: </w:t>
      </w:r>
      <w:r>
        <w:t>Nature</w:t>
      </w:r>
      <w:r>
        <w:t xml:space="preserve">    </w:t>
      </w:r>
      <w:r>
        <w:rPr>
          <w:b/>
        </w:rPr>
        <w:t xml:space="preserve">Pub date: </w:t>
      </w:r>
      <w:r>
        <w:t>2026-07-27 00:00:00+00:00</w:t>
      </w:r>
      <w:r>
        <w:t xml:space="preserve">    </w:t>
      </w:r>
      <w:r>
        <w:rPr>
          <w:b/>
        </w:rPr>
        <w:t xml:space="preserve">DOI: </w:t>
      </w:r>
      <w:hyperlink r:id="rId850">
        <w:r>
          <w:rPr>
            <w:color w:val="1155CC"/>
            <w:u w:val="single"/>
          </w:rPr>
          <w:t>10.1038/s41586-026-10930-9</w:t>
        </w:r>
      </w:hyperlink>
    </w:p>
    <w:p>
      <w:pPr>
        <w:spacing w:before="0" w:after="120"/>
      </w:pPr>
      <w:r>
        <w:rPr>
          <w:b/>
        </w:rPr>
        <w:t xml:space="preserve">Notes: </w:t>
      </w:r>
      <w:r>
        <w:t>abstract_source=nature_html</w:t>
      </w:r>
    </w:p>
    <w:p>
      <w:pPr>
        <w:spacing w:before="0" w:after="80" w:lineRule="auto" w:line="276"/>
      </w:pPr>
      <w:r>
        <w:rPr>
          <w:b/>
        </w:rPr>
        <w:t xml:space="preserve">摘要（ZH）: </w:t>
      </w:r>
      <w:r>
        <w:t>非天然光酶已经实现了无数不对称成键事件，而这些事件在小分子催化作用下是具有挑战性或目前不可能的。1,2这些反应需要具有辅因子的酶，这些辅因子在可见光区域是强吸收剂，具有相当长的激发态，例如黄素和烟酰胺。然而，存在大量的发色辅因子“暗空间”，其中没有已知的光酶活性被表征。1增加对“暗空间”中辅因子的光物理学的了解将增加光酶通过访问具有不同反应性和选择性的酶类中新的激发态中间体可以形成的键的类型。在这里，我们利用激发态醌类中间体作为有效的单电子还原剂，将吡哆醛 5’-磷酸 (PLP) 建立为光酶辅助因子。我们通过使用非天然苄胺底物并利用外源光敏剂的福斯特共振能量转移机制来获得醌类激发态，从而克服了天然醌类中间体较差的光物理性质。这种氧化还原中性方法通过在酶活性位点中同时生成和定位自由基对，实现了苄胺和还原性自由基前体之间的不对称自由基-自由基交叉偶联，通过消除自由基分选的必要性和持久的自由基效应，克服了与该反应相关的典型挑战。 33 本工作中发现的新出现的 PLP 光激发中间体</w:t>
      </w:r>
    </w:p>
    <w:p>
      <w:pPr>
        <w:spacing w:before="0" w:after="200" w:lineRule="auto" w:line="276"/>
      </w:pPr>
      <w:r>
        <w:rPr>
          <w:b/>
        </w:rPr>
        <w:t xml:space="preserve">Abstract (EN): </w:t>
      </w:r>
      <w:r>
        <w:t>Non-native photoenzymes have enabled a myriad of asymmetric bond-forming events that are otherwise challenging or currently impossible with small molecule catalysis.1,2 These reactions require enzymes with cofactors that are strong absorbers in the visible region with reasonably long-lived excited states, such as flavin and nicotinamide. However, there exists a substantial chromophoric cofactor “dark space” where no known photoenzymatic activity has been characterized.1 Increased knowledge of the photophysics of the cofactors in the “dark space” would increase the types of bonds that photoenzymes can form by accessing new excited state intermediates in enzyme classes with divergent reactivities and selectivities. Here, we establish pyridoxal 5’-phosphate (PLP) as a photoenzymatic cofactor by leveraging the excited state quinonoid intermediate as a potent single-electron reductant. We overcome the poor photophysical properties of the native quinonoid intermediate by employing non-native benzyl amine substrates and exploiting Förster resonance energy transfer mechanism from an exogenous photosensitizer to access the quinonoid excited state. This redox neutral approach enables an asymmetric radical-radical cross-coupling between benzyl amines and reductive radical precursors through concomitant generation and localization of a radical pair in an enzyme active site—overcoming the typical challenges associated with this reaction by removing the necessity for radical sorting and the persistent radical effect. 33 The emergent photoexcited intermediates of PLP identified in this work greatly expands the potential avenues for valuable bond forming events by PLP-dependent enzymes.</w:t>
      </w:r>
    </w:p>
    <w:p>
      <w:pPr>
        <w:spacing w:before="120" w:after="120"/>
      </w:pPr>
      <w:r>
        <w:rPr>
          <w:sz w:val="18"/>
        </w:rPr>
        <w:t>——————————————————————————————————————————————————————————————————————</w:t>
      </w:r>
    </w:p>
    <w:p>
      <w:pPr>
        <w:spacing w:before="160" w:after="40" w:line="240" w:lineRule="auto"/>
      </w:pPr>
      <w:r>
        <w:rPr>
          <w:b/>
        </w:rPr>
        <w:t xml:space="preserve">[231] </w:t>
      </w:r>
      <w:hyperlink r:id="rId851">
        <w:r>
          <w:rPr>
            <w:color w:val="1155CC"/>
            <w:u w:val="single"/>
          </w:rPr>
          <w:t>力响应生物材料通过利用内源生长因子驱动组织修复</w:t>
        </w:r>
      </w:hyperlink>
    </w:p>
    <w:p>
      <w:pPr>
        <w:spacing w:before="0" w:after="80"/>
      </w:pPr>
      <w:r>
        <w:rPr>
          <w:i/>
          <w:sz w:val="20"/>
        </w:rPr>
        <w:t>EN: Force-responsive biomaterials drive tissue repair by harnessing endogenous growth factors</w:t>
      </w:r>
    </w:p>
    <w:p>
      <w:pPr>
        <w:spacing w:before="0" w:after="120"/>
      </w:pPr>
      <w:r>
        <w:rPr>
          <w:b/>
        </w:rPr>
        <w:t xml:space="preserve">Source: </w:t>
      </w:r>
      <w:r>
        <w:t>Nature Materials</w:t>
      </w:r>
      <w:r>
        <w:t xml:space="preserve">    </w:t>
      </w:r>
      <w:r>
        <w:rPr>
          <w:b/>
        </w:rPr>
        <w:t xml:space="preserve">Pub date: </w:t>
      </w:r>
      <w:r>
        <w:t>2026-07-27 00:00:00+00:00</w:t>
      </w:r>
      <w:r>
        <w:t xml:space="preserve">    </w:t>
      </w:r>
      <w:r>
        <w:rPr>
          <w:b/>
        </w:rPr>
        <w:t xml:space="preserve">DOI: </w:t>
      </w:r>
      <w:hyperlink r:id="rId852">
        <w:r>
          <w:rPr>
            <w:color w:val="1155CC"/>
            <w:u w:val="single"/>
          </w:rPr>
          <w:t>10.1038/s41563-026-02682-8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能够以细胞响应方式递送内源性生物制剂（例如生长因子）的材料有可能经济有效且安全地调节伤口修复。与需要超生理剂量的重组蛋白或依赖于外部触发的刺激响应系统的被动药物递送策略不同，我们展示了一种利用细胞牵引力作为内在递送触发的策略。牵引力激活的有效负载是附着在生物材料支架上的仿生适体结构，可选择性地从体内（大鼠股骨和小鼠皮肤）和离体（人类皮肤）的细胞、损伤部位和血液裂解物中收获、浓缩和重新激活多种内源性生长因子，其剂量低于当前临床标准的数量级。未修饰的寡核苷酸适体在富含酶的伤口环境中保留了功能，大大扩展了基于核酸的治疗的翻译潜力。通过机械响应生物材料收获和重新输送内源性生长因子而无需外源性触发物、重组蛋白或冷链物流的能力，为可获取、具有成本效益的组合生物疗法开辟了可能性。</w:t>
      </w:r>
    </w:p>
    <w:p>
      <w:pPr>
        <w:spacing w:before="0" w:after="200" w:lineRule="auto" w:line="276"/>
      </w:pPr>
      <w:r>
        <w:rPr>
          <w:b/>
        </w:rPr>
        <w:t xml:space="preserve">Abstract (EN): </w:t>
      </w:r>
      <w:r>
        <w:t>Materials enabling the cell-responsive delivery of endogenous biologics, such as growth factors, have the potential to modulate wound repair cost-effectively and safely. Unlike passive drug delivery strategies that require supraphysiological doses of recombinant protein or stimuli-responsive systems that rely on external triggers, we demonstrate a strategy that harnesses cellular traction forces as an intrinsic delivery trigger. Traction-force-activated payloads are bioinspired aptamer constructs attached to biomaterial scaffolds that selectively harvest, concentrate and reactivate multiple endogenous growth factors from cells, injury sites and blood lysate in vivo (rat femur and mouse skin) and ex vivo (human skin), at doses orders of magnitude lower than current clinical standards. Unmodified oligonucleotide aptamers retain functionality in enzyme-rich wound environments, substantially expanding the translational potential of nucleic-acid-based therapeutics. The ability to harvest and redeliver endogenous growth factors without exogenous triggers, recombinant proteins or cold-chain logistics via mechanoresponsive biomaterials opens possibilities for accessible, cost-effective combinatorial biologic therapies.</w:t>
      </w:r>
    </w:p>
    <w:p>
      <w:pPr>
        <w:spacing w:before="120" w:after="120"/>
      </w:pPr>
      <w:r>
        <w:rPr>
          <w:sz w:val="18"/>
        </w:rPr>
        <w:t>——————————————————————————————————————————————————————————————————————</w:t>
      </w:r>
    </w:p>
    <w:p>
      <w:pPr>
        <w:spacing w:before="160" w:after="40" w:line="240" w:lineRule="auto"/>
      </w:pPr>
      <w:r>
        <w:rPr>
          <w:b/>
        </w:rPr>
        <w:t xml:space="preserve">[232] </w:t>
      </w:r>
      <w:hyperlink r:id="rId853">
        <w:r>
          <w:rPr>
            <w:color w:val="1155CC"/>
            <w:u w:val="single"/>
          </w:rPr>
          <w:t>简单介质中的非互易线偏振光</w:t>
        </w:r>
      </w:hyperlink>
    </w:p>
    <w:p>
      <w:pPr>
        <w:spacing w:before="0" w:after="80"/>
      </w:pPr>
      <w:r>
        <w:rPr>
          <w:i/>
          <w:sz w:val="20"/>
        </w:rPr>
        <w:t>EN: Non-reciprocal linearly polarized light in simple media</w:t>
      </w:r>
    </w:p>
    <w:p>
      <w:pPr>
        <w:spacing w:before="0" w:after="120"/>
      </w:pPr>
      <w:r>
        <w:rPr>
          <w:b/>
        </w:rPr>
        <w:t xml:space="preserve">Source: </w:t>
      </w:r>
      <w:r>
        <w:t>Nature Materials</w:t>
      </w:r>
      <w:r>
        <w:t xml:space="preserve">    </w:t>
      </w:r>
      <w:r>
        <w:rPr>
          <w:b/>
        </w:rPr>
        <w:t xml:space="preserve">Pub date: </w:t>
      </w:r>
      <w:r>
        <w:t>2026-07-27 00:00:00+00:00</w:t>
      </w:r>
      <w:r>
        <w:t xml:space="preserve">    </w:t>
      </w:r>
      <w:r>
        <w:rPr>
          <w:b/>
        </w:rPr>
        <w:t xml:space="preserve">DOI: </w:t>
      </w:r>
      <w:hyperlink r:id="rId854">
        <w:r>
          <w:rPr>
            <w:color w:val="1155CC"/>
            <w:u w:val="single"/>
          </w:rPr>
          <w:t>10.1038/s41563-026-02660-0</w:t>
        </w:r>
      </w:hyperlink>
    </w:p>
    <w:p>
      <w:pPr>
        <w:spacing w:before="0" w:after="120"/>
      </w:pPr>
      <w:r>
        <w:rPr>
          <w:b/>
        </w:rPr>
        <w:t xml:space="preserve">Notes: </w:t>
      </w:r>
      <w:r>
        <w:t>abstract_source=pubmed</w:t>
      </w:r>
    </w:p>
    <w:p>
      <w:pPr>
        <w:spacing w:before="0" w:after="80" w:lineRule="auto" w:line="276"/>
      </w:pPr>
      <w:r>
        <w:rPr>
          <w:b/>
        </w:rPr>
        <w:t xml:space="preserve">摘要（ZH）: </w:t>
      </w:r>
      <w:r>
        <w:t>互易性（即向前和向后路径上的响应相同的原理）是物理学的基本概念。当这种对称性被破坏时，就会出现非互易性，从而导致方向依赖的行为。实现光学非互易性通常需要复杂的超材料、奇异介质或强场。研究人员忽视了传统材料支持光学非互易性的可能性。在这里，通过 Stokes-Mueller 形式，我们预测了正交线性偏振的非互易吸收和发射的途径。我们使用具有可比圆形和线性二色性的 CdS、CdSe 和 CdTe 幻尺寸团簇的溶液处理薄膜测试了这一想法，并证明了线性偏振光的非互易吸收和发射。基于这些发现，提出了一些设计规则和实际应用。我们的工作表明，通过利用手性线性光学干涉，可以在易于加工的材料中实现非互易线性二色性和发射，从而在基于偏振的量子光学和光子学（例如方向相关的光学路由或偏振复用加密）中提供机会。</w:t>
      </w:r>
    </w:p>
    <w:p>
      <w:pPr>
        <w:spacing w:before="0" w:after="200" w:lineRule="auto" w:line="276"/>
      </w:pPr>
      <w:r>
        <w:rPr>
          <w:b/>
        </w:rPr>
        <w:t xml:space="preserve">Abstract (EN): </w:t>
      </w:r>
      <w:r>
        <w:t>Reciprocity-the principle that a response is identical along the forward and backward paths-is a fundamental concept across physics. Non-reciprocity occurs when this symmetry is broken, resulting in direction-dependent behaviour. Achieving optical non-reciprocity typically requires complex metamaterials, exotic media or strong fields. Researchers have overlooked the possibility that conventional materials could support optical non-reciprocity. Here, through the Stokes-Mueller formalism, we predict a pathway to non-reciprocal absorption and emission of orthogonal linear polarizations. We test this idea using solution-processed films of CdS, CdSe and CdTe magic-size clusters with comparable circular and linear dichroism, and demonstrate non-reciprocal absorption and emission of linearly polarized light. Based on these findings, several design rules and practical applications are presented. Our work reveals that non-reciprocal linear dichroism and emission can be achieved in readily processable materials by harnessing chiral-linear optical interference, providing opportunities within polarization-based quantum optics and photonics such as direction-dependent optical routing or polarization-multiplexed encryption.</w:t>
      </w:r>
    </w:p>
    <w:p>
      <w:pPr>
        <w:spacing w:before="120" w:after="120"/>
      </w:pPr>
      <w:r>
        <w:rPr>
          <w:sz w:val="18"/>
        </w:rPr>
        <w:t>——————————————————————————————————————————————————————————————————————</w:t>
      </w:r>
    </w:p>
    <w:p>
      <w:pPr>
        <w:spacing w:before="160" w:after="40" w:line="240" w:lineRule="auto"/>
      </w:pPr>
      <w:r>
        <w:rPr>
          <w:b/>
        </w:rPr>
        <w:t xml:space="preserve">[233] </w:t>
      </w:r>
      <w:hyperlink r:id="rId855">
        <w:r>
          <w:rPr>
            <w:color w:val="1155CC"/>
            <w:u w:val="single"/>
          </w:rPr>
          <w:t>树种丰富度与森林光合作用的长期增加有关</w:t>
        </w:r>
      </w:hyperlink>
    </w:p>
    <w:p>
      <w:pPr>
        <w:spacing w:before="0" w:after="80"/>
      </w:pPr>
      <w:r>
        <w:rPr>
          <w:i/>
          <w:sz w:val="20"/>
        </w:rPr>
        <w:t>EN: Tree species richness relates to long-term forest photosynthesis increase</w:t>
      </w:r>
    </w:p>
    <w:p>
      <w:pPr>
        <w:spacing w:before="0" w:after="120"/>
      </w:pPr>
      <w:r>
        <w:rPr>
          <w:b/>
        </w:rPr>
        <w:t xml:space="preserve">Source: </w:t>
      </w:r>
      <w:r>
        <w:t>Nature Climate Change</w:t>
      </w:r>
      <w:r>
        <w:t xml:space="preserve">    </w:t>
      </w:r>
      <w:r>
        <w:rPr>
          <w:b/>
        </w:rPr>
        <w:t xml:space="preserve">Pub date: </w:t>
      </w:r>
      <w:r>
        <w:t>2026-07-27 00:00:00+00:00</w:t>
      </w:r>
      <w:r>
        <w:t xml:space="preserve">    </w:t>
      </w:r>
      <w:r>
        <w:rPr>
          <w:b/>
        </w:rPr>
        <w:t xml:space="preserve">DOI: </w:t>
      </w:r>
      <w:hyperlink r:id="rId856">
        <w:r>
          <w:rPr>
            <w:color w:val="1155CC"/>
            <w:u w:val="single"/>
          </w:rPr>
          <w:t>10.1038/s41558-026-02698-7</w:t>
        </w:r>
      </w:hyperlink>
    </w:p>
    <w:p>
      <w:pPr>
        <w:spacing w:before="0" w:after="120"/>
      </w:pPr>
      <w:r>
        <w:rPr>
          <w:b/>
        </w:rPr>
        <w:t xml:space="preserve">Notes: </w:t>
      </w:r>
      <w:r>
        <w:t>abstract_source=rss_nature</w:t>
      </w:r>
    </w:p>
    <w:p>
      <w:pPr>
        <w:spacing w:before="0" w:after="80" w:lineRule="auto" w:line="276"/>
      </w:pPr>
      <w:r>
        <w:rPr>
          <w:b/>
        </w:rPr>
        <w:t xml:space="preserve">摘要（ZH）: </w:t>
      </w:r>
      <w:r>
        <w:t>作者将树种丰富度与卫星衍生的光合作用代理相结合，表明丰富度与当前较高的光合作用水平以及随着时间的推移而增加的程度相关。预计到 2050 年，生物多样性丧失可能导致森林光合作用累计损失 4.4-35.7 PgC。</w:t>
      </w:r>
    </w:p>
    <w:p>
      <w:pPr>
        <w:spacing w:before="0" w:after="200" w:lineRule="auto" w:line="276"/>
      </w:pPr>
      <w:r>
        <w:rPr>
          <w:b/>
        </w:rPr>
        <w:t xml:space="preserve">Abstract (EN): </w:t>
      </w:r>
      <w:r>
        <w:t>The authors integrate tree species richness with satellite-derived photosynthesis proxies to show that richness correlates with greater current levels of photosynthesis and greater increases over time. Projected biodiversity loss by 2050 could lead to cumulative forest photosynthesis loss of 4.4–35.7 PgC.</w:t>
      </w:r>
    </w:p>
    <w:p>
      <w:pPr>
        <w:spacing w:before="120" w:after="120"/>
      </w:pPr>
      <w:r>
        <w:rPr>
          <w:sz w:val="18"/>
        </w:rPr>
        <w:t>——————————————————————————————————————————————————————————————————————</w:t>
      </w:r>
    </w:p>
    <w:p>
      <w:pPr>
        <w:spacing w:before="160" w:after="40" w:line="240" w:lineRule="auto"/>
      </w:pPr>
      <w:r>
        <w:rPr>
          <w:b/>
        </w:rPr>
        <w:t xml:space="preserve">[234] </w:t>
      </w:r>
      <w:hyperlink r:id="rId857">
        <w:r>
          <w:rPr>
            <w:color w:val="1155CC"/>
            <w:u w:val="single"/>
          </w:rPr>
          <w:t>什么时候应该治疗发烧？进化论给出了答案</w:t>
        </w:r>
      </w:hyperlink>
    </w:p>
    <w:p>
      <w:pPr>
        <w:spacing w:before="0" w:after="80"/>
      </w:pPr>
      <w:r>
        <w:rPr>
          <w:i/>
          <w:sz w:val="20"/>
        </w:rPr>
        <w:t>EN: When should you treat a fever? Evolution holds the answer</w:t>
      </w:r>
    </w:p>
    <w:p>
      <w:pPr>
        <w:spacing w:before="0" w:after="120"/>
      </w:pPr>
      <w:r>
        <w:rPr>
          <w:b/>
        </w:rPr>
        <w:t xml:space="preserve">Source: </w:t>
      </w:r>
      <w:r>
        <w:t>Nature</w:t>
      </w:r>
      <w:r>
        <w:t xml:space="preserve">    </w:t>
      </w:r>
      <w:r>
        <w:rPr>
          <w:b/>
        </w:rPr>
        <w:t xml:space="preserve">Pub date: </w:t>
      </w:r>
      <w:r>
        <w:t>2026-07-27 00:00:00+00:00</w:t>
      </w:r>
      <w:r>
        <w:t xml:space="preserve">    </w:t>
      </w:r>
      <w:r>
        <w:rPr>
          <w:b/>
        </w:rPr>
        <w:t xml:space="preserve">DOI: </w:t>
      </w:r>
      <w:hyperlink r:id="rId858">
        <w:r>
          <w:rPr>
            <w:color w:val="1155CC"/>
            <w:u w:val="single"/>
          </w:rPr>
          <w:t>10.1038/d41586-026-02313-x</w:t>
        </w:r>
      </w:hyperlink>
    </w:p>
    <w:p>
      <w:pPr>
        <w:spacing w:before="0" w:after="120"/>
      </w:pPr>
      <w:r>
        <w:rPr>
          <w:b/>
        </w:rPr>
        <w:t xml:space="preserve">Notes: </w:t>
      </w:r>
      <w:r>
        <w:t>abstract_source=rss_nature</w:t>
      </w:r>
    </w:p>
    <w:p>
      <w:pPr>
        <w:spacing w:before="0" w:after="80" w:lineRule="auto" w:line="276"/>
      </w:pPr>
      <w:r>
        <w:rPr>
          <w:b/>
        </w:rPr>
        <w:t xml:space="preserve">摘要（ZH）: </w:t>
      </w:r>
      <w:r>
        <w:t>了解自然选择可以改善医疗、社会政策和农作物产量。</w:t>
      </w:r>
    </w:p>
    <w:p>
      <w:pPr>
        <w:spacing w:before="0" w:after="200" w:lineRule="auto" w:line="276"/>
      </w:pPr>
      <w:r>
        <w:rPr>
          <w:b/>
        </w:rPr>
        <w:t xml:space="preserve">Abstract (EN): </w:t>
      </w:r>
      <w:r>
        <w:t>Understanding natural selection can improve medical treatments, social policies and crop yields.</w:t>
      </w:r>
    </w:p>
    <w:p>
      <w:pPr>
        <w:spacing w:before="120" w:after="120"/>
      </w:pPr>
      <w:r>
        <w:rPr>
          <w:sz w:val="18"/>
        </w:rPr>
        <w:t>——————————————————————————————————————————————————————————————————————</w:t>
      </w:r>
    </w:p>
    <w:p>
      <w:pPr>
        <w:spacing w:before="160" w:after="40" w:line="240" w:lineRule="auto"/>
      </w:pPr>
      <w:r>
        <w:rPr>
          <w:b/>
        </w:rPr>
        <w:t xml:space="preserve">[235] </w:t>
      </w:r>
      <w:hyperlink r:id="rId859">
        <w:r>
          <w:rPr>
            <w:color w:val="1155CC"/>
            <w:u w:val="single"/>
          </w:rPr>
          <w:t>利用零价铜过滤系统推进可持续水产养殖</w:t>
        </w:r>
      </w:hyperlink>
    </w:p>
    <w:p>
      <w:pPr>
        <w:spacing w:before="0" w:after="80"/>
      </w:pPr>
      <w:r>
        <w:rPr>
          <w:i/>
          <w:sz w:val="20"/>
        </w:rPr>
        <w:t>EN: Advancing sustainable aquaculture with a zero-valent copper filter system</w:t>
      </w:r>
    </w:p>
    <w:p>
      <w:pPr>
        <w:spacing w:before="0" w:after="120"/>
      </w:pPr>
      <w:r>
        <w:rPr>
          <w:b/>
        </w:rPr>
        <w:t xml:space="preserve">Source: </w:t>
      </w:r>
      <w:r>
        <w:t>Nature Sustainability</w:t>
      </w:r>
      <w:r>
        <w:t xml:space="preserve">    </w:t>
      </w:r>
      <w:r>
        <w:rPr>
          <w:b/>
        </w:rPr>
        <w:t xml:space="preserve">Pub date: </w:t>
      </w:r>
      <w:r>
        <w:t>2026-07-27 00:00:00+00:00</w:t>
      </w:r>
      <w:r>
        <w:t xml:space="preserve">    </w:t>
      </w:r>
      <w:r>
        <w:rPr>
          <w:b/>
        </w:rPr>
        <w:t xml:space="preserve">DOI: </w:t>
      </w:r>
      <w:hyperlink r:id="rId860">
        <w:r>
          <w:rPr>
            <w:color w:val="1155CC"/>
            <w:u w:val="single"/>
          </w:rPr>
          <w:t>10.1038/s41893-026-01902-y</w:t>
        </w:r>
      </w:hyperlink>
    </w:p>
    <w:p>
      <w:pPr>
        <w:spacing w:before="0" w:after="120"/>
      </w:pPr>
      <w:r>
        <w:rPr>
          <w:b/>
        </w:rPr>
        <w:t xml:space="preserve">Notes: </w:t>
      </w:r>
      <w:r>
        <w:t>abstract_source=rss_nature</w:t>
      </w:r>
    </w:p>
    <w:p>
      <w:pPr>
        <w:spacing w:before="0" w:after="80" w:lineRule="auto" w:line="276"/>
      </w:pPr>
      <w:r>
        <w:rPr>
          <w:b/>
        </w:rPr>
        <w:t xml:space="preserve">摘要（ZH）: </w:t>
      </w:r>
      <w:r>
        <w:t>藻华严重威胁水安全，但传统的藻类消除方法需要大量化学物质。这项研究提出了一种零价铜微孔过滤器，能够去除水产养殖水中的藻类细胞和其他有害污染物，无需化学输入。</w:t>
      </w:r>
    </w:p>
    <w:p>
      <w:pPr>
        <w:spacing w:before="0" w:after="200" w:lineRule="auto" w:line="276"/>
      </w:pPr>
      <w:r>
        <w:rPr>
          <w:b/>
        </w:rPr>
        <w:t xml:space="preserve">Abstract (EN): </w:t>
      </w:r>
      <w:r>
        <w:t>Algal blooms severely threaten water safety, but conventional algae elimination methods are chemical-intense. This study presents a zero-valent copper microporous filter capable of removing algal cells and other harmful pollutants from aquaculture water without chemical input.</w:t>
      </w:r>
    </w:p>
    <w:p>
      <w:pPr>
        <w:spacing w:before="120" w:after="120"/>
      </w:pPr>
      <w:r>
        <w:rPr>
          <w:sz w:val="18"/>
        </w:rPr>
        <w:t>——————————————————————————————————————————————————————————————————————</w:t>
      </w:r>
    </w:p>
    <w:p>
      <w:pPr>
        <w:spacing w:before="160" w:after="40" w:line="240" w:lineRule="auto"/>
      </w:pPr>
      <w:r>
        <w:rPr>
          <w:b/>
        </w:rPr>
        <w:t xml:space="preserve">[236] </w:t>
      </w:r>
      <w:hyperlink r:id="rId861">
        <w:r>
          <w:rPr>
            <w:color w:val="1155CC"/>
            <w:u w:val="single"/>
          </w:rPr>
          <w:t>为新实体迈向安全和公正的行星边界</w:t>
        </w:r>
      </w:hyperlink>
    </w:p>
    <w:p>
      <w:pPr>
        <w:spacing w:before="0" w:after="80"/>
      </w:pPr>
      <w:r>
        <w:rPr>
          <w:i/>
          <w:sz w:val="20"/>
        </w:rPr>
        <w:t>EN: Towards safe and just planetary boundaries for novel entities</w:t>
      </w:r>
    </w:p>
    <w:p>
      <w:pPr>
        <w:spacing w:before="0" w:after="120"/>
      </w:pPr>
      <w:r>
        <w:rPr>
          <w:b/>
        </w:rPr>
        <w:t xml:space="preserve">Source: </w:t>
      </w:r>
      <w:r>
        <w:t>Nature Sustainability</w:t>
      </w:r>
      <w:r>
        <w:t xml:space="preserve">    </w:t>
      </w:r>
      <w:r>
        <w:rPr>
          <w:b/>
        </w:rPr>
        <w:t xml:space="preserve">Pub date: </w:t>
      </w:r>
      <w:r>
        <w:t>2026-07-27 00:00:00+00:00</w:t>
      </w:r>
      <w:r>
        <w:t xml:space="preserve">    </w:t>
      </w:r>
      <w:r>
        <w:rPr>
          <w:b/>
        </w:rPr>
        <w:t xml:space="preserve">DOI: </w:t>
      </w:r>
      <w:hyperlink r:id="rId862">
        <w:r>
          <w:rPr>
            <w:color w:val="1155CC"/>
            <w:u w:val="single"/>
          </w:rPr>
          <w:t>10.1038/s41893-026-01906-8</w:t>
        </w:r>
      </w:hyperlink>
    </w:p>
    <w:p>
      <w:pPr>
        <w:spacing w:before="0" w:after="120"/>
      </w:pPr>
      <w:r>
        <w:rPr>
          <w:b/>
        </w:rPr>
        <w:t xml:space="preserve">Notes: </w:t>
      </w:r>
      <w:r>
        <w:t>abstract_source=rss_nature</w:t>
      </w:r>
    </w:p>
    <w:p>
      <w:pPr>
        <w:spacing w:before="0" w:after="80" w:lineRule="auto" w:line="276"/>
      </w:pPr>
      <w:r>
        <w:rPr>
          <w:b/>
        </w:rPr>
        <w:t xml:space="preserve">摘要（ZH）: </w:t>
      </w:r>
      <w:r>
        <w:t>人造物质或新实体的不受控制的生产和释放会对环境造成严重后果。在这里，作者提出了一个评估这些新实体的长期安全和环境影响的框架，该框架解释了它们数量庞大、多样性和复杂的相互作用。</w:t>
      </w:r>
    </w:p>
    <w:p>
      <w:pPr>
        <w:spacing w:before="0" w:after="200" w:lineRule="auto" w:line="276"/>
      </w:pPr>
      <w:r>
        <w:rPr>
          <w:b/>
        </w:rPr>
        <w:t xml:space="preserve">Abstract (EN): </w:t>
      </w:r>
      <w:r>
        <w:t>The uncontrolled production and release of human-made substances, or novel entities, has substantial environmental consequences. Here the authors propose a framework for assessing the long-term safety and environmental impacts of these novel entities that accounts for their vast number, diversity and complex interactions.</w:t>
      </w:r>
    </w:p>
    <w:p>
      <w:pPr>
        <w:spacing w:before="120" w:after="120"/>
      </w:pPr>
      <w:r>
        <w:rPr>
          <w:sz w:val="18"/>
        </w:rPr>
        <w:t>——————————————————————————————————————————————————————————————————————</w:t>
      </w:r>
    </w:p>
    <w:p>
      <w:pPr>
        <w:spacing w:before="160" w:after="40" w:line="240" w:lineRule="auto"/>
      </w:pPr>
      <w:r>
        <w:rPr>
          <w:b/>
        </w:rPr>
        <w:t xml:space="preserve">[237] </w:t>
      </w:r>
      <w:hyperlink r:id="rId863">
        <w:r>
          <w:rPr>
            <w:color w:val="1155CC"/>
            <w:u w:val="single"/>
          </w:rPr>
          <w:t>合成离子通道抑制剂增强植物耐旱性</w:t>
        </w:r>
      </w:hyperlink>
    </w:p>
    <w:p>
      <w:pPr>
        <w:spacing w:before="0" w:after="80"/>
      </w:pPr>
      <w:r>
        <w:rPr>
          <w:i/>
          <w:sz w:val="20"/>
        </w:rPr>
        <w:t>EN: Synthetic ion channel inhibitors enhance plant drought tolerance</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干旱胁迫严重威胁全球粮食安全。根据FAO2024，农业吸收了高达80%的干旱影响。气孔是植物进行气体交换和蒸腾作用的重要孔隙。气孔关闭对于耐旱性至关重要，受到离子传输系统的调节。在这里，我们鉴定了两种质膜电压依赖性钾 (K+) 通道抑制剂 NS5806 和 UA49，它们可诱导拟南芥植物气孔关闭、降低保卫细胞 K+ 水平并增强抗旱性。这种化学诱导的气孔关闭途径与脱落酸 (ABA) 不同。值得注意的是，K+通道抑制导致胞质Ca2+增加，而K+内向通道突变体中不存在这种情况，突出了K+通道活性与胞质Ca2+升高之间的联系。这些发现表明 K+ 通道的化学调节代表了一种诱导气孔关闭的策略，可能通过有针对性的干预措施提高植物的耐旱性。</w:t>
      </w:r>
    </w:p>
    <w:p>
      <w:pPr>
        <w:spacing w:before="0" w:after="200" w:lineRule="auto" w:line="276"/>
      </w:pPr>
      <w:r>
        <w:rPr>
          <w:b/>
        </w:rPr>
        <w:t xml:space="preserve">Abstract (EN): </w:t>
      </w:r>
      <w:r>
        <w:t>Drought stress significantly threatens global food security. According to the FAO2024, agriculture absorbs up to 80% of drought impacts. Stomata are vital pores for gas exchange and transpiration in plants. Stomatal closure, which is crucial for drought tolerance, is regulated by ion transport systems. Here, we identify two inhibitors of plasma membrane voltage-dependent potassium (K+) channels, NS5806 and UA49, that induce stomatal closure, reduce guard cell K+ levels, and increase drought resistance in Arabidopsis plants. This chemical-induced stomatal closure pathway is distinct from the abscisic acid (ABA). Notably, K+ channel inhibition led to increased cytosolic Ca2+, which was absent in K+ inward channel mutants, highlighting the link between K+ channel activity and cytosolic Ca2+ elevation. These findings suggest that the chemical regulation of K+ channels represents a strategy to induce stomatal closure, potentially improving plant drought tolerance through targeted interventions.</w:t>
      </w:r>
    </w:p>
    <w:p>
      <w:pPr>
        <w:spacing w:before="120" w:after="120"/>
      </w:pPr>
      <w:r>
        <w:rPr>
          <w:sz w:val="18"/>
        </w:rPr>
        <w:t>——————————————————————————————————————————————————————————————————————</w:t>
      </w:r>
    </w:p>
    <w:p>
      <w:pPr>
        <w:spacing w:before="160" w:after="40" w:line="240" w:lineRule="auto"/>
      </w:pPr>
      <w:r>
        <w:rPr>
          <w:b/>
        </w:rPr>
        <w:t xml:space="preserve">[238] </w:t>
      </w:r>
      <w:hyperlink r:id="rId864">
        <w:r>
          <w:rPr>
            <w:color w:val="1155CC"/>
            <w:u w:val="single"/>
          </w:rPr>
          <w:t>隐藏的自旋谷锁定稳定了二维钙钛矿中的纳秒自旋极化</w:t>
        </w:r>
      </w:hyperlink>
    </w:p>
    <w:p>
      <w:pPr>
        <w:spacing w:before="0" w:after="80"/>
      </w:pPr>
      <w:r>
        <w:rPr>
          <w:i/>
          <w:sz w:val="20"/>
        </w:rPr>
        <w:t>EN: Hidden spin-valley locking stabilizes nanosecond spin polarization in 2D perovskites</w:t>
      </w:r>
    </w:p>
    <w:p>
      <w:pPr>
        <w:spacing w:before="0" w:after="120"/>
      </w:pPr>
      <w:r>
        <w:rPr>
          <w:b/>
        </w:rPr>
        <w:t xml:space="preserve">Source: </w:t>
      </w:r>
      <w:r>
        <w:t>Nature Nanotechnology</w:t>
      </w:r>
      <w:r>
        <w:t xml:space="preserve">    </w:t>
      </w:r>
      <w:r>
        <w:rPr>
          <w:b/>
        </w:rPr>
        <w:t xml:space="preserve">Pub date: </w:t>
      </w:r>
      <w:r>
        <w:t>2026-07-27 00:00:00+00:00</w:t>
      </w:r>
      <w:r>
        <w:t xml:space="preserve">    </w:t>
      </w:r>
      <w:r>
        <w:rPr>
          <w:b/>
        </w:rPr>
        <w:t xml:space="preserve">DOI: </w:t>
      </w:r>
      <w:hyperlink r:id="rId865">
        <w:r>
          <w:rPr>
            <w:color w:val="1155CC"/>
            <w:u w:val="single"/>
          </w:rPr>
          <w:t>10.1038/s41565-026-02238-6</w:t>
        </w:r>
      </w:hyperlink>
    </w:p>
    <w:p>
      <w:pPr>
        <w:spacing w:before="0" w:after="120"/>
      </w:pPr>
      <w:r>
        <w:rPr>
          <w:b/>
        </w:rPr>
        <w:t xml:space="preserve">Notes: </w:t>
      </w:r>
      <w:r>
        <w:t>abstract_source=pubmed</w:t>
      </w:r>
    </w:p>
    <w:p>
      <w:pPr>
        <w:spacing w:before="0" w:after="80" w:lineRule="auto" w:line="276"/>
      </w:pPr>
      <w:r>
        <w:rPr>
          <w:b/>
        </w:rPr>
        <w:t xml:space="preserve">摘要（ZH）: </w:t>
      </w:r>
      <w:r>
        <w:t>半导体中的室温自旋控制是自旋光电子学的基础。尽管反演对称性破缺为半导体自旋控制提供了一种途径，但高温下的强自旋相移仍然是一个持久的限制。没有全局对称性破缺的隐藏自旋极化提供了另一种有前途的材料设计策略，但这种效应的强大自旋稳定性尚未通过实验实现。在这里，我们通过隐藏的自旋谷锁定展示了二维杂化有机-无机钙钛矿在室温下的自旋稳定性。我们使用功能性非伯铵阳离子在金属卤化物层中诱导对称性破缺扭曲，产生巨大的局部自旋分裂，同时保持全局反演对称性。时间分辨圆二色性测量揭示了光学产生的自旋偏振载流子，在室温下，在没有外部磁场的情况下，(AzOH)2PbI4 中的持续时间为 686 ps，无铅类似物 (AzOH)2SnI4 中的持续时间为 4.7 ns。第一原理计算表明，这些长寿命源于锡基化合物中隐藏的自旋谷、增强的介电屏蔽和减少的自旋轨道引起的散射。我们的设计范例解锁了具有超长自旋寿命的反演对称半导体，拓宽了光驱动自旋控制的材料选择。</w:t>
      </w:r>
    </w:p>
    <w:p>
      <w:pPr>
        <w:spacing w:before="0" w:after="200" w:lineRule="auto" w:line="276"/>
      </w:pPr>
      <w:r>
        <w:rPr>
          <w:b/>
        </w:rPr>
        <w:t xml:space="preserve">Abstract (EN): </w:t>
      </w:r>
      <w:r>
        <w:t>Room-temperature spin control in semiconductors is fundamental to spin-optoelectronics. Although inversion symmetry breaking offers one path for spin control in semiconductors, strong spin dephasing at elevated temperatures remains a persistent limitation. Hidden spin polarization without global symmetry breaking provides another promising material design strategy, but robust spin stabilization from this effect has yet to be experimentally realized. Here we show spin stabilization at room temperature in two-dimensional hybrid organic-inorganic perovskites through hidden spin-valley locking. We use functional non-primary ammonium cations to induce symmetry-breaking distortions in the metal-halide layers, producing giant local spin splitting while preserving global inversion symmetry. Time-resolved circular dichroism measurements reveal optically generated spin-polarized carriers that persist for 686 ps in (AzOH)2PbI4 and 4.7 ns in the lead-free analogue (AzOH)2SnI4 at room temperature, without an external magnetic field. First-principles calculations suggest that these long lifetimes arise from hidden spin valleys, enhanced dielectric screening and reduced spin-orbit-induced scattering in the Sn-based compound. Our design paradigm unlocks inversion-symmetric semiconductors with ultralong spin lifetimes, broadening the materials options for light-driven spin control.</w:t>
      </w:r>
    </w:p>
    <w:p>
      <w:pPr>
        <w:spacing w:before="120" w:after="120"/>
      </w:pPr>
      <w:r>
        <w:rPr>
          <w:sz w:val="18"/>
        </w:rPr>
        <w:t>——————————————————————————————————————————————————————————————————————</w:t>
      </w:r>
    </w:p>
    <w:p>
      <w:pPr>
        <w:spacing w:before="160" w:after="40" w:line="240" w:lineRule="auto"/>
      </w:pPr>
      <w:r>
        <w:rPr>
          <w:b/>
        </w:rPr>
        <w:t xml:space="preserve">[239] </w:t>
      </w:r>
      <w:hyperlink r:id="rId866">
        <w:r>
          <w:rPr>
            <w:color w:val="1155CC"/>
            <w:u w:val="single"/>
          </w:rPr>
          <w:t>氮化硅平台上的集成蓝色 ZnSe/ZnS 量子点激光器</w:t>
        </w:r>
      </w:hyperlink>
    </w:p>
    <w:p>
      <w:pPr>
        <w:spacing w:before="0" w:after="80"/>
      </w:pPr>
      <w:r>
        <w:rPr>
          <w:i/>
          <w:sz w:val="20"/>
        </w:rPr>
        <w:t>EN: Integrated blue ZnSe/ZnS quantum dot lasers on a silicon nitride platform</w:t>
      </w:r>
    </w:p>
    <w:p>
      <w:pPr>
        <w:spacing w:before="0" w:after="120"/>
      </w:pPr>
      <w:r>
        <w:rPr>
          <w:b/>
        </w:rPr>
        <w:t xml:space="preserve">Source: </w:t>
      </w:r>
      <w:r>
        <w:t>Nature Nanotechnology</w:t>
      </w:r>
      <w:r>
        <w:t xml:space="preserve">    </w:t>
      </w:r>
      <w:r>
        <w:rPr>
          <w:b/>
        </w:rPr>
        <w:t xml:space="preserve">Pub date: </w:t>
      </w:r>
      <w:r>
        <w:t>2026-07-27 00:00:00+00:00</w:t>
      </w:r>
      <w:r>
        <w:t xml:space="preserve">    </w:t>
      </w:r>
      <w:r>
        <w:rPr>
          <w:b/>
        </w:rPr>
        <w:t xml:space="preserve">DOI: </w:t>
      </w:r>
      <w:hyperlink r:id="rId867">
        <w:r>
          <w:rPr>
            <w:color w:val="1155CC"/>
            <w:u w:val="single"/>
          </w:rPr>
          <w:t>10.1038/s41565-026-02237-7</w:t>
        </w:r>
      </w:hyperlink>
    </w:p>
    <w:p>
      <w:pPr>
        <w:spacing w:before="0" w:after="120"/>
      </w:pPr>
      <w:r>
        <w:rPr>
          <w:b/>
        </w:rPr>
        <w:t xml:space="preserve">Notes: </w:t>
      </w:r>
      <w:r>
        <w:t>abstract_source=pubmed</w:t>
      </w:r>
    </w:p>
    <w:p>
      <w:pPr>
        <w:spacing w:before="0" w:after="80" w:lineRule="auto" w:line="276"/>
      </w:pPr>
      <w:r>
        <w:rPr>
          <w:b/>
        </w:rPr>
        <w:t xml:space="preserve">摘要（ZH）: </w:t>
      </w:r>
      <w:r>
        <w:t>片上蓝色激光器对于数据存储、量子光子学、光通信和片上实验室传感至关重要。现有的基于 GaN 的器件可提供高性能，但需要晶格匹配的衬底，涉及复杂的架构，并且在可见光范围内光学损耗较高。在这里，我们扩展了用于将发光胶体量子点 (QD) 与氮化硅 (SiNx) 平台相结合的 CMOS 兼容制造方法，从经过验证的红色和绿色激光器到蓝色激光器。实施 QD 设计规则以实现最佳增益性能，我们获得了发射蓝光的 ZnSe/ZnS QD，其增益指标与现有的红色和绿色 QD 相当。用有机/无机双层封装 QD 薄膜后，我们使用不同的腔设计在飞秒和纳秒泵浦下展示了稳定的激光发射。这种薄膜涂在低损耗的 SiNx 二维光子晶体腔上，可产生 425 至 445nm 之间的面外激光，准连续波阈值为 7.5kWcm-2。此外，通过在一维分布式反馈腔顶部沉积 ZnSe/ZnS QD 薄膜来演示面内波导耦合激光发射。我们的工作强调了无毒、可溶液加工的 ZnSe 基量子点在集成蓝色光子学方面的潜力。</w:t>
      </w:r>
    </w:p>
    <w:p>
      <w:pPr>
        <w:spacing w:before="0" w:after="200" w:lineRule="auto" w:line="276"/>
      </w:pPr>
      <w:r>
        <w:rPr>
          <w:b/>
        </w:rPr>
        <w:t xml:space="preserve">Abstract (EN): </w:t>
      </w:r>
      <w:r>
        <w:t>On-chip blue lasers are essential for data storage, quantum photonics, optical communications and lab-on-chip sensing. Existing GaN-based devices deliver high performance but demand lattice-matched substrates, involve complex architectures and suffer from high optical losses in the visible range. Here we extend the CMOS-compatible fabrication methodology used to incorporate emitting colloidal quantum dots (QDs) with silicon nitride (SiNx) platforms from proven red and green to blue lasers. Implementing QD design rules for optimal gain performance, we obtain blue-emitting ZnSe/ZnS QDs with gain metrics on par with established red and green QDs. After encapsulating QD films with an organic/inorganic bilayer, we demonstrate stable lasing under femtosecond and nanosecond pumping using different cavity designs. Such films, coated on low-loss SiNx two-dimensional photonic crystal cavities, yield out-of-plane lasing between 425 and 445 nm, with quasi-continuous-wave thresholds of 7.5 kW cm-2. In addition, in-plane, waveguide-coupled lasing is demonstrated by depositing ZnSe/ZnS QD films on top of a one-dimensional distributed feedback cavity. Our work underscores the potential of non-toxic, solution-processable ZnSe-based QDs for integrated blue photonics.</w:t>
      </w:r>
    </w:p>
    <w:p>
      <w:pPr>
        <w:spacing w:before="120" w:after="120"/>
      </w:pPr>
      <w:r>
        <w:rPr>
          <w:sz w:val="18"/>
        </w:rPr>
        <w:t>——————————————————————————————————————————————————————————————————————</w:t>
      </w:r>
    </w:p>
    <w:p>
      <w:pPr>
        <w:spacing w:before="160" w:after="40" w:line="240" w:lineRule="auto"/>
      </w:pPr>
      <w:r>
        <w:rPr>
          <w:b/>
        </w:rPr>
        <w:t xml:space="preserve">[240] </w:t>
      </w:r>
      <w:hyperlink r:id="rId868">
        <w:r>
          <w:rPr>
            <w:color w:val="1155CC"/>
            <w:u w:val="single"/>
          </w:rPr>
          <w:t>人类冠状病毒 HKU1 的温度依赖性复制和对先天免疫的敏感性</w:t>
        </w:r>
      </w:hyperlink>
    </w:p>
    <w:p>
      <w:pPr>
        <w:spacing w:before="0" w:after="80"/>
      </w:pPr>
      <w:r>
        <w:rPr>
          <w:i/>
          <w:sz w:val="20"/>
        </w:rPr>
        <w:t>EN: Temperature-dependent replication and sensitivity to innate immunity of human coronavirus HKU1</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人类冠状病毒 HKU1 会引起普通感冒，偶尔还会导致严重疾病，但由于尚未在永生化细胞上成功生长，因此在很大程度上仍未得到表征。在这里，我们鉴定出过度表达 TMPRSS2（HKU1 受体）的 Caco2 细胞非常容易感染。 HKU1 在 33°C（鼻腔温度）下有效复制，形成合胞体并在这些细胞中释放感染性后代，但在 37°C 时减弱。两种温度下病毒进入的情况相似，但随后的病毒 RNA 合成在 33 °C 下增强。释放的病毒粒子在 33 °C 下表现出更高的稳定性。在 Caco2 和原代上皮鼻细胞中，HKU1 对干扰素 (IFN) 敏感，但 IFN 刺激基因（如 IFN 诱导的跨膜蛋白 (IFITM)）的诱导在 33 °C 时会延迟。一旦表达，IFITM 在两种温度下都会同等程度地抑制 HKU1 融合。相比之下，SARS-CoV-2 在 37°C 下可以强劲复制。因此，细胞许可性、先天免疫和病毒特性共同解释了为什么 HKU1 在鼻腔温度下复制效率更高。我们的结果强调了冠状病毒之间的温度敏感性差异，这可能与不同的致病结果有关。</w:t>
      </w:r>
    </w:p>
    <w:p>
      <w:pPr>
        <w:spacing w:before="0" w:after="200" w:lineRule="auto" w:line="276"/>
      </w:pPr>
      <w:r>
        <w:rPr>
          <w:b/>
        </w:rPr>
        <w:t xml:space="preserve">Abstract (EN): </w:t>
      </w:r>
      <w:r>
        <w:t>The human coronavirus HKU1, causing common colds and occasionally severe illness, remains largely uncharacterized because it has not been successfully grown on immortalized cells. Here, we identify Caco2 cells overexpressing TMPRSS2, the HKU1 receptor, as being highly permissive to infection. HKU1 replicates efficiently, forms syncytia and releases infectious progeny in these cells at 33 °C, the temperature of the nasal cavity, but is attenuated at 37 °C. Viral entry occurs similarly at both temperatures, but subsequent viral RNA synthesis is enhanced at 33 °C. Released virions display higher stability at 33 °C. In Caco2 and primary epithelial nasal cells, HKU1 is sensitive to interferons (IFN), but induction of IFN stimulated genes, such as IFN-Induced Transmembrane Proteins (IFITMs), is delayed at 33 °C. Once expressed, IFITMs comparably inhibit HKU1 fusion at both temperatures. In contrast, SARS-CoV-2 robustly replicates at 37 °C. Thus, cellular permissiveness, innate immunity and viral properties collectively explain why HKU1 replicates more efficiently at nasal temperature. Our results highlight temperature-sensitivity disparities between coronaviruses, likely associated to different pathogenic outcomes.</w:t>
      </w:r>
    </w:p>
    <w:p>
      <w:pPr>
        <w:spacing w:before="120" w:after="120"/>
      </w:pPr>
      <w:r>
        <w:rPr>
          <w:sz w:val="18"/>
        </w:rPr>
        <w:t>——————————————————————————————————————————————————————————————————————</w:t>
      </w:r>
    </w:p>
    <w:p>
      <w:pPr>
        <w:spacing w:before="160" w:after="40" w:line="240" w:lineRule="auto"/>
      </w:pPr>
      <w:r>
        <w:rPr>
          <w:b/>
        </w:rPr>
        <w:t xml:space="preserve">[241] </w:t>
      </w:r>
      <w:hyperlink r:id="rId869">
        <w:r>
          <w:rPr>
            <w:color w:val="1155CC"/>
            <w:u w:val="single"/>
          </w:rPr>
          <w:t>宿主来源的乳酸通过抗病毒抑制和促炎放大破坏干扰素功效</w:t>
        </w:r>
      </w:hyperlink>
    </w:p>
    <w:p>
      <w:pPr>
        <w:spacing w:before="0" w:after="80"/>
      </w:pPr>
      <w:r>
        <w:rPr>
          <w:i/>
          <w:sz w:val="20"/>
        </w:rPr>
        <w:t>EN: Host-derived lactic acid disrupts IFN efficacy via antiviral inhibition and proinflammatory amplification</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正在传播的新病毒危及公众健康。 I 型干扰素 (IFN) 具有强大的临床前抗病毒功效，但面临不完全明确的临床障碍：治疗窗口狭窄、活性次优和严重不良事件。在此，我们证明干扰素仅在感染前给药时才具有抗病毒保护作用。一旦感染建立，干扰素不仅无效，而且会引起显着的不良反应，其中宿主源性乳酸（LAC）是关键介质：它促进病毒免疫逃避，损害干扰素治疗效果，引发炎症风暴，引发不良反应。从机制上讲，LAC 通过膜受体介导的沉默信息调节因子 1 (SIRT1) 上调抑制 IFN 活性，并与 IFN 协同作用，过度激活活化 B 细胞的核因子 Kappa 轻链增强子 (NF-κB)，引发细胞因子风暴并形成“抗病毒失败-炎症放大”反馈回路。基于这一机制，我们开发了一种 IFN 与美国食品和药物管理局 (FDA) 批准的乳酸脱氢酶抑制剂的组合疗法。该方案逆转LAC介导的IFN抑制，减轻炎症，实现“抗病毒+抗炎”双重功效。值得注意的是，它即使在晚期感染中也能保持强大的疗效，克服了IFN单药治疗的缺点，解决了限制IFN临床应用的核心瓶颈。我们的研究将 LAC 确定为广谱抗病毒药物开发的关键靶标，并提供了对抗新出现的病毒大流行的潜在策略。</w:t>
      </w:r>
    </w:p>
    <w:p>
      <w:pPr>
        <w:spacing w:before="0" w:after="200" w:lineRule="auto" w:line="276"/>
      </w:pPr>
      <w:r>
        <w:rPr>
          <w:b/>
        </w:rPr>
        <w:t xml:space="preserve">Abstract (EN): </w:t>
      </w:r>
      <w:r>
        <w:t>Circulating emerging viruses endanger public health. Type I interferons (IFNs) confer robust preclinical antiviral efficacy yet face incompletely defined clinical hurdles: narrow therapeutic windows, suboptimal activity and severe adverse events. Herein, we show that IFNs confer antiviral protection exclusively upon pre-infection administration. Once infection is established, IFNs are ineffective yet induce prominent adverse effects, with host-derived lactic acid (LAC) as the key mediator: it promotes viral immune evasion, impairs IFN therapeutic efficacy, triggers inflammatory storms, and elicits adverse reactions. Mechanistically, LAC suppresses IFN activity via membrane receptor-mediated Silent Information Regulator 1 (SIRT1) upregulation and synergizes with IFNs to hyperactivate Nuclear Factor Kappa-Light-Chain-Enhancer of Activated B cells (NF-κB), initiating cytokine storms and forming an “antiviral failure-inflammatory amplification” feedback loop. Based on this mechanism, we develop a combinatorial therapy of IFNs plus an U.S. Food and Drug Administration (FDA)-approved lactate dehydrogenase inhibitor. This regimen reverses LAC-mediated IFN suppression, mitigates inflammation, and achieves dual “antiviral + anti-inflammatory” benefits. Notably, it retains robust efficacy even in late-stage infections, overcoming IFN monotherapy drawbacks and addressing the core bottleneck restricting IFN clinical application. Our study identifies LAC as a pivotal target for broad-spectrum antiviral development and provides a potential strategy to combat emerging viral pandemics.</w:t>
      </w:r>
    </w:p>
    <w:p>
      <w:pPr>
        <w:spacing w:before="120" w:after="120"/>
      </w:pPr>
      <w:r>
        <w:rPr>
          <w:sz w:val="18"/>
        </w:rPr>
        <w:t>——————————————————————————————————————————————————————————————————————</w:t>
      </w:r>
    </w:p>
    <w:p>
      <w:pPr>
        <w:spacing w:before="160" w:after="40" w:line="240" w:lineRule="auto"/>
      </w:pPr>
      <w:r>
        <w:rPr>
          <w:b/>
        </w:rPr>
        <w:t xml:space="preserve">[242] </w:t>
      </w:r>
      <w:hyperlink r:id="rId870">
        <w:r>
          <w:rPr>
            <w:color w:val="1155CC"/>
            <w:u w:val="single"/>
          </w:rPr>
          <w:t>CmDREBa 调节菊花的多年生生长习性以应对长期寒冷</w:t>
        </w:r>
      </w:hyperlink>
    </w:p>
    <w:p>
      <w:pPr>
        <w:spacing w:before="0" w:after="80"/>
      </w:pPr>
      <w:r>
        <w:rPr>
          <w:i/>
          <w:sz w:val="20"/>
        </w:rPr>
        <w:t>EN: CmDREBa regulates the perennial growth habit of chrysanthemum in response to prolonged chilling</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季节性生长调节是多年生植物支持越冬生存的关键适应性特征。在冬季，许多多年生植物通过抑制营养延伸和开花而采取莲座状生长习性，但协调这两种不同发育程序的机制仍不清楚。在这里，我们表明，长时间的寒冷主要作用于茎尖，以赋予菊花（Chrysanthemum morifolium）延伸生长和开花能力。长期寒冷伴随着茎尖肋区基因表达的显着变化。值得注意的是，CmDREBa 的表达与从延伸生长到玫瑰花结生长的转变相关。低温会诱导 CmDREBa 表达，从而抑制延伸生长和开花；当温度升高时，CmDREBa 表达下降，从而使两个过程得以恢复。 CmDREBa 直接诱导 MADS 影响开花 (MAF) 基因的表达，进而促进莲座丛的生长。总之，这些发现表明 CmDREBa 是寒冷响应季节性生长的关键调节因子。</w:t>
      </w:r>
    </w:p>
    <w:p>
      <w:pPr>
        <w:spacing w:before="0" w:after="200" w:lineRule="auto" w:line="276"/>
      </w:pPr>
      <w:r>
        <w:rPr>
          <w:b/>
        </w:rPr>
        <w:t xml:space="preserve">Abstract (EN): </w:t>
      </w:r>
      <w:r>
        <w:t>Seasonal growth modulation is a key adaptive trait in perennials that supports overwinter survival. During winter, many perennials adopt a rosette growth habit by suppressing both vegetative extension and flowering, but the mechanism that coordinates these two distinct developmental programs remains unclear. Here, we show that prolonged chilling primarily acts at the shoot apex to confer extension growth and flowering competence in chrysanthemum (Chrysanthemum morifolium). Long-term chilling is accompanied by marked changes in gene expression in the rib zone of the shoot apex. Notably, the expression of CmDREBa is associated with the transition from extension growth to rosette growth. Chilling induces CmDREBa expression, which suppresses both extension growth and flowering; when temperatures rise, CmDREBa expression declines, allowing both processes to resume. CmDREBa directly induces the expression of MADS AFFECTING FLOWERING (MAF) genes, which in turn promote rosette growth. Together, these findings identify CmDREBa as a key regulator of chilling-responsive seasonal growth.</w:t>
      </w:r>
    </w:p>
    <w:p>
      <w:pPr>
        <w:spacing w:before="120" w:after="120"/>
      </w:pPr>
      <w:r>
        <w:rPr>
          <w:sz w:val="18"/>
        </w:rPr>
        <w:t>——————————————————————————————————————————————————————————————————————</w:t>
      </w:r>
    </w:p>
    <w:p>
      <w:pPr>
        <w:spacing w:before="160" w:after="40" w:line="240" w:lineRule="auto"/>
      </w:pPr>
      <w:r>
        <w:rPr>
          <w:b/>
        </w:rPr>
        <w:t xml:space="preserve">[243] </w:t>
      </w:r>
      <w:hyperlink r:id="rId871">
        <w:r>
          <w:rPr>
            <w:color w:val="1155CC"/>
            <w:u w:val="single"/>
          </w:rPr>
          <w:t>通过同时腺嘌呤、胞嘧啶和鸟嘌呤编辑进行高多样性碱基诱变</w:t>
        </w:r>
      </w:hyperlink>
    </w:p>
    <w:p>
      <w:pPr>
        <w:spacing w:before="0" w:after="80"/>
      </w:pPr>
      <w:r>
        <w:rPr>
          <w:i/>
          <w:sz w:val="20"/>
        </w:rPr>
        <w:t>EN: High-diversity base mutagenesis via simultaneous adenine, cytosine and guanine editing</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碱基编辑器在基因筛选的内源诱变方面具有广阔的前景。然而，开发诱导具有不同突变谱的饱和多碱基转换的碱基编辑器具有挑战性。在这里，我们开发了三碱基编辑器 (smACG)，可同时诱变同一等位基因内的腺嘌呤、胞嘧啶和鸟嘌呤。通过在 Cas9 结构中筛选和嵌入工程脱氨酶和烷基腺嘌呤 DNA 糖基化酶变体，生成 smACGmax，以在不同的序列背景下催化高达 41% 的稳健三碱基转换效率，同时与之前的双碱基编辑器相比，保持较低的 RNA 脱靶效应。我们应用 smACGmax 实现高覆盖率 (94%) 的靶向 HBEGF 诱变，识别白喉毒素抗性突变，并通过复杂的单碱基、双碱基和三碱基转换筛选，剖析具有选择性剪接特异性的 SF3B1 变体。 smACGmax将碱基转换能力从单底物和双底物扩展到三核苷酸水平，有利于高多样性和复杂遗传变异的产生，为基于诱变的应用提供了有用的平台。</w:t>
      </w:r>
    </w:p>
    <w:p>
      <w:pPr>
        <w:spacing w:before="0" w:after="200" w:lineRule="auto" w:line="276"/>
      </w:pPr>
      <w:r>
        <w:rPr>
          <w:b/>
        </w:rPr>
        <w:t xml:space="preserve">Abstract (EN): </w:t>
      </w:r>
      <w:r>
        <w:t>Base editors hold great promise in endogenous mutagenesis for genetic screening. However, the development of base editors that induce saturated multi-base conversions with diverse mutation spectrum is challenging. Here, we develop triple base editors (smACGs) that simultaneously mutagenize adenine, cytosine, and guanine within the same allele. Through screening and embedding engineered deaminase and alkyladenine DNA glycosylase variants in Cas9 structure, smACGmax is generated to catalyze robust triple-base conversion efficiencies of up to 41% across varied sequence contexts while maintaining low RNA off-target effects compared to previous dual-base editors. We apply smACGmax to enable high coverage (94%) of targeted HBEGF mutagenesis that identified diphtheria toxin-resistant mutations and to dissect SF3B1 variants with alternative splicing specificity via complex single, double, and triple base conversion screening. smACGmax expands base conversion capability from single and double substrates to trinucleotide level, which facilitates the generation of high-diversity and complex genetic variants, providing a useful platform for mutagenesis-based application.</w:t>
      </w:r>
    </w:p>
    <w:p>
      <w:pPr>
        <w:spacing w:before="120" w:after="120"/>
      </w:pPr>
      <w:r>
        <w:rPr>
          <w:sz w:val="18"/>
        </w:rPr>
        <w:t>——————————————————————————————————————————————————————————————————————</w:t>
      </w:r>
    </w:p>
    <w:p>
      <w:pPr>
        <w:spacing w:before="160" w:after="40" w:line="240" w:lineRule="auto"/>
      </w:pPr>
      <w:r>
        <w:rPr>
          <w:b/>
        </w:rPr>
        <w:t xml:space="preserve">[244] </w:t>
      </w:r>
      <w:hyperlink r:id="rId872">
        <w:r>
          <w:rPr>
            <w:color w:val="1155CC"/>
            <w:u w:val="single"/>
          </w:rPr>
          <w:t>布雷菲德菌素 A 对高尔基体后转运的可逆控制揭示了糖基磷脂酰肌醇锚定蛋白转运过程中内体成熟的再循环</w:t>
        </w:r>
      </w:hyperlink>
    </w:p>
    <w:p>
      <w:pPr>
        <w:spacing w:before="0" w:after="80"/>
      </w:pPr>
      <w:r>
        <w:rPr>
          <w:i/>
          <w:sz w:val="20"/>
        </w:rPr>
        <w:t>EN: Reversible control of post-Golgi transport by brefeldin A reveals recycling endosome maturation during glycosylphosphatidylinositol-anchored protein transport</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高尔基体后运输在建立和维持细胞功能中起着至关重要的作用；然而，其作用机制仍不清楚。因此，非常需要一种操纵高尔基体后运输的系统。在这项研究中，我们开发了一种布雷菲德菌素 A (BFA) 控制的系统，可以自由地阻断和重新启动高尔基体后运输，从而可以使用活细胞成像、电子显微镜和生化分析详细观察货物从高尔基体堆中退出的情况。使用该系统，可以可视化糖基磷脂酰肌醇锚定蛋白（GPI-AP）从反式高尔基体网络（TGN）到高尔基体相关回收内体（GA-RE）的转运。 GA-RE 在 GPI-AP 摄取过程中扩张，表明从 TGN 成熟为 RE，随后作为游离 RE 从高尔基体堆栈释放。 TGN 上形成管状和珠状 GPI-AP 阳性结构，这可能是从 TGN 转运 GPI-AP 的 GA-RE。 RE 在 AP-1 缺陷的细胞中成熟，而 GA-RE 脱离受损，并且观察到长管，从而延迟了 GPI-AP 向质膜的递送。</w:t>
      </w:r>
    </w:p>
    <w:p>
      <w:pPr>
        <w:spacing w:before="0" w:after="200" w:lineRule="auto" w:line="276"/>
      </w:pPr>
      <w:r>
        <w:rPr>
          <w:b/>
        </w:rPr>
        <w:t xml:space="preserve">Abstract (EN): </w:t>
      </w:r>
      <w:r>
        <w:t>Post-Golgi transport plays a crucial role in establishing and maintaining cellular function; however, its mechanism of action remains unclear. Therefore, a system to manipulate post-Golgi transport is highly desirable. In this study, we developed a brefeldin A (BFA)-controlled system to block and restart post-Golgi transport freely, allowing the detailed observation of cargo exit from Golgi stacks using live-cell imaging, electron microscopy, and biochemical analysis. Using this system, glycosylphosphatidylinositol-anchored protein (GPI-AP) transport from the trans-Golgi network (TGN) to Golgi-associated recycling endosomes (GA-REs) was visualized. GA-REs expanded during GPI-AP uptake, indicating maturation from the TGN into REs, which later detached as free REs released from the Golgi stacks. Tubular and pearled GPI-AP-positive structures formed on the TGN, which were likely GA-REs transporting GPI-AP from the TGN. REs matured in AP-1-deficient cells, whereas GA-RE detachment was impaired, and long-tubules were observed, thereby delaying GPI-AP delivery to the plasma membrane.</w:t>
      </w:r>
    </w:p>
    <w:p>
      <w:pPr>
        <w:spacing w:before="120" w:after="120"/>
      </w:pPr>
      <w:r>
        <w:rPr>
          <w:sz w:val="18"/>
        </w:rPr>
        <w:t>——————————————————————————————————————————————————————————————————————</w:t>
      </w:r>
    </w:p>
    <w:p>
      <w:pPr>
        <w:spacing w:before="160" w:after="40" w:line="240" w:lineRule="auto"/>
      </w:pPr>
      <w:r>
        <w:rPr>
          <w:b/>
        </w:rPr>
        <w:t xml:space="preserve">[245] </w:t>
      </w:r>
      <w:hyperlink r:id="rId873">
        <w:r>
          <w:rPr>
            <w:color w:val="1155CC"/>
            <w:u w:val="single"/>
          </w:rPr>
          <w:t>针对小鼠骨髓细胞的癌症免疫疗法需要内体模式识别</w:t>
        </w:r>
      </w:hyperlink>
    </w:p>
    <w:p>
      <w:pPr>
        <w:spacing w:before="0" w:after="80"/>
      </w:pPr>
      <w:r>
        <w:rPr>
          <w:i/>
          <w:sz w:val="20"/>
        </w:rPr>
        <w:t>EN: Cancer immunotherapy targeting murine myeloid cells requires endosomal pattern recognition</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对于许多癌症患者来说，免疫疗法现已成为一种既定且有效的治疗选择。然而，由于治疗耐药，部分患者的治疗效果仍然不佳。因此，开发新疗法需要清楚地了解耐药性的关键机制。在这里，我们采用小鼠模型来探索基于抗 MARCO (αMARCO) 和抗 PD-L1 (αPD-L1) 抗体介导的肿瘤相关巨噬细胞 (TAM) 靶向的免疫治疗方法。我们证明有效的免疫疗法依赖于功能性内体模式识别机制。我们确定内体 Toll 样受体 (TLR)，特别是 TLR9，通过调节炎性体成分的转录，使巨噬细胞对 αMARCO 治疗做出反应。 TLR 的缺失导致 TAM 对治疗无反应，同时保留免疫抑制表型。因此，我们发现细胞内 TLR 信号传导是免疫治疗功效的一个特征，需要 TAM 对治疗敏感，并表明 TLR 靶向可用于改善免疫治疗结果。</w:t>
      </w:r>
    </w:p>
    <w:p>
      <w:pPr>
        <w:spacing w:before="0" w:after="200" w:lineRule="auto" w:line="276"/>
      </w:pPr>
      <w:r>
        <w:rPr>
          <w:b/>
        </w:rPr>
        <w:t xml:space="preserve">Abstract (EN): </w:t>
      </w:r>
      <w:r>
        <w:t>Immunotherapy is now an established and efficient treatment option for many cancer patients. However, a proportion of patients still experience poor outcomes due to treatment resistance. Thus, a clear understanding of key mechanisms of resistance is needed for the development of new treatments. Here, we employ mouse models to explore an immunotherapeutic approach based on anti-MARCO (αMARCO) and anti-PD-L1 (αPD-L1) antibody-mediated targeting of tumor-associated macrophages (TAM). We demonstrate that effective immunotherapy relies on a functional endosomal pattern recognition machinery. We determine that endosomal Toll-like receptors (TLR), specifically TLR9, precondition macrophages to respond to αMARCO treatment by regulating the transcription of inflammasome components. Absence of TLRs renders TAMs unresponsive to treatment while retaining an immunosuppressive phenotype. Thus, we uncover the intracellular TLR signalling as a feature of immunotherapy efficacy, required to sensitise TAMs to treatment, and indicate that TLR targeting could be exploited to improve immunotherapeutic outcomes.</w:t>
      </w:r>
    </w:p>
    <w:p>
      <w:pPr>
        <w:spacing w:before="120" w:after="120"/>
      </w:pPr>
      <w:r>
        <w:rPr>
          <w:sz w:val="18"/>
        </w:rPr>
        <w:t>——————————————————————————————————————————————————————————————————————</w:t>
      </w:r>
    </w:p>
    <w:p>
      <w:pPr>
        <w:spacing w:before="160" w:after="40" w:line="240" w:lineRule="auto"/>
      </w:pPr>
      <w:r>
        <w:rPr>
          <w:b/>
        </w:rPr>
        <w:t xml:space="preserve">[246] </w:t>
      </w:r>
      <w:hyperlink r:id="rId874">
        <w:r>
          <w:rPr>
            <w:color w:val="1155CC"/>
            <w:u w:val="single"/>
          </w:rPr>
          <w:t>Kagome 金属的环路电流相中出现向列相和手性超导</w:t>
        </w:r>
      </w:hyperlink>
    </w:p>
    <w:p>
      <w:pPr>
        <w:spacing w:before="0" w:after="80"/>
      </w:pPr>
      <w:r>
        <w:rPr>
          <w:i/>
          <w:sz w:val="20"/>
        </w:rPr>
        <w:t>EN: Nematic and chiral superconductivity emerging within the loop-current phase in kagome metals</w:t>
      </w:r>
    </w:p>
    <w:p>
      <w:pPr>
        <w:spacing w:before="0" w:after="120"/>
      </w:pPr>
      <w:r>
        <w:rPr>
          <w:b/>
        </w:rPr>
        <w:t xml:space="preserve">Source: </w:t>
      </w:r>
      <w:r>
        <w:t>Physical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Kagome 金属 AV3Sb5（A = Cs、Rb、K）具有多个对称破缺相，包括电荷密度波和环电流级，并表现出具有明显向列性和手性的高度奇异的超导性。值得注意的是，即使是稀释的杂质也会将这种奇异的超导态转变为各向同性的横波态。这些观察结果对现有的理论情景提出了挑战。我们证明环路电流顺序会在 kagome 金属中诱导向列手性 d 波超导性。环路电流引起的轨道磁化（OM）稳定了一个手性超导通道。这种 OM 手性耦合机制是通用的，适用于由吸引或排斥相互作用驱动的配对。此外，共存的环路电流和键序会产生明显的向列手性超导性，即使对于几乎 C6 对称的费米表面也是如此。为了实现有吸引力的配对，稀释的杂质会抑制手性状态并恢复传统的 s 波相，正如实验所观察到的。该理论进一步预测了稳健的 2 × 2 对密度调制。这项研究为戈薇金属中打破时间反转对称性的奇异超导性提供了重要见解。</w:t>
      </w:r>
    </w:p>
    <w:p>
      <w:pPr>
        <w:spacing w:before="0" w:after="200" w:lineRule="auto" w:line="276"/>
      </w:pPr>
      <w:r>
        <w:rPr>
          <w:b/>
        </w:rPr>
        <w:t xml:space="preserve">Abstract (EN): </w:t>
      </w:r>
      <w:r>
        <w:t>The kagome metals AV3Sb5 (A = Cs, Rb, K) host multiple symmetry-breaking phases, including charge-density-wave and loop-current orders, and exhibit highly exotic superconductivity with pronounced nematicity and chirality. Remarkably, even dilute impurities transform this exotic superconducting state into an isotropic s-wave state. These observations pose a challenge to existing theoretical scenarios. We show that loop-current order induces nematic chiral d-wave superconductivity in kagome metals. The loop-current-induced orbital magnetization (OM) stabilizes one chiral superconducting channels. This OM-chirality coupling mechanism is generic and applies to pairing driven by either attractive or repulsive interactions. Furthermore, coexisting loop-current and bond orders give rise to pronounced nematic chiral superconductivity even for an almost C6-symmetric Fermi surface. For attractive pairing, dilute impurities suppress the chiral state and restore a conventional s-wave phase, as observed experimentally. The theory further predicts a robust 2 × 2 pair-density modulation. This study provides key insights into time-reversal-symmetry-breaking exotic superconductivity in kagome metals.</w:t>
      </w:r>
    </w:p>
    <w:p>
      <w:pPr>
        <w:spacing w:before="120" w:after="120"/>
      </w:pPr>
      <w:r>
        <w:rPr>
          <w:sz w:val="18"/>
        </w:rPr>
        <w:t>——————————————————————————————————————————————————————————————————————</w:t>
      </w:r>
    </w:p>
    <w:p>
      <w:pPr>
        <w:spacing w:before="160" w:after="40" w:line="240" w:lineRule="auto"/>
      </w:pPr>
      <w:r>
        <w:rPr>
          <w:b/>
        </w:rPr>
        <w:t xml:space="preserve">[247] </w:t>
      </w:r>
      <w:hyperlink r:id="rId875">
        <w:r>
          <w:rPr>
            <w:color w:val="1155CC"/>
            <w:u w:val="single"/>
          </w:rPr>
          <w:t>刚性联锁纳米粘土气凝胶用于协同检测和去除水中的有机污染物</w:t>
        </w:r>
      </w:hyperlink>
    </w:p>
    <w:p>
      <w:pPr>
        <w:spacing w:before="0" w:after="80"/>
      </w:pPr>
      <w:r>
        <w:rPr>
          <w:i/>
          <w:sz w:val="20"/>
        </w:rPr>
        <w:t>EN: Stiff interlocked nanoclay aerogels for synergistic detection and removal of organic contaminants in water</w:t>
      </w:r>
    </w:p>
    <w:p>
      <w:pPr>
        <w:spacing w:before="0" w:after="120"/>
      </w:pPr>
      <w:r>
        <w:rPr>
          <w:b/>
        </w:rPr>
        <w:t xml:space="preserve">Source: </w:t>
      </w:r>
      <w:r>
        <w:t>Physical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去除水中的有机污染物对于保护全球生态系统至关重要。然而，与可回收性和材料稳定性相关的挑战阻碍了有效的处理。受榫卯结构的启发，通过结构记忆效应和超临界干燥，开发了一系列具有互锁框架的Ca2+增强氨基酸插层层状双氢氧化物气凝胶。该气凝胶实现了抗压强度（40.1-45.5 MPa）和韧性的平衡，克服了传统无机气凝胶的脆性。它们可以去除多种水污染物，包括四环素、盐酸多西环素、甲基橙、刚果红和孔雀石绿，效率为 95.4 – 99.9%，同时在五个再生周期后保留其初始效率的 87%，并实现污染物检测，检测限为 710 nM。气凝胶在液氮和丁烷火焰暴露下还表现出强大的稳定性，以及阻燃性（极限氧指数约 100%）。这些发现凸显了它们在恶劣环境条件下净化水的潜力。</w:t>
      </w:r>
    </w:p>
    <w:p>
      <w:pPr>
        <w:spacing w:before="0" w:after="200" w:lineRule="auto" w:line="276"/>
      </w:pPr>
      <w:r>
        <w:rPr>
          <w:b/>
        </w:rPr>
        <w:t xml:space="preserve">Abstract (EN): </w:t>
      </w:r>
      <w:r>
        <w:t>Removing organic pollutants from water is essential for preserving global ecosystems. However, challenges related to recyclability and material stability hinder effective treatment. Inspired by the mortise-and-tenon structure, a series of Ca2+-enhanced amino acid-intercalated layered double hydroxide aerogels featuring an interlocked framework was developed via the structural memory effect and supercritical drying. The aerogels achieve a balance of compressive strength (40.1 − 45.5 MPa) and toughness, overcoming the brittleness of conventional inorganic aerogels. They can remove a broad range of water pollutants, including tetracycline, doxycycline hydrochloride, methyl orange, Congo red and malachite green, with efficiencies of 95.4 − 99.9%, while retaining 87% of their initial efficiency after five regeneration cycles and enabling pollutant detection with a detection limit of 710 nM. The aerogels also exhibit robust stability under liquid nitrogen and butane flame exposure, along with flame resistance (limiting oxygen index ≈ 100%). These findings highlight their potential for water purification under harsh environmental conditions.</w:t>
      </w:r>
    </w:p>
    <w:p>
      <w:pPr>
        <w:spacing w:before="120" w:after="120"/>
      </w:pPr>
      <w:r>
        <w:rPr>
          <w:sz w:val="18"/>
        </w:rPr>
        <w:t>——————————————————————————————————————————————————————————————————————</w:t>
      </w:r>
    </w:p>
    <w:p>
      <w:pPr>
        <w:spacing w:before="160" w:after="40" w:line="240" w:lineRule="auto"/>
      </w:pPr>
      <w:r>
        <w:rPr>
          <w:b/>
        </w:rPr>
        <w:t xml:space="preserve">[248] </w:t>
      </w:r>
      <w:hyperlink r:id="rId876">
        <w:r>
          <w:rPr>
            <w:color w:val="1155CC"/>
            <w:u w:val="single"/>
          </w:rPr>
          <w:t>通过光学传感器内计算实现相位无关的无线数据聚合</w:t>
        </w:r>
      </w:hyperlink>
    </w:p>
    <w:p>
      <w:pPr>
        <w:spacing w:before="0" w:after="80"/>
      </w:pPr>
      <w:r>
        <w:rPr>
          <w:i/>
          <w:sz w:val="20"/>
        </w:rPr>
        <w:t>EN: Phase-independent wireless data aggregation via optical in-sensor computing</w:t>
      </w:r>
    </w:p>
    <w:p>
      <w:pPr>
        <w:spacing w:before="0" w:after="120"/>
      </w:pPr>
      <w:r>
        <w:rPr>
          <w:b/>
        </w:rPr>
        <w:t xml:space="preserve">Source: </w:t>
      </w:r>
      <w:r>
        <w:t>Physical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物联网 (IoT) 的数据密集型特性对传统通信系统提出了重大挑战。虽然空中计算将通信和计算集成在一起以减少数据聚合负担，但它需要传输信号的严格同步，从而增加了系统开销。在这里，我们报告了一种光学传感器内无线数据聚合范例，该范例利用缺陷主导的持久光电导传感器中的光载流子捕获来减少对同步约束的依赖。在单个通信窗口内，系统可靠地聚合相对定时偏移超过信号持续时间高达 120% 的不相干光信号，同时实现低于 1.5% 归一化均方误差的计算误差。该过程实现了与脉冲低频读出的无偏集成，表明其超低功耗操作的潜力。基于此范式的分布式温度预测模型通过简化的架构表现出更快的收敛性和有竞争力的准确性，证明了分布式边缘传感场景的有效性。这项工作为大规模物联网边缘网络中的低功耗数据聚合提供了一种有前景的硬件实现。</w:t>
      </w:r>
    </w:p>
    <w:p>
      <w:pPr>
        <w:spacing w:before="0" w:after="200" w:lineRule="auto" w:line="276"/>
      </w:pPr>
      <w:r>
        <w:rPr>
          <w:b/>
        </w:rPr>
        <w:t xml:space="preserve">Abstract (EN): </w:t>
      </w:r>
      <w:r>
        <w:t>The data-intensive nature of the Internet of Things (IoT) significantly challenges conventional communication systems. While over-the-air computation integrates communication and computation to reduce data aggregation burdens, it requires strict synchronization of transmitted signals, increasing system overhead. Here, we report an optical in-sensor wireless data aggregation paradigm that exploits photocarrier trapping in defect-dominated persistent photoconductance sensors to reduce dependence on synchronization constraints. Within a single communication window, the system reliably aggregates incoherent optical signals with relative timing offsets exceeding the signal duration by up to 120%, while achieving computation errors below 1.5% normalized mean squared error. This process achieves unbiased integration with pulsed low-frequency readout, indicating its potential for ultra-low power operation. A distributed temperature prediction model based on this paradigm shows faster convergence and competitive accuracy with a simplified architecture, demonstrating effectiveness in distributed edge sensing scenarios. This work provides a promising hardware implementation for low-power data aggregation in large-scale IoT edge networks.</w:t>
      </w:r>
    </w:p>
    <w:p>
      <w:pPr>
        <w:spacing w:before="120" w:after="120"/>
      </w:pPr>
      <w:r>
        <w:rPr>
          <w:sz w:val="18"/>
        </w:rPr>
        <w:t>——————————————————————————————————————————————————————————————————————</w:t>
      </w:r>
    </w:p>
    <w:p>
      <w:pPr>
        <w:spacing w:before="160" w:after="40" w:line="240" w:lineRule="auto"/>
      </w:pPr>
      <w:r>
        <w:rPr>
          <w:b/>
        </w:rPr>
        <w:t xml:space="preserve">[249] </w:t>
      </w:r>
      <w:hyperlink r:id="rId877">
        <w:r>
          <w:rPr>
            <w:color w:val="1155CC"/>
            <w:u w:val="single"/>
          </w:rPr>
          <w:t>通过扭转-扩展-密封策略对映选择性合成环约束联芳基化合物</w:t>
        </w:r>
      </w:hyperlink>
    </w:p>
    <w:p>
      <w:pPr>
        <w:spacing w:before="0" w:after="80"/>
      </w:pPr>
      <w:r>
        <w:rPr>
          <w:i/>
          <w:sz w:val="20"/>
        </w:rPr>
        <w:t>EN: Enantioselective synthesis of ring-constrained biaryls via a twist-expand-seal strategy</w:t>
      </w:r>
    </w:p>
    <w:p>
      <w:pPr>
        <w:spacing w:before="0" w:after="120"/>
      </w:pPr>
      <w:r>
        <w:rPr>
          <w:b/>
        </w:rPr>
        <w:t xml:space="preserve">Source: </w:t>
      </w:r>
      <w:r>
        <w:t>Physical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环约束联芳基化合物具有独特的轴向手性，但合成具有可调节环尺寸的方法仍然有限。我们报告了一种“扭曲-扩展-密封”策略，用于制备一类独特的环状联芳基化合物，该环状联芳基化合物表现出轴向手性和构象约束，且环尺寸可调。该方法能够简化 9 至 14 元环状联芳基的合成，收率高达 99%，对映选择性高达 99% ee（49 个实例）。该方法首先通过双功能手性 N-杂环卡宾 (NHC) 催化剂（扭曲）介导“扁平”联芳基嵌入内酰胺的对映选择性开环。扩链是通过引入不同链长的醇来实现的（扩展），最终的闭环是通过不同的 C-C 或 C-N 键形成反应（密封）来完成的。可轻松实现可扩展的合成和随后的环转化。这项工作通过实现多种联芳基桥环支架的多功能合成，扩大了轴向手性的化学空间。</w:t>
      </w:r>
    </w:p>
    <w:p>
      <w:pPr>
        <w:spacing w:before="0" w:after="200" w:lineRule="auto" w:line="276"/>
      </w:pPr>
      <w:r>
        <w:rPr>
          <w:b/>
        </w:rPr>
        <w:t xml:space="preserve">Abstract (EN): </w:t>
      </w:r>
      <w:r>
        <w:t>Ring-constrained biaryls possess unique axial chirality, but methods to synthesize them with adjustable ring sizes remain limited. We report a “twist-expand-seal” strategy for preparing a unique class of cyclic biaryls that exhibit axial chirality and conformational constraint, with tunable ring sizes. This method enables the streamlined synthesis of 9- to 14-membered cyclic biaryls, achieving yields of up to 99% and enantioselectivities of up to 99% ee (49 examples). This approach begins with enantioselective ring-opening of a “flat” biaryl-embedded lactam mediated by a bifunctional chiral N-heterocyclic carbene (NHC) catalyst (twist). Chain expansion is achieved via introducing alcohols of varying chain lengths (expand), and the final ring closure is accomplished through diverse C–C or C–N bond-forming reactions (seal). Scalable synthesis and subsequent ring transformations are readily achieved. This work expands the chemical space of axial chirality by enabling the versatile synthesis of diverse biaryl-bridged ring scaffolds.</w:t>
      </w:r>
    </w:p>
    <w:p>
      <w:pPr>
        <w:spacing w:before="120" w:after="120"/>
      </w:pPr>
      <w:r>
        <w:rPr>
          <w:sz w:val="18"/>
        </w:rPr>
        <w:t>——————————————————————————————————————————————————————————————————————</w:t>
      </w:r>
    </w:p>
    <w:p>
      <w:pPr>
        <w:spacing w:before="160" w:after="40" w:line="240" w:lineRule="auto"/>
      </w:pPr>
      <w:r>
        <w:rPr>
          <w:b/>
        </w:rPr>
        <w:t xml:space="preserve">[250] </w:t>
      </w:r>
      <w:hyperlink r:id="rId878">
        <w:r>
          <w:rPr>
            <w:color w:val="1155CC"/>
            <w:u w:val="single"/>
          </w:rPr>
          <w:t>通过增强电容耦合实现高效生物界面的通用策略</w:t>
        </w:r>
      </w:hyperlink>
    </w:p>
    <w:p>
      <w:pPr>
        <w:spacing w:before="0" w:after="80"/>
      </w:pPr>
      <w:r>
        <w:rPr>
          <w:i/>
          <w:sz w:val="20"/>
        </w:rPr>
        <w:t>EN: A General Strategy for an Efficient Biointerface via Enhanced Capacitive Coupling</w:t>
      </w:r>
    </w:p>
    <w:p>
      <w:pPr>
        <w:spacing w:before="0" w:after="120"/>
      </w:pPr>
      <w:r>
        <w:rPr>
          <w:b/>
        </w:rPr>
        <w:t xml:space="preserve">Source: </w:t>
      </w:r>
      <w:r>
        <w:t>ACS Applied Materials &amp; Interfaces: Latest Articles (ACS Publications)</w:t>
      </w:r>
      <w:r>
        <w:t xml:space="preserve">    </w:t>
      </w:r>
      <w:r>
        <w:rPr>
          <w:b/>
        </w:rPr>
        <w:t xml:space="preserve">Pub date: </w:t>
      </w:r>
      <w:r>
        <w:t>2026-07-27 00:00:00+00:00</w:t>
      </w:r>
      <w:r>
        <w:t xml:space="preserve">    </w:t>
      </w:r>
      <w:r>
        <w:rPr>
          <w:b/>
        </w:rPr>
        <w:t xml:space="preserve">DOI: </w:t>
      </w:r>
      <w:hyperlink r:id="rId879">
        <w:r>
          <w:rPr>
            <w:color w:val="1155CC"/>
            <w:u w:val="single"/>
          </w:rPr>
          <w:t>10.1021/acsami.6c12120</w:t>
        </w:r>
      </w:hyperlink>
    </w:p>
    <w:p>
      <w:pPr>
        <w:spacing w:before="0" w:after="120"/>
      </w:pPr>
      <w:r>
        <w:rPr>
          <w:b/>
        </w:rPr>
        <w:t xml:space="preserve">Notes: </w:t>
      </w:r>
      <w:r>
        <w:t>abstract_source=pubmed</w:t>
      </w:r>
    </w:p>
    <w:p>
      <w:pPr>
        <w:spacing w:before="0" w:after="80" w:lineRule="auto" w:line="276"/>
      </w:pPr>
      <w:r>
        <w:rPr>
          <w:b/>
        </w:rPr>
        <w:t xml:space="preserve">摘要（ZH）: </w:t>
      </w:r>
      <w:r>
        <w:t>生物电子信号的可靠传感高度依赖于生物界面上的有效电荷转移，生物界面材料的结合将增强它。然而，仍然缺乏对界面电化学动力学的系统研究，并且尚未建立此类生物界面材料的通用制造标准。在这里，我们提出了一种通过增强电容耦合来促进界面电荷转移的总体策略。我们通过设计和合成水凝胶生物界面（HBI）来证明这一策略，该生物界面可提供强大的粘附力（粘附强度高达〜40 kPa）以及与不同生物电子学和组织的保形（杨氏模量&lt; 50 kPa）和顺应性（拉伸性超过400％）接触。重要的是，HBI 将电容提高了三倍，并在很宽的频率范围内降低了界面阻抗。具有 HBI 的生物电极能够在脊柱手术期间（持续约 3 小时）对运动诱发电位 (MEP) 进行术中神经监测。这些结果验证了我们提出的策略的有效性，该策略利用增强的电容耦合为实际应用建立高效稳定的电荷传输接口。</w:t>
      </w:r>
    </w:p>
    <w:p>
      <w:pPr>
        <w:spacing w:before="0" w:after="200" w:lineRule="auto" w:line="276"/>
      </w:pPr>
      <w:r>
        <w:rPr>
          <w:b/>
        </w:rPr>
        <w:t xml:space="preserve">Abstract (EN): </w:t>
      </w:r>
      <w:r>
        <w:t>Reliable sensing of bioelectronic signals is highly dependent on the efficient charge transfer at the biointerface, and the incorporation of biointerface materials would enhance it. Nevertheless, systematic investigations on interfacial electrochemical dynamics remain lacking, and universal fabrication criteria for such biointerface materials are yet to be established. Here, we propose a general strategy to promote interfacial charge transfer via enhancing capacitive coupling. We demonstrate this strategy by the design and synthesis of a hydrogel biointerface (HBI) that provides robust adhesion (adhesive strength up to ∼40 kPa) as well as conformal (Young's modulus &lt; 50 kPa) and compliant (stretchability over 400%) contact with diverse bioelectronics and tissues. Importantly, the HBI enhances the capacitance three-fold and reduces the interfacial impedance over a wide frequency range. Bioelectrodes with HBI are capable of intraoperative neuromonitoring of motor evoked potentials (MEPs) during spinal surgery (lasting approximately 3 h). These results verify the effectiveness of our proposed strategy, which leverages enhanced capacitive coupling to establish an efficient and stable charge transfer interface for practical applications.</w:t>
      </w:r>
    </w:p>
    <w:p>
      <w:pPr>
        <w:spacing w:before="120" w:after="120"/>
      </w:pPr>
      <w:r>
        <w:rPr>
          <w:sz w:val="18"/>
        </w:rPr>
        <w:t>——————————————————————————————————————————————————————————————————————</w:t>
      </w:r>
    </w:p>
    <w:p>
      <w:pPr>
        <w:spacing w:before="160" w:after="40" w:line="240" w:lineRule="auto"/>
      </w:pPr>
      <w:r>
        <w:rPr>
          <w:b/>
        </w:rPr>
        <w:t xml:space="preserve">[251] </w:t>
      </w:r>
      <w:hyperlink r:id="rId880">
        <w:r>
          <w:rPr>
            <w:color w:val="1155CC"/>
            <w:u w:val="single"/>
          </w:rPr>
          <w:t>MRTX1133 或 Daraxonrasib 靶向的致癌 Kras 与抗 CTLA4 特异性协同作用，促进胰腺癌的抗肿瘤免疫</w:t>
        </w:r>
      </w:hyperlink>
    </w:p>
    <w:p>
      <w:pPr>
        <w:spacing w:before="0" w:after="80"/>
      </w:pPr>
      <w:r>
        <w:rPr>
          <w:i/>
          <w:sz w:val="20"/>
        </w:rPr>
        <w:t>EN: Oncogenic Kras targeting with MRTX1133 or Daraxonrasib specifically synergize with anti-CTLA4 to promote anti-tumor immunity in pancreatic cancer</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胰腺导管腺癌 (PDAC) 中对致癌 Kras (Kras*) 抑制缺乏持续反应，这凸显了寻找有效联合疗法的必要性。在这里，我们证明使用 MRTX1133 或 Daraxonrasib 的 Kras* 靶向可招募不同的 T 细胞浸润，包括调节性 (Treg)、效应和耗尽的 T 细胞进入 PDAC 微环境。与抗 PD1、抗 Tim3、抗 Lag3、抗 Vista 和抗 4-1BB 激动剂联合疗法相比，Kras* 抑制可诱导 T 细胞流入，并提供一个治疗窗口，以特异性启动 PDAC 发挥抗 CTLA4 免疫检查点阻断功效。从机制上讲，抗 CTLA4 联合疗法通过转录将效应 Treg 重新编程为初始表型，逆转 CD8+ T 细胞耗竭，并促进功能性三级淋巴结构的募集以介导抗肿瘤免疫。单细胞 ATAC 测序表明，抗 CTLA4 引起的 Treg 重编程是通过 IL-35 启动子区域 AP-1 家族转录因子的下调来进行表观遗传调节的。这项研究揭示了 Kras* 靶向 PDAC 中适应性免疫反应的可操作漏洞，具有直接的临床意义。</w:t>
      </w:r>
    </w:p>
    <w:p>
      <w:pPr>
        <w:spacing w:before="0" w:after="200" w:lineRule="auto" w:line="276"/>
      </w:pPr>
      <w:r>
        <w:rPr>
          <w:b/>
        </w:rPr>
        <w:t xml:space="preserve">Abstract (EN): </w:t>
      </w:r>
      <w:r>
        <w:t>Lack of sustained response to oncogenic Kras (Kras*) inhibition in pancreatic ductal adenocarcinoma (PDAC) underscores the need to identify effective combination therapies. Here, we demonstrate that Kras* targeting using MRTX1133 or Daraxonrasib recruits diverse T-cell infiltrates, including regulatory (Tregs), effector and exhausted T cells into the PDAC microenvironment. Kras* inhibition induces T-cell influx and offers a therapeutic window to specifically prime PDAC to anti-CTLA4 immune checkpoint blockade efficacy, in contrast to anti-PD1, anti-Tim3, anti-Lag3, anti-Vista, and anti-4-1BB agonist combination therapy. Mechanistically, anti-CTLA4 combination therapy transcriptionally reprograms effector Tregs to a naive phenotype, reverses CD8+ T-cell exhaustion, and promotes recruitment of functional tertiary lymphoid structures to mediate anti-tumor immunity. Single-cell ATAC sequencing reveals that Treg reprogramming by anti-CTLA4 is epigenetically regulated by downregulation of AP-1 family transcription factors in the IL-35 promoter region. This study reveals an actionable vulnerability in the adaptive immune response in Kras* targeted PDAC with immediate clinical implications.</w:t>
      </w:r>
    </w:p>
    <w:p>
      <w:pPr>
        <w:spacing w:before="120" w:after="120"/>
      </w:pPr>
      <w:r>
        <w:rPr>
          <w:sz w:val="18"/>
        </w:rPr>
        <w:t>——————————————————————————————————————————————————————————————————————</w:t>
      </w:r>
    </w:p>
    <w:p>
      <w:pPr>
        <w:spacing w:before="160" w:after="40" w:line="240" w:lineRule="auto"/>
      </w:pPr>
      <w:r>
        <w:rPr>
          <w:b/>
        </w:rPr>
        <w:t xml:space="preserve">[252] </w:t>
      </w:r>
      <w:hyperlink r:id="rId881">
        <w:r>
          <w:rPr>
            <w:color w:val="1155CC"/>
            <w:u w:val="single"/>
          </w:rPr>
          <w:t>浓聚合物刷界面分层和磨损的多模态操作表征</w:t>
        </w:r>
      </w:hyperlink>
    </w:p>
    <w:p>
      <w:pPr>
        <w:spacing w:before="0" w:after="80"/>
      </w:pPr>
      <w:r>
        <w:rPr>
          <w:i/>
          <w:sz w:val="20"/>
        </w:rPr>
        <w:t>EN: Multimodal Operando Characterization of Layering and Wear at Concentrated Polymer Brush Interfaces</w:t>
      </w:r>
    </w:p>
    <w:p>
      <w:pPr>
        <w:spacing w:before="0" w:after="120"/>
      </w:pPr>
      <w:r>
        <w:rPr>
          <w:b/>
        </w:rPr>
        <w:t xml:space="preserve">Source: </w:t>
      </w:r>
      <w:r>
        <w:t>ACS Applied Materials &amp; Interfaces: Latest Articles (ACS Publications)</w:t>
      </w:r>
      <w:r>
        <w:t xml:space="preserve">    </w:t>
      </w:r>
      <w:r>
        <w:rPr>
          <w:b/>
        </w:rPr>
        <w:t xml:space="preserve">Pub date: </w:t>
      </w:r>
      <w:r>
        <w:t>2026-07-27 00:00:00+00:00</w:t>
      </w:r>
      <w:r>
        <w:t xml:space="preserve">    </w:t>
      </w:r>
      <w:r>
        <w:rPr>
          <w:b/>
        </w:rPr>
        <w:t xml:space="preserve">DOI: </w:t>
      </w:r>
      <w:hyperlink r:id="rId882">
        <w:r>
          <w:rPr>
            <w:color w:val="1155CC"/>
            <w:u w:val="single"/>
          </w:rPr>
          <w:t>10.1021/acsami.6c11287</w:t>
        </w:r>
      </w:hyperlink>
    </w:p>
    <w:p>
      <w:pPr>
        <w:spacing w:before="0" w:after="120"/>
      </w:pPr>
      <w:r>
        <w:rPr>
          <w:b/>
        </w:rPr>
        <w:t xml:space="preserve">Notes: </w:t>
      </w:r>
      <w:r>
        <w:t>abstract_source=pubmed</w:t>
      </w:r>
    </w:p>
    <w:p>
      <w:pPr>
        <w:spacing w:before="0" w:after="80" w:lineRule="auto" w:line="276"/>
      </w:pPr>
      <w:r>
        <w:rPr>
          <w:b/>
        </w:rPr>
        <w:t xml:space="preserve">摘要（ZH）: </w:t>
      </w:r>
      <w:r>
        <w:t>开发了一种集成表面力装置、光学干涉测量和拉曼光谱的多模式操作测量系统，用于研究良溶剂中浓聚合物刷 (CPB) 界面的分层、分子态演化和磨损。该系统能够同时监测压缩和滑动下固液界面的机械响应、界面间隙和分子行为。压缩过程中的操作测量表明，CPB 表现出由稀释层、半稀释层、中间层和浓缩层组成的分层分层结构，每个层的特征在于机械响应（Fz、Φz）和分子浓度分布中存在明显的过渡间隙。拉曼光谱分析进一步表明，CPB 导出的半峰全宽 ΓCPB 对所施加的载荷表现出非单调依赖性。这种行为被解释为受限 CPB 层中压缩引起的分子状态变化的拉曼可检测特征，反映了分子迁移率和局部结构异质性的变化。从高度膨胀、相对活动的状态到消肿、更受约束的分子状态的转变与CPB磨损的发生和加速密切相关。通过交替执行接触和摩擦测试实现的层分辨磨损分析表明，CPB 磨损通过随机断链模式进行，其中稀层不断再生，而浓层逐渐减少。滑动过程中的多模态操作测量表明，</w:t>
      </w:r>
    </w:p>
    <w:p>
      <w:pPr>
        <w:spacing w:before="0" w:after="200" w:lineRule="auto" w:line="276"/>
      </w:pPr>
      <w:r>
        <w:rPr>
          <w:b/>
        </w:rPr>
        <w:t xml:space="preserve">Abstract (EN): </w:t>
      </w:r>
      <w:r>
        <w:t>A multimodal operando measurement system integrating a surface force apparatus, optical interferometry, and Raman spectroscopy was developed to investigate layering, molecular-state evolution, and wear at concentrated polymer brush (CPB) interfaces in a good solvent. The system enables simultaneous monitoring of mechanical responses, interfacial gap, and molecular behavior at solid-liquid interfaces under both compression and sliding. Operando measurements during compression revealed that CPBs exhibit a hierarchical layered structure consisting of dilute, semidilute, middle, and concentrated layers, each characterized by distinct transition gaps in mechanical responses (Fz, ϕz) and molecular concentration profiles. Raman spectroscopic analysis further showed that the CPB-derived full width at half-maximum, ΓCPB, exhibits a nonmonotonic dependence on applied load. This behavior is interpreted as a Raman-detectable signature of compression-induced molecular-state changes in the confined CPB layer, reflecting changes in molecular mobility and local structural heterogeneity. The transition from a highly swollen, relatively mobile state to a deswollen, more constrained molecular state was closely associated with the onset and acceleration of CPB wear. Layer-resolved wear analysis, achieved by alternately performing contact and friction tests, demonstrated that CPB wear proceeds via a random chain-scission mode, in which the dilute layer is continuously regenerated while the concentrated layer gradually diminishes. Multimodal operando measurements during sliding revealed that this random scission is associated with localized tensile-strain-like deformation imposed on polymer chains under frictional shear in the glassy-like confined state. These results establish a unified operando framework linking hierarchical layering, compression-induced molecular-state changes, and wear mechanisms at polymer brush interfaces and provide design principles for achieving durable, superlow-friction polymer brush lubrication systems.</w:t>
      </w:r>
    </w:p>
    <w:p>
      <w:pPr>
        <w:spacing w:before="120" w:after="120"/>
      </w:pPr>
      <w:r>
        <w:rPr>
          <w:sz w:val="18"/>
        </w:rPr>
        <w:t>——————————————————————————————————————————————————————————————————————</w:t>
      </w:r>
    </w:p>
    <w:p>
      <w:pPr>
        <w:spacing w:before="160" w:after="40" w:line="240" w:lineRule="auto"/>
      </w:pPr>
      <w:r>
        <w:rPr>
          <w:b/>
        </w:rPr>
        <w:t xml:space="preserve">[253] </w:t>
      </w:r>
      <w:hyperlink r:id="rId883">
        <w:r>
          <w:rPr>
            <w:color w:val="1155CC"/>
            <w:u w:val="single"/>
          </w:rPr>
          <w:t>大语言模型驱动的急性肾损伤多中心预测和可解释的风险归因</w:t>
        </w:r>
      </w:hyperlink>
    </w:p>
    <w:p>
      <w:pPr>
        <w:spacing w:before="0" w:after="80"/>
      </w:pPr>
      <w:r>
        <w:rPr>
          <w:i/>
          <w:sz w:val="20"/>
        </w:rPr>
        <w:t>EN: Large language model driven multicenter prediction and explainable risk attribution of acute kidney injury</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急性肾损伤 (AKI) 是住院患者中一种危及生命的疾病，早期预测可以预防。尽管现有模型取得了进步，但临床实施仍然受到假阳性率过高（70%-94%）和缺乏可操作的临床见解的阻碍。我们进行了多中心回顾性队列研究，开发了两个模型的大语言模型框架：用于预测24小时内AKI发生的AKI-PM（预测模型）和用于提供可解释的风险归因的AKI-RAM（风险归因模型）。通过使用中国四家不同地区医院的 140,637 例住院患者队列，我们​​证明 AKI-PM 在内部验证中实现了较高的预测性能（曲线下面积 0.95，阳性预测值 0.68），并且在几次测试后在外部站点保持了强大的普遍性（曲线下面积 0.92-0.96，阳性预测值 0.69-0.74）。至关重要的是，AKI-RAM 通过区分可修改因素和不可修改因素并提供量身定制的建议，提供结构化的、临床上可操作的风险解释。在六位肾病专家对来自四家独立医院的 200 例病例进行的临床评估中，AKI-RAM 在八个维度上获得了高分（李克特量表：4.18-4.88），评估者间信度为中等至良好（组内相关系数：0.680-0.803）。该集成框架通过将准确性与可解释性相结合，解决了人工智能驱动的临床预测的关键局限性，为不同健康状况的早期 AKI 预防提供了可扩展的解决方案</w:t>
      </w:r>
    </w:p>
    <w:p>
      <w:pPr>
        <w:spacing w:before="0" w:after="200" w:lineRule="auto" w:line="276"/>
      </w:pPr>
      <w:r>
        <w:rPr>
          <w:b/>
        </w:rPr>
        <w:t xml:space="preserve">Abstract (EN): </w:t>
      </w:r>
      <w:r>
        <w:t>Acute kidney injury (AKI) represents a life-threatening condition among hospitalized patients, where early prediction enables prevention. Despite advances in existing models, clinical implementation remains hindered by excessive false positive rates (70%-94%) and lack of actionable clinical insights. We conduct a multi-center retrospective cohort study and develop a two-model large language model framework: AKI-PM (Prediction Model) for predicting AKI occurrence within 24 hours and AKI-RAM (Risk Attribution Model) for providing explainable risk attribution. Using a cohort of 140,637 hospital admissions across four geographically diverse Chinese hospitals, we demonstrate that AKI-PM achieves high predictive performance in internal validation (area under curve 0.95, positive predictive value 0.68) and maintains robust generalizability across external sites after few-shot (area under curve 0.92-0.96, positive predictive value 0.69-0.74). Crucially, AKI-RAM provides structured, clinically actionable risk explanations by distinguishing modifiable from non-modifiable factors and offering tailored recommendations. In a clinical evaluation of 200 cases from four independent hospitals by six nephrologists, AKI-RAM receives high scores across eight dimensions (Likert scale: 4.18-4.88) with moderate to good inter-rater reliability (intraclass correlation coefficients: 0.680-0.803). This integrated framework addresses critical limitations in AI-driven clinical prediction by combining accuracy with interpretability, offering a scalable solution for early AKI prevention in diverse healthcare settings.</w:t>
      </w:r>
    </w:p>
    <w:p>
      <w:pPr>
        <w:spacing w:before="120" w:after="120"/>
      </w:pPr>
      <w:r>
        <w:rPr>
          <w:sz w:val="18"/>
        </w:rPr>
        <w:t>——————————————————————————————————————————————————————————————————————</w:t>
      </w:r>
    </w:p>
    <w:p>
      <w:pPr>
        <w:spacing w:before="160" w:after="40" w:line="240" w:lineRule="auto"/>
      </w:pPr>
      <w:r>
        <w:rPr>
          <w:b/>
        </w:rPr>
        <w:t xml:space="preserve">[254] </w:t>
      </w:r>
      <w:hyperlink r:id="rId884">
        <w:r>
          <w:rPr>
            <w:color w:val="1155CC"/>
            <w:u w:val="single"/>
          </w:rPr>
          <w:t>单次或多次立体定向消融性全身放疗，随后使用 atezolizumab 治疗晚期三阴性乳腺癌：一项随机 II 期试验</w:t>
        </w:r>
      </w:hyperlink>
    </w:p>
    <w:p>
      <w:pPr>
        <w:spacing w:before="0" w:after="80"/>
      </w:pPr>
      <w:r>
        <w:rPr>
          <w:i/>
          <w:sz w:val="20"/>
        </w:rPr>
        <w:t>EN: Single-fraction or multi-fraction stereotactic ablative body radiotherapy followed by atezolizumab in advanced triple-negative breast cancer: a randomized phase II trial</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临床前证据表明，立体定向消融体放射治疗（SABR）与免疫检查点抑制相结合可以增强全身抗肿瘤反应，尽管最佳分割仍不确定。在这里，我们进行了一项 II 期多中心随机试验（AZTEC 试验；ClinicalTrials.gov 标识符 NCT03464942），以调查单次分次（SF：20 Gy；n = 27）或多次分次（MF：三次分次 24 Gy；n = 27）SABR 后抗 PD-L1 atezolizumab 对 54 名晚期三阴性乳腺癌（TNBC）女性的疗效和安全性。二线治疗。主要终点是无进展生存期（PFS）。次要终点包括最佳总体缓解率、临床获益率、总体生存率和安全性。我们观察到两个治疗组具有相似的疗效：SF 的中位 PFS 为 2.5 个月（90% CI：1.7-4.5），MF 为 3.1 个月（90% CI：1.8-3.9）。任一组均未拒绝原假设（2 个月的 PFS）。 5 名 SF 患者 (20%) 和 6 名 MF 患者 (25%) 实现了临床获益（RECIST 完全缓解/部分缓解或疾病稳定≥24 周），所有患者均患有寡转移疾病，与 PD-L1 表达无关。各组之间的不良事件相似。对外周血的预先设定的探索性分析发现，治疗前和治疗期间较高的 CD8 TPEX 细胞与改善的反应持续时间相关。 SABR 与 atezolizumab 联合使用是安全的，但需要进一步测试以确定对患有寡转移性疾病的晚期 TNBC 患者的疗效。</w:t>
      </w:r>
    </w:p>
    <w:p>
      <w:pPr>
        <w:spacing w:before="0" w:after="200" w:lineRule="auto" w:line="276"/>
      </w:pPr>
      <w:r>
        <w:rPr>
          <w:b/>
        </w:rPr>
        <w:t xml:space="preserve">Abstract (EN): </w:t>
      </w:r>
      <w:r>
        <w:t>Pre-clinical evidence suggests that stereotactic ablative body radiotherapy (SABR) can enhance systemic anti-tumor responses when combined with immune checkpoint inhibition, although optimal fractionation remains uncertain. Here we conducted a phase II multi-center randomized trial (AZTEC trial; ClinicalTrials.gov identifier NCT03464942) to investigate the efficacy and safety of single-fraction (SF: 20 Gy; n = 27) or multi-fraction (MF: 24 Gy in three fractions; n = 27) SABR followed by anti-PD-L1 atezolizumab in 54 women with advanced triple-negative breast cancer (TNBC) as first or second-line treatment. The primary endpoint was progression free survival (PFS). Secondary endpoints included best overall response rate, clinical benefit rate, overall survival and safety. We observed that both treatment arms had similar efficacy: median PFS was 2.5 months (90% CI: 1.7-4.5) for SF and 3.1 months (90% CI: 1.8-3.9) for MF. The null hypothesis (PFS of 2 months) was not rejected in either arm. Clinical benefit (RECIST complete response/partial response or stable disease for ≥24 weeks) was achieved in 5 (20%) SF and 6 (25%) MF patients, all with oligometastatic disease, independent of PD-L1 expression. Adverse events were similar between arms. Prespecified exploratory analysis of peripheral blood found higher CD8 TPEX cells before and during treatment correlated with improved response duration. Combining SABR with atezolizumab is safe, however further testing is required to determine efficacy for advanced TNBC patients with oligometastatic disease.</w:t>
      </w:r>
    </w:p>
    <w:p>
      <w:pPr>
        <w:spacing w:before="120" w:after="120"/>
      </w:pPr>
      <w:r>
        <w:rPr>
          <w:sz w:val="18"/>
        </w:rPr>
        <w:t>——————————————————————————————————————————————————————————————————————</w:t>
      </w:r>
    </w:p>
    <w:p>
      <w:pPr>
        <w:spacing w:before="160" w:after="40" w:line="240" w:lineRule="auto"/>
      </w:pPr>
      <w:r>
        <w:rPr>
          <w:b/>
        </w:rPr>
        <w:t xml:space="preserve">[255] </w:t>
      </w:r>
      <w:hyperlink r:id="rId885">
        <w:r>
          <w:rPr>
            <w:color w:val="1155CC"/>
            <w:u w:val="single"/>
          </w:rPr>
          <w:t>SLC26A11是一种非典型溶质载体，具有介导溶酶体硫酸盐转运的双通道功能</w:t>
        </w:r>
      </w:hyperlink>
    </w:p>
    <w:p>
      <w:pPr>
        <w:spacing w:before="0" w:after="80"/>
      </w:pPr>
      <w:r>
        <w:rPr>
          <w:i/>
          <w:sz w:val="20"/>
        </w:rPr>
        <w:t>EN: SLC26A11 is an atypical solute carrier with dual transport-channel function mediating lysosomal sulfate transport</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通常认为膜转运体和通道基于不同的结构和功能原理。 SLC26A11 是一种在大脑中高表达的溶质载体，被认为可以充当阴离子转运蛋白或通道。在这里，我们通过证明 SLC26A11 是一种双功能蛋白，能够同时充当硫酸盐转运蛋白和氯离子通道，解决了这种明显的差异。通过解析其结构并结合生化研究和分子动力学模拟，我们表明 SLC26A11 表现出二级转运蛋白的所有特征。其选择性离子转运的机制基础将该蛋白鉴定为难以捉摸的溶酶体硫酸盐输出蛋白。此外，我们证明 SLC26A11 表现出由质子：硫酸盐同向传递门控的非耦合通道状氯离子电导。我们发现氯离子传导状态由运输循环产生，可能有助于开发治疗脑水肿的治疗策略，并且鉴定其在溶酶体硫酸盐流出中的作用可能为研究和治疗溶酶体贮积病提供新方法。</w:t>
      </w:r>
    </w:p>
    <w:p>
      <w:pPr>
        <w:spacing w:before="0" w:after="200" w:lineRule="auto" w:line="276"/>
      </w:pPr>
      <w:r>
        <w:rPr>
          <w:b/>
        </w:rPr>
        <w:t xml:space="preserve">Abstract (EN): </w:t>
      </w:r>
      <w:r>
        <w:t>Membrane transporters and channels are generally assumed to be based on distinct structural and functional principles. SLC26A11, a solute carrier with high expression levels in the brain, has been proposed to function as either an anion transporter or a channel. Here, we resolve this apparent discrepancy by demonstrating that SLC26A11 is a dual-function protein capable of operating as both a sulfate transporter and a chloride channel. By resolving its structure and combining biochemical studies and molecular dynamics simulations, we show that SLC26A11 exhibits all the hallmarks of a secondary transporter. The mechanistic basis for its selective ion transport identifies the protein as the elusive lysosomal sulfate exporter. Additionally, we demonstrate that SLC26A11 exhibits an uncoupled, channel-like chloride conductance gated by proton:sulfate symport. Our finding that the chloride-conducting state arises from the transport cycle may contribute to the development of therapeutic strategies for treating brain edema, and the identification of its role in lysosome sulfate efflux may provide new approaches to study and treat lysosomal storage diseases.</w:t>
      </w:r>
    </w:p>
    <w:p>
      <w:pPr>
        <w:spacing w:before="120" w:after="120"/>
      </w:pPr>
      <w:r>
        <w:rPr>
          <w:sz w:val="18"/>
        </w:rPr>
        <w:t>——————————————————————————————————————————————————————————————————————</w:t>
      </w:r>
    </w:p>
    <w:p>
      <w:pPr>
        <w:spacing w:before="160" w:after="40" w:line="240" w:lineRule="auto"/>
      </w:pPr>
      <w:r>
        <w:rPr>
          <w:b/>
        </w:rPr>
        <w:t xml:space="preserve">[256] </w:t>
      </w:r>
      <w:hyperlink r:id="rId886">
        <w:r>
          <w:rPr>
            <w:color w:val="1155CC"/>
            <w:u w:val="single"/>
          </w:rPr>
          <w:t>SARS-CoV-2 宏域 Mac1 有效抑制剂的设计、基于结构的优化和抗病毒评估</w:t>
        </w:r>
      </w:hyperlink>
    </w:p>
    <w:p>
      <w:pPr>
        <w:spacing w:before="0" w:after="80"/>
      </w:pPr>
      <w:r>
        <w:rPr>
          <w:i/>
          <w:sz w:val="20"/>
        </w:rPr>
        <w:t>EN: Design, structure-based optimization and antiviral evaluation of potent inhibitors for the macrodomain Mac1 of SARS-CoV-2</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(+)ss-RNA 病毒的酶活性大结构域通过对抗 ADP-核糖基化介导免疫逃避，因此是有前途的药物靶标。在这里，我们报告了 ADP / ADP-核糖类似物抑制 SARS-CoV-2 Mac1 的能力的测试，测量活性化合物的亲和力并通过共结晶表征其结合模式，揭示蛋白质-配体相互作用的关键分子决定因素。由此产生的构效关系 (SAR) 的主要发现包括，通过用小烷基取代 ADP-核糖的远端核糖或用碳取代腺嘌呤 N7 可以提高抑制效力。根据 SAR 的见解，我们证明 β-甲基-GS-441524-二磷酸作为纳摩尔抑制剂，其选择性比人类 MacroD1 和 MacroD2 高 1000 倍。添加 C11-酰氧基苄基 (AB) 掩蔽基团可产生一种膜渗透性亲脂性前药，可抑制细胞培养物中的 SARS-CoV-2 (EC50 0.06 µM)，同时表现出低细胞毒性 (CC50 &gt; 50 µM)。用磷酸乙酯替换末端甲基磷酸酯可提高前药的稳定性，对毒性和抗病毒效力影响很小（EC50 = 0.03 µM），使其成为针对病毒大结构域的膜可渗透的基于核苷酸的前药。</w:t>
      </w:r>
    </w:p>
    <w:p>
      <w:pPr>
        <w:spacing w:before="0" w:after="200" w:lineRule="auto" w:line="276"/>
      </w:pPr>
      <w:r>
        <w:rPr>
          <w:b/>
        </w:rPr>
        <w:t xml:space="preserve">Abstract (EN): </w:t>
      </w:r>
      <w:r>
        <w:t>Enzymatically active macrodomains of (+)ss-RNA viruses mediate immune evasion by countering ADP-ribosylation and are therefore promising druggable targets. Here we report testing of ADP / ADP-ribose analogues for their ability to inhibit Mac1 of SARS-CoV-2, measurement of the affinity of active compounds and characterization of their binding mode by cocrystallization, uncovering critical molecular determinants of protein-ligand interaction. Key findings of the resulting structure-activity relationship (SAR) include that inhibitory potency is improved by either replacing the distal ribose of ADP-ribose by a small alkyl group or the adenine N7 by carbon. Based on insights from the SAR, we show β-methyl-GS-441524-diphosphate as nanomolar inhibitor that exhibits &gt;1000-fold selectivity over human MacroD1 and MacroD2. Addition of C11-acyloxybenzyl (AB)-masking groups yields a membrane permeable, lipophilic prodrug that inhibits SARS-CoV-2 in cell culture (EC50 0.06 µM) while exhibiting low cytotoxicity (CC50 &gt; 50 µM). Replacement of the terminal methyl phosphate with an ethyl phosphonate increases stability of the prodrug with little effect on toxicity and antiviral potency (EC50 = 0.03 µM), making it a membrane-permeable nucleotide-based prodrug against viral macrodomains.</w:t>
      </w:r>
    </w:p>
    <w:p>
      <w:pPr>
        <w:spacing w:before="120" w:after="120"/>
      </w:pPr>
      <w:r>
        <w:rPr>
          <w:sz w:val="18"/>
        </w:rPr>
        <w:t>——————————————————————————————————————————————————————————————————————</w:t>
      </w:r>
    </w:p>
    <w:p>
      <w:pPr>
        <w:spacing w:before="160" w:after="40" w:line="240" w:lineRule="auto"/>
      </w:pPr>
      <w:r>
        <w:rPr>
          <w:b/>
        </w:rPr>
        <w:t xml:space="preserve">[257] </w:t>
      </w:r>
      <w:hyperlink r:id="rId887">
        <w:r>
          <w:rPr>
            <w:color w:val="1155CC"/>
            <w:u w:val="single"/>
          </w:rPr>
          <w:t>Deferoxamine-B——功能化硅纳米线场效应晶体管接口，用于半导体工艺化学品中超低浓度 Fe 3+ 检测</w:t>
        </w:r>
      </w:hyperlink>
    </w:p>
    <w:p>
      <w:pPr>
        <w:spacing w:before="0" w:after="80"/>
      </w:pPr>
      <w:r>
        <w:rPr>
          <w:i/>
          <w:sz w:val="20"/>
        </w:rPr>
        <w:t>EN: Deferoxamine-B–Functionalized Silicon Nanowire Field-Effect Transistor Interfaces for Ultralow-Concentration Fe 3+ Detection in Semiconductor Process Chemicals</w:t>
      </w:r>
    </w:p>
    <w:p>
      <w:pPr>
        <w:spacing w:before="0" w:after="120"/>
      </w:pPr>
      <w:r>
        <w:rPr>
          <w:b/>
        </w:rPr>
        <w:t xml:space="preserve">Source: </w:t>
      </w:r>
      <w:r>
        <w:t>ACS Applied Materials &amp; Interfaces: Latest Articles (ACS Publications)</w:t>
      </w:r>
      <w:r>
        <w:t xml:space="preserve">    </w:t>
      </w:r>
      <w:r>
        <w:rPr>
          <w:b/>
        </w:rPr>
        <w:t xml:space="preserve">Pub date: </w:t>
      </w:r>
      <w:r>
        <w:t>2026-07-27 00:00:00+00:00</w:t>
      </w:r>
      <w:r>
        <w:t xml:space="preserve">    </w:t>
      </w:r>
      <w:r>
        <w:rPr>
          <w:b/>
        </w:rPr>
        <w:t xml:space="preserve">DOI: </w:t>
      </w:r>
      <w:hyperlink r:id="rId888">
        <w:r>
          <w:rPr>
            <w:color w:val="1155CC"/>
            <w:u w:val="single"/>
          </w:rPr>
          <w:t>10.1021/acsami.6c05478</w:t>
        </w:r>
      </w:hyperlink>
    </w:p>
    <w:p>
      <w:pPr>
        <w:spacing w:before="0" w:after="120"/>
      </w:pPr>
      <w:r>
        <w:rPr>
          <w:b/>
        </w:rPr>
        <w:t xml:space="preserve">Notes: </w:t>
      </w:r>
      <w:r>
        <w:t>abstract_source=pubmed</w:t>
      </w:r>
    </w:p>
    <w:p>
      <w:pPr>
        <w:spacing w:before="0" w:after="80" w:lineRule="auto" w:line="276"/>
      </w:pPr>
      <w:r>
        <w:rPr>
          <w:b/>
        </w:rPr>
        <w:t xml:space="preserve">摘要（ZH）: </w:t>
      </w:r>
      <w:r>
        <w:t>在工艺化学品中保持超低金属离子纯度对于半导体制造至关重要，其中微量 Fe3+ 污染可能导致介电击穿、良率损失和意外掺杂。电感耦合等离子体质谱 (ICP-MS) 提供出色的定性和定量灵敏度；然而，它需要专门的基础设施，耗时且成本高昂，并且不太适合快速现场筛查。在此，我们提出了一种去铁胺-B (DFO-B) 功能化硅纳米线场效应晶体管 (SiNW-FET)，专为超灵敏、无标记检测半导体级化学品中的 Fe3+ 而设计。通过醛-胺偶联，用 DFO-B 修饰混合 PEG 自组装单层，形成稳定、高亲和力的螯合界面。在水性 Fe3+ 标准品中，DFO-B 功能化 SiNW-FET 表现出 10-15 至 10-11 M 的线性响应，实际 LOD 为 10-15 M，高于能斯特的灵敏度为 -24 mV dec-1。在化学复杂的基质中，实际的分析边界向上移动，在 23 元素混合离子基质中大约 10-12 M 处观察到可靠的 Fe3+ 响应，在高度稀释的 IPA 衍生多元素基质中大约 10-13 M 处观察到可靠的 Fe3+ 响应。机理分析使用涉及螯合相关化学电容、配位诱导界面极化和质子化态效应的等效电路框架合理化上述能斯特响应。该传感器在测试的干扰条件下表现出优先的 Fe3+ 响应，并在混合离子和高度稀释的情况下保持运行</w:t>
      </w:r>
    </w:p>
    <w:p>
      <w:pPr>
        <w:spacing w:before="0" w:after="200" w:lineRule="auto" w:line="276"/>
      </w:pPr>
      <w:r>
        <w:rPr>
          <w:b/>
        </w:rPr>
        <w:t xml:space="preserve">Abstract (EN): </w:t>
      </w:r>
      <w:r>
        <w:t>Maintaining ultralow metal-ion purity in process chemicals is crucial in semiconductor fabrication, where trace Fe3+ contamination can lead to dielectric breakdown, yield loss, and unintended doping. Inductively coupled plasma mass spectrometry (ICP-MS) provides excellent qualitative and quantitative sensitivity; however, it requires specialized infrastructure, is time-consuming and costly, and is not well suited for rapid on-site screening. Herein, we present a deferoxamine-B (DFO-B)-functionalized silicon nanowire field-effect transistor (SiNW-FET) engineered for the ultrasensitive, label-free detection of Fe3+ in semiconductor-grade chemicals. Mixed PEG self-assembled monolayers were modified with DFO-B via aldehyde-amine coupling to form a stable, high-affinity chelation interface. In aqueous Fe3+ standards, the DFO-B-functionalized SiNW-FET exhibited a linear response from 10-15 to 10-11 M, with a practical LOD of 10-15 M and an above-Nernst sensitivity of -24 mV dec-1. In chemically complex matrices, the practical analytical boundary shifted upward, with reliable Fe3+ responses observed at approximately 10-12 M in a 23-element mixed-ion matrix and ∼10-13 M in a highly diluted IPA-derived multi-element matrix. Mechanistic analysis rationalizes the above-Nernst response using an equivalent-circuit framework involving chelation-associated chemical capacitance, coordination-induced interfacial polarization, and protonation-state effects. The sensor showed preferential Fe3+ response under tested interferent conditions and remained operational in mixed-ion and highly diluted IPA-containing matrices, while also revealing matrix-dependent shifts in analytical performance. This work introduces a rapid on-site Fe3+ screening approach based on a portable and potentially in situ-compatible SiNW-FET platform that can complement ICP-MS for contamination assessment, while establishing a modular sensing interface that can be extended to other transition metals through ligand substitution. With integration into microfluidic sample handling and CMOS-compatible readout, this technology offers a portable, point-of-use Fe3+ screening through a discrete incubation-rinse-electrical readout workflow.</w:t>
      </w:r>
    </w:p>
    <w:p>
      <w:pPr>
        <w:spacing w:before="120" w:after="120"/>
      </w:pPr>
      <w:r>
        <w:rPr>
          <w:sz w:val="18"/>
        </w:rPr>
        <w:t>——————————————————————————————————————————————————————————————————————</w:t>
      </w:r>
    </w:p>
    <w:p>
      <w:pPr>
        <w:spacing w:before="160" w:after="40" w:line="240" w:lineRule="auto"/>
      </w:pPr>
      <w:r>
        <w:rPr>
          <w:b/>
        </w:rPr>
        <w:t xml:space="preserve">[258] </w:t>
      </w:r>
      <w:hyperlink r:id="rId889">
        <w:r>
          <w:rPr>
            <w:color w:val="1155CC"/>
            <w:u w:val="single"/>
          </w:rPr>
          <w:t>3,4-二氢嘧啶-2-(1H)-one基阳离子表面活性剂：合成、自组装和抗菌活性</w:t>
        </w:r>
      </w:hyperlink>
    </w:p>
    <w:p>
      <w:pPr>
        <w:spacing w:before="0" w:after="80"/>
      </w:pPr>
      <w:r>
        <w:rPr>
          <w:i/>
          <w:sz w:val="20"/>
        </w:rPr>
        <w:t>EN: 3,4-Dihydropyrimidin-2-(1H)-one-Based Cationic Surfactants: Synthesis, Self-Assembly, and Antimicrobial Activity</w:t>
      </w:r>
    </w:p>
    <w:p>
      <w:pPr>
        <w:spacing w:before="0" w:after="120"/>
      </w:pPr>
      <w:r>
        <w:rPr>
          <w:b/>
        </w:rPr>
        <w:t xml:space="preserve">Source: </w:t>
      </w:r>
      <w:r>
        <w:t>ACS Applied Materials &amp; Interfaces: Latest Articles (ACS Publications)</w:t>
      </w:r>
      <w:r>
        <w:t xml:space="preserve">    </w:t>
      </w:r>
      <w:r>
        <w:rPr>
          <w:b/>
        </w:rPr>
        <w:t xml:space="preserve">Pub date: </w:t>
      </w:r>
      <w:r>
        <w:t>2026-07-27 00:00:00+00:00</w:t>
      </w:r>
      <w:r>
        <w:t xml:space="preserve">    </w:t>
      </w:r>
      <w:r>
        <w:rPr>
          <w:b/>
        </w:rPr>
        <w:t xml:space="preserve">DOI: </w:t>
      </w:r>
      <w:hyperlink r:id="rId890">
        <w:r>
          <w:rPr>
            <w:color w:val="1155CC"/>
            <w:u w:val="single"/>
          </w:rPr>
          <w:t>10.1021/acsami.6c07588</w:t>
        </w:r>
      </w:hyperlink>
    </w:p>
    <w:p>
      <w:pPr>
        <w:spacing w:before="0" w:after="120"/>
      </w:pPr>
      <w:r>
        <w:rPr>
          <w:b/>
        </w:rPr>
        <w:t xml:space="preserve">Notes: </w:t>
      </w:r>
      <w:r>
        <w:t>abstract_source=pubmed</w:t>
      </w:r>
    </w:p>
    <w:p>
      <w:pPr>
        <w:spacing w:before="0" w:after="80" w:lineRule="auto" w:line="276"/>
      </w:pPr>
      <w:r>
        <w:rPr>
          <w:b/>
        </w:rPr>
        <w:t xml:space="preserve">摘要（ZH）: </w:t>
      </w:r>
      <w:r>
        <w:t>以4-二甲氨基苯甲醛为原料，通过绿色多组分反应合成了烷基尾长为8、12和16个碳的3,4-二氢嘧啶-2-(1H)-酮(DHPM)基阳离子表面活性剂并进行了表征。通过电导测定法、张力测定法和荧光测定法测定合成表面活性剂的自组装行为。还计算了表面参数，包括表面张力降低的有效性、最大表面过量浓度、每个分子的最小面积、表面活性剂效率以及热力学吸附和胶束化参数。研究发现，DHPM 基表面活性剂的表面活性随着疏水性而增加，298.15 K 时临界胶束浓度从 0.067 降低至 0.040 mM 证明了这一点。乳液稳定性和界面张力受到表面活性剂疏水链长度的显着影响。通过动态光散射测量了胶束溶液的 Z 均值、多分散指数和 zeta 电位，揭示了 Z 均值和表面活性剂疏水性之间的负相关性，这一点得到了透射电子显微镜的进一步支持。通过荧光猝灭测定聚集数。基于 DHPM 的表面活性剂对六种病原微生物（包括革兰氏阳性和革兰氏阴性细菌和真菌）的抗菌功效进行了评估，以评估抗菌效力的差异。分子对接揭示了表面活性剂头基与细菌细胞壁成分之间的相互作用。</w:t>
      </w:r>
    </w:p>
    <w:p>
      <w:pPr>
        <w:spacing w:before="0" w:after="200" w:lineRule="auto" w:line="276"/>
      </w:pPr>
      <w:r>
        <w:rPr>
          <w:b/>
        </w:rPr>
        <w:t xml:space="preserve">Abstract (EN): </w:t>
      </w:r>
      <w:r>
        <w:t>3,4-Dihydropyrimidin-2-(1H)-one (DHPM)-based cationic surfactants with alkyl tail lengths of 8, 12, and 16 carbons were synthesized from 4-dimethylaminobenzaldehyde by the green multicomponent reaction and characterized. The self-assembling behavior of the synthesized surfactants was determined by conductometry, tensiometry, and fluorimetry. Surface parameters, including the effectiveness of surface tension reduction, maximum surface excess concentration, minimum area per molecule, surfactant efficiency, and thermodynamic adsorption and micellization parameters, were also calculated. The surface activity of DHPM-based surfactants is found to increase with hydrophobicity, as evidenced by a reduction in critical micelle concentration from 0.067 to 0.040 mM at 298.15 K. Emulsion stability and interfacial tension were significantly influenced by the hydrophobic chain length of the surfactants. The Z-average, polydispersity index, and zeta potential of the micellar solutions were measured by dynamic light scattering, revealing an inverse correlation between the Z-average and surfactant hydrophobicity, which was further supported by transmission electron microscopy. The aggregation number was determined by fluorescence quenching. The antimicrobial efficacy of DHPM-based surfactants was evaluated against six pathogenic microbes, including both gram-positive and gram-negative bacteria and fungi, to assess differences in antimicrobial potency. Molecular docking revealed interactions between surfactant head groups and bacterial cell wall components.</w:t>
      </w:r>
    </w:p>
    <w:p>
      <w:pPr>
        <w:spacing w:before="120" w:after="120"/>
      </w:pPr>
      <w:r>
        <w:rPr>
          <w:sz w:val="18"/>
        </w:rPr>
        <w:t>——————————————————————————————————————————————————————————————————————</w:t>
      </w:r>
    </w:p>
    <w:p>
      <w:pPr>
        <w:spacing w:before="160" w:after="40" w:line="240" w:lineRule="auto"/>
      </w:pPr>
      <w:r>
        <w:rPr>
          <w:b/>
        </w:rPr>
        <w:t xml:space="preserve">[259] </w:t>
      </w:r>
      <w:hyperlink r:id="rId891">
        <w:r>
          <w:rPr>
            <w:color w:val="1155CC"/>
            <w:u w:val="single"/>
          </w:rPr>
          <w:t>由高效热激活延迟荧光敏化剂实现的高性能天蓝色超荧光有机发光二极管，可抑制效率滚降</w:t>
        </w:r>
      </w:hyperlink>
    </w:p>
    <w:p>
      <w:pPr>
        <w:spacing w:before="0" w:after="80"/>
      </w:pPr>
      <w:r>
        <w:rPr>
          <w:i/>
          <w:sz w:val="20"/>
        </w:rPr>
        <w:t>EN: High-Performance Sky-Blue Hyperfluorescence Organic Light-Emitting Diodes Enabled by Efficient Thermally Activated Delayed Fluorescence Sensitizers with Suppressed Efficiency Roll-Off</w:t>
      </w:r>
    </w:p>
    <w:p>
      <w:pPr>
        <w:spacing w:before="0" w:after="120"/>
      </w:pPr>
      <w:r>
        <w:rPr>
          <w:b/>
        </w:rPr>
        <w:t xml:space="preserve">Source: </w:t>
      </w:r>
      <w:r>
        <w:t>ACS Applied Materials &amp; Interfaces: Latest Articles (ACS Publications)</w:t>
      </w:r>
      <w:r>
        <w:t xml:space="preserve">    </w:t>
      </w:r>
      <w:r>
        <w:rPr>
          <w:b/>
        </w:rPr>
        <w:t xml:space="preserve">Pub date: </w:t>
      </w:r>
      <w:r>
        <w:t>2026-07-27 00:00:00+00:00</w:t>
      </w:r>
      <w:r>
        <w:t xml:space="preserve">    </w:t>
      </w:r>
      <w:r>
        <w:rPr>
          <w:b/>
        </w:rPr>
        <w:t xml:space="preserve">DOI: </w:t>
      </w:r>
      <w:hyperlink r:id="rId892">
        <w:r>
          <w:rPr>
            <w:color w:val="1155CC"/>
            <w:u w:val="single"/>
          </w:rPr>
          <w:t>10.1021/acsami.6c10353</w:t>
        </w:r>
      </w:hyperlink>
    </w:p>
    <w:p>
      <w:pPr>
        <w:spacing w:before="0" w:after="120"/>
      </w:pPr>
      <w:r>
        <w:rPr>
          <w:b/>
        </w:rPr>
        <w:t xml:space="preserve">Notes: </w:t>
      </w:r>
      <w:r>
        <w:t>abstract_source=pubmed</w:t>
      </w:r>
    </w:p>
    <w:p>
      <w:pPr>
        <w:spacing w:before="0" w:after="80" w:lineRule="auto" w:line="276"/>
      </w:pPr>
      <w:r>
        <w:rPr>
          <w:b/>
        </w:rPr>
        <w:t xml:space="preserve">摘要（ZH）: </w:t>
      </w:r>
      <w:r>
        <w:t>高性能蓝色发射器仍然是下一代有机发光二极管（OLED）显示器的主要瓶颈。尽管多共振热激活延迟荧光 (MR-TADF) 材料可提供出色的色纯度，但其实际使用通常受到缓慢的反向系间窜越 (RISC) 的限制，导致三线态累积、效率滚降和器件退化。在这里，我们报告了由吲哚并咔唑供体和二苯甲酮受体构建的三种聚集诱导发射TADF发射器（23PalCBP、23PclCBP和32PclCBP）。其中，32PclCBP在掺杂薄膜中表现出非常小的单线态-三线态能隙（ΔEST = 0.01 eV）和0.88的高光致发光量子产率（PLQY），使OLED的最大外量子效率（EQEmax）达到29.3％。当用作具有 MR-TADF 发射器 BNMIPAPh 的超荧光 (HF) 装置中的敏化剂时，两种敏化系统均可发出半峰全宽为 27 nm 的窄带蓝色发射。 32PclCBP 敏化器件实现了均衡的性能，EQEmax 为 28.6%，在 1000 cd m-2 时效率滚降大幅降低 22.7%，并且相对于非敏化 MR-TADF 参考器件，运行稳定性略有提高。相比之下，23PalCBP 敏化器件的 EQEmax 更高，为 30.9%，但效率滚降更大，为 31.1%。这些结果表明，多个光物理参数的协同优化，包括高 PLQY、低非辐射衰减、小 ΔEST 和适度的 RISC 动力学，可以实现高效</w:t>
      </w:r>
    </w:p>
    <w:p>
      <w:pPr>
        <w:spacing w:before="0" w:after="200" w:lineRule="auto" w:line="276"/>
      </w:pPr>
      <w:r>
        <w:rPr>
          <w:b/>
        </w:rPr>
        <w:t xml:space="preserve">Abstract (EN): </w:t>
      </w:r>
      <w:r>
        <w:t>High-performance blue emitters remain a major bottleneck for next-generation organic light-emitting diode (OLED) displays. Although multiresonance thermally activated delayed fluorescence (MR-TADF) materials offer exceptional color purity, their practical use is often limited by slow reverse intersystem crossing (RISC), leading to triplet accumulation, efficiency roll-off, and device degradation. Here, we report three aggregation-induced emission TADF emitters (23PalCBP, 23PclCBP, and 32PclCBP) constructed from indolocarbazole donors and a benzophenone acceptor. Among them, 32PclCBP exhibits a very small singlet-triplet energy gap (ΔEST = 0.01 eV) and a high photoluminescence quantum yield (PLQY) of 0.88 in doped films, affording OLEDs with a maximum external quantum efficiency (EQEmax) of 29.3%. When employed as sensitizers in hyperfluorescence (HF) devices with the MR-TADF emitter BNMIPAPh, both sensitized systems deliver narrowband blue emission with a full width at half-maximum of 27 nm. The 32PclCBP-sensitized device achieves a balanced performance with an EQEmax of 28.6% and a substantially reduced efficiency roll-off of 22.7% at 1000 cd m-2, together with modestly improved operational stability relative to the nonsensitized MR-TADF reference. In comparison, the 23PalCBP-sensitized device affords a higher EQEmax of 30.9%, albeit with a larger efficiency roll-off of 31.1%. These results demonstrate that the synergistic optimization of multiple photophysical parameters, including high PLQY, low nonradiative decay, small ΔEST, and moderate RISC kinetics, enables efficient, high-color-purity, and low-roll-off sky-blue HF OLEDs.</w:t>
      </w:r>
    </w:p>
    <w:p>
      <w:pPr>
        <w:spacing w:before="120" w:after="120"/>
      </w:pPr>
      <w:r>
        <w:rPr>
          <w:sz w:val="18"/>
        </w:rPr>
        <w:t>——————————————————————————————————————————————————————————————————————</w:t>
      </w:r>
    </w:p>
    <w:p>
      <w:pPr>
        <w:spacing w:before="160" w:after="40" w:line="240" w:lineRule="auto"/>
      </w:pPr>
      <w:r>
        <w:rPr>
          <w:b/>
        </w:rPr>
        <w:t xml:space="preserve">[260] </w:t>
      </w:r>
      <w:hyperlink r:id="rId893">
        <w:r>
          <w:rPr>
            <w:color w:val="1155CC"/>
            <w:u w:val="single"/>
          </w:rPr>
          <w:t>人类妊娠自发性早产前的免疫适应不良</w:t>
        </w:r>
      </w:hyperlink>
    </w:p>
    <w:p>
      <w:pPr>
        <w:spacing w:before="0" w:after="80"/>
      </w:pPr>
      <w:r>
        <w:rPr>
          <w:i/>
          <w:sz w:val="20"/>
        </w:rPr>
        <w:t>EN: Immunological maladaptation preceding spontaneous preterm birth in human pregnancies</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大多数自发性早产 (sPTB) 的发生没有可识别的临床指征或明显的危险因素。分娩时母体免疫适应失调与 sPTB 有关。然而，对于 sPTB 之前的母体免疫动态仍然缺乏准确的了解。在这里，我们在低风险、基于人群的妊娠队列中进行的一项巢式病例对照研究中表明，母亲血液中的异常免疫适应先于 sPTB 数周至数月，并将 sPTB 病例与足月对照病例区分开来（AUROC：0.7）。显着特征包括在妊娠早期和中期，免疫细胞对肾上腺素刺激的反应增强，随后与足月妊娠相比，sPTB 在妊娠晚期促炎细胞因子的产生增加。对妊娠中期单细胞 CD4+ T 细胞的转录组分析揭示了 sPTB 妊娠中 Th17 偏向的神经活性蛋白反应表型。我们的研究提供了多组学资源和概念框架，用于早期识别 sPTB 风险增加的个体，对推进有针对性的预防措施具有广泛的转化意义。</w:t>
      </w:r>
    </w:p>
    <w:p>
      <w:pPr>
        <w:spacing w:before="0" w:after="200" w:lineRule="auto" w:line="276"/>
      </w:pPr>
      <w:r>
        <w:rPr>
          <w:b/>
        </w:rPr>
        <w:t xml:space="preserve">Abstract (EN): </w:t>
      </w:r>
      <w:r>
        <w:t>The majority of spontaneous preterm births (sPTB) occurs without identifiable clinical indications or apparent risk factors. A dysregulated maternal immune adaptation at delivery has been associated with sPTB. Yet, a precise understanding of maternal immune dynamics preceding sPTB remains lacking. Here we show, in a nested case-control study within a low-risk, population-based pregnancy cohort, that an abnormal immune adaptation in mothers’ blood precedes sPTB by weeks to months and discriminates sPTB cases from term controls (AUROC: 0.7). Prominent features include enhanced immune cell responses to an adrenergic stimulus during the first and second trimesters, followed by increased production of pro-inflammatory cytokines in the third trimester in sPTB vs. term pregnancies. Transcriptome analysis of second trimester single-cell CD4+ T cells reveals a Th17-skewed, neuroactive-protein responsive phenotype in sPTB pregnancies. Our study provides a multi-omics resource and a conceptual framework for early identification of individuals at increased risk for sPTB with broad translational implications for advancing targeted preventive measures.</w:t>
      </w:r>
    </w:p>
    <w:p>
      <w:pPr>
        <w:spacing w:before="120" w:after="120"/>
      </w:pPr>
      <w:r>
        <w:rPr>
          <w:sz w:val="18"/>
        </w:rPr>
        <w:t>——————————————————————————————————————————————————————————————————————</w:t>
      </w:r>
    </w:p>
    <w:p>
      <w:pPr>
        <w:spacing w:before="160" w:after="40" w:line="240" w:lineRule="auto"/>
      </w:pPr>
      <w:r>
        <w:rPr>
          <w:b/>
        </w:rPr>
        <w:t xml:space="preserve">[261] </w:t>
      </w:r>
      <w:hyperlink r:id="rId894">
        <w:r>
          <w:rPr>
            <w:color w:val="1155CC"/>
            <w:u w:val="single"/>
          </w:rPr>
          <w:t>肥胖导致的微生物 GABA 耗竭促进代谢重组和结直肠癌进展</w:t>
        </w:r>
      </w:hyperlink>
    </w:p>
    <w:p>
      <w:pPr>
        <w:spacing w:before="0" w:after="80"/>
      </w:pPr>
      <w:r>
        <w:rPr>
          <w:i/>
          <w:sz w:val="20"/>
        </w:rPr>
        <w:t>EN: Obesity-driven microbial GABA depletion promotes metabolic rewiring and colorectal cancer progression</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肥胖是结直肠癌（CRC）的主要危险因素，但肥胖相关肠道菌群失调与肿瘤进展之间的联系机制仍不清楚。在这里，我们发现肥胖相关结直肠癌患者的高脂肪饮食和粪便微生物群会消耗产生 GABA 的共生卵形拟杆菌，导致管腔 GABA 减少并加速肿瘤发生。微生物 GABA 激活上皮 GABAB 受体信号传导并通过 PI3K-HIF1α 途径诱导 TPI1。 TPI1 衍生的 3-磷酸甘油醛的增加会抑制 PPP1CA，维持 YAP 磷酸化，限制核 YAP 活性，并抑制磷酸戊糖途径通量，从而限制肿瘤生长。与肥胖相关的 CRC 一致表现出粪便 GABA 减少、TPI1 表达减少和代谢重新布线。尽管正常定植，GABA 缺陷型 B. ovatus 突变体仍无法恢复 GABA 或抑制肿瘤，而口服 GABA 补充或用野生型 B. ovatus 重新定植可显着减轻肿瘤负荷。这些发现确定了将肥胖与结直肠癌联系起来的微生物群-神经递质-代谢轴，并表明基于微生物群的 GABA 恢复是一种潜在的预防策略。</w:t>
      </w:r>
    </w:p>
    <w:p>
      <w:pPr>
        <w:spacing w:before="0" w:after="200" w:lineRule="auto" w:line="276"/>
      </w:pPr>
      <w:r>
        <w:rPr>
          <w:b/>
        </w:rPr>
        <w:t xml:space="preserve">Abstract (EN): </w:t>
      </w:r>
      <w:r>
        <w:t>Obesity is a major risk factor for colorectal cancer (CRC), yet the mechanisms linking obesity-associated gut dysbiosis to tumor progression remain unclear. Here, we show that a high-fat diet and fecal microbiota from patients with obesity-associated CRC deplete the GABA-producing commensal Bacteroides ovatus, resulting in reduced luminal GABA and accelerated tumorigenesis. Microbial GABA activates epithelial GABAB receptor signaling and induces TPI1 through the PI3K–HIF1α pathway. Increased TPI1-derived glyceraldehyde-3-phosphate inhibits PPP1CA, maintains YAP phosphorylation, restricts nuclear YAP activity, and suppresses pentose phosphate pathway flux, thereby limiting tumor growth. Consistently, obesity-associated CRC exhibits reduced fecal GABA, decreased TPI1 expression, and metabolic rewiring. A GABA-deficient B. ovatus mutant fails to restore GABA or suppress tumors despite normal colonization, whereas oral GABA supplementation or recolonization with wild-type B. ovatus markedly reduces tumor burden. These findings identify a microbiota–neurotransmitter–metabolism axis linking obesity to CRC and suggest microbiota-based GABA restoration as a potential preventive strategy.</w:t>
      </w:r>
    </w:p>
    <w:p>
      <w:pPr>
        <w:spacing w:before="120" w:after="120"/>
      </w:pPr>
      <w:r>
        <w:rPr>
          <w:sz w:val="18"/>
        </w:rPr>
        <w:t>——————————————————————————————————————————————————————————————————————</w:t>
      </w:r>
    </w:p>
    <w:p>
      <w:pPr>
        <w:spacing w:before="160" w:after="40" w:line="240" w:lineRule="auto"/>
      </w:pPr>
      <w:r>
        <w:rPr>
          <w:b/>
        </w:rPr>
        <w:t xml:space="preserve">[262] </w:t>
      </w:r>
      <w:hyperlink r:id="rId895">
        <w:r>
          <w:rPr>
            <w:color w:val="1155CC"/>
            <w:u w:val="single"/>
          </w:rPr>
          <w:t>基于树突状细胞的疫苗 PROTEXI 利用抗病毒 CD4 T 细胞记忆来增强小鼠的抗肿瘤免疫反应</w:t>
        </w:r>
      </w:hyperlink>
    </w:p>
    <w:p>
      <w:pPr>
        <w:spacing w:before="0" w:after="80"/>
      </w:pPr>
      <w:r>
        <w:rPr>
          <w:i/>
          <w:sz w:val="20"/>
        </w:rPr>
        <w:t>EN: The Dendritic Cell-based Vaccine PROTEXI leverages Antiviral CD4 T cell Memory to boost anti-tumor immune responses in mice</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树突状细胞 (DC) 癌症疫苗的功效与肿瘤相关抗原的免疫原性差以及无法引发强大的 MHC II 类限制性 CD4⁺ T 细胞反应有关。在这里，我们介绍了 PROTEXI，这是一种 DC 疫苗平台，通过将肿瘤特异性 CD8⁺ T 细胞表位与来自 SARS-CoV-2 刺突蛋白的 CD4⁺ T 辅助表位共同呈现来优化肿瘤免疫，从而利用广泛的抗病毒免疫。在黑色素瘤和乳腺癌的临床前小鼠模型中，PROTEXI 通过促进 T 细胞对免疫冷肿瘤的强大浸润、通过表位扩散增加细胞毒性 T 细胞反应以及激活与最佳 DC、NK 细胞和 T 细胞功能相关的基因，显着减少肿瘤生长并提高生存率。此外，当与其他免疫治疗药物联合治疗耐药性肿瘤模型时，PROTEXI 会产生优异的反应。最后，在黑色素瘤人源化小鼠模型中，同时呈现 CD4⁺ T 特异性 Spike 表位与 CD8⁺ T 细胞限制性 PRAME 和 MAGE-A3 抗原的 PROTEXI 疫苗可显着减轻肿瘤负荷。因此，这些数据强调了利用预先存在的病毒特异性免疫来增强 DC 疫苗在免疫冷肿瘤中的功效的潜力。</w:t>
      </w:r>
    </w:p>
    <w:p>
      <w:pPr>
        <w:spacing w:before="0" w:after="200" w:lineRule="auto" w:line="276"/>
      </w:pPr>
      <w:r>
        <w:rPr>
          <w:b/>
        </w:rPr>
        <w:t xml:space="preserve">Abstract (EN): </w:t>
      </w:r>
      <w:r>
        <w:t>The efficacy of dendritic cell (DC) cancer vaccines is linked to poor immunogenicity of tumor-associated antigens and failure to elicit robust MHC class II-restricted CD4⁺ T-cell responses. Here, we introduce PROTEXI, a DC vaccine platform that optimizes tumor immunity by co-presenting tumor-specific CD8⁺ T-cell epitopes alongside CD4⁺ T helper epitopes from the SARS-CoV-2 Spike protein, leveraging widespread anti-viral immunity. In preclinical mouse models of melanoma and breast cancer, PROTEXI significantly reduces tumor growth and improves survival by promoting robust T cell infiltration into immune-cold tumors, increasing cytotoxic T cell responses via epitope spreading, and activating genes linked to optimal DC, NK cell, and T cell function. Furthermore, PROTEXI elicits superior responses when combined with other immunotherapy agents in models of therapy-resistant tumors. Finally, in a humanized mouse model of melanoma, PROTEXI vaccine co-presenting CD4⁺ T-specific Spike epitopes with CD8⁺ T cell-restricted PRAME and MAGE-A3 antigens, significantly reduces tumor burden. Thus, these data underscore the potential of harnessing pre-existing viral-specific immunity to enhance the efficacy of DC vaccines in immune-cold tumors.</w:t>
      </w:r>
    </w:p>
    <w:p>
      <w:pPr>
        <w:spacing w:before="120" w:after="120"/>
      </w:pPr>
      <w:r>
        <w:rPr>
          <w:sz w:val="18"/>
        </w:rPr>
        <w:t>——————————————————————————————————————————————————————————————————————</w:t>
      </w:r>
    </w:p>
    <w:p>
      <w:pPr>
        <w:spacing w:before="160" w:after="40" w:line="240" w:lineRule="auto"/>
      </w:pPr>
      <w:r>
        <w:rPr>
          <w:b/>
        </w:rPr>
        <w:t xml:space="preserve">[263] </w:t>
      </w:r>
      <w:hyperlink r:id="rId896">
        <w:r>
          <w:rPr>
            <w:color w:val="1155CC"/>
            <w:u w:val="single"/>
          </w:rPr>
          <w:t>2445头猪的结构变异对基因表达和复杂性状的影响</w:t>
        </w:r>
      </w:hyperlink>
    </w:p>
    <w:p>
      <w:pPr>
        <w:spacing w:before="0" w:after="80"/>
      </w:pPr>
      <w:r>
        <w:rPr>
          <w:i/>
          <w:sz w:val="20"/>
        </w:rPr>
        <w:t>EN: The influence of structural variants from 2445 pigs on gene expression and complex traits</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结构变异对猪基因调控和复杂性状的影响仍然知之甚少。在这里，我们提供了一个资源，其中包含来自全球 120 个猪品种/群体的 60 个长读长测序样本和 2445 个高质量短读长测序样本。这些样本包括本研究中生成的 293 个深度短读长测序样本和 3 个长读长样本。整合两种基于图的基因分型方法，我们构建了一个结构变异图，其中包含 158,288 个缺失、137,493 个插入、660 个倒位和 10,063 个重复。我们对 F6 杂交猪家族的肝脏、骨骼肌、背膘和肌内脂肪组织进行了 eQTL 定位，发现 49.01% 的表达基因与顺式区域结构变异显着相关。我们进一步探讨结构变异对驯化和种群分化的贡献。我们发现 11 号染色体上的 53 bp 插入显着下调肝组织中的 GPC6 表达，可能有助于中国北方猪群的适应性选择。此外，小型猪品种和商品猪品种之间的 FST 分析确定了与体型相关的候选结构变异位点。接下来，我们整合结构变异 eQTL 和 GWAS 的结果，发现 chr4:75,613,295 处有一个 50 bp 的缺失，该缺失显着降低了骨骼肌组织中 PLAG1 的表达，并且与 240 日龄时的体重相关。</w:t>
      </w:r>
    </w:p>
    <w:p>
      <w:pPr>
        <w:spacing w:before="0" w:after="200" w:lineRule="auto" w:line="276"/>
      </w:pPr>
      <w:r>
        <w:rPr>
          <w:b/>
        </w:rPr>
        <w:t xml:space="preserve">Abstract (EN): </w:t>
      </w:r>
      <w:r>
        <w:t>The impact of structural variants on gene regulation and complex traits in pigs remains poorly understood. Here, we present a resource comprising 60 long-read sequencing and 2445 high-quality short-read sequencing samples from 120 pig breeds/populations worldwide. These samples include 293 high-depth short-read sequencing samples and three long-read samples generated in this study. Integrating two graph-based genotyping approaches, we construct a structural variant map encompassing 158,288 deletions, 137,493 insertions, 660 inversions, and 10,063 duplications. We perform eQTL mapping in liver, skeletal muscle, backfat, and intramuscular fat tissues from an F6 hybrid pig family, finding that 49.01% of expressed genes are significantly associated with cis-region structural variants. We further explore the contribution of structural variants to domestication and population differentiation. We find a 53 bp insertion on chromosome 11 that significantly down-regulates GPC6 expression in liver tissue, potentially contributing to adaptive selection in northern Chinese pig populations. Additionally, FST analyses between miniature and commercial pig breeds identify candidate structural variant loci associated with body size. We next integrate results from structural variant-eQTL and GWAS to find a 50 bp deletion at chr4:75,613,295 that significantly reduces PLAG1 expression in skeletal muscle tissue and is associated with body weight at 240 days of age.</w:t>
      </w:r>
    </w:p>
    <w:p>
      <w:pPr>
        <w:spacing w:before="120" w:after="120"/>
      </w:pPr>
      <w:r>
        <w:rPr>
          <w:sz w:val="18"/>
        </w:rPr>
        <w:t>——————————————————————————————————————————————————————————————————————</w:t>
      </w:r>
    </w:p>
    <w:p>
      <w:pPr>
        <w:spacing w:before="160" w:after="40" w:line="240" w:lineRule="auto"/>
      </w:pPr>
      <w:r>
        <w:rPr>
          <w:b/>
        </w:rPr>
        <w:t xml:space="preserve">[264] </w:t>
      </w:r>
      <w:hyperlink r:id="rId897">
        <w:r>
          <w:rPr>
            <w:color w:val="1155CC"/>
            <w:u w:val="single"/>
          </w:rPr>
          <w:t>基于测量的深度学习通过低分辨率成像实时监控喷墨印刷显示像素中的水动力干燥动力学</w:t>
        </w:r>
      </w:hyperlink>
    </w:p>
    <w:p>
      <w:pPr>
        <w:spacing w:before="0" w:after="80"/>
      </w:pPr>
      <w:r>
        <w:rPr>
          <w:i/>
          <w:sz w:val="20"/>
        </w:rPr>
        <w:t>EN: Measurement-Informed Deep Learning for Real-Time Monitoring of Hydrodynamic Drying Dynamics in Inkjet-Printed Display Pixels via Low-Resolution Imaging</w:t>
      </w:r>
    </w:p>
    <w:p>
      <w:pPr>
        <w:spacing w:before="0" w:after="120"/>
      </w:pPr>
      <w:r>
        <w:rPr>
          <w:b/>
        </w:rPr>
        <w:t xml:space="preserve">Source: </w:t>
      </w:r>
      <w:r>
        <w:t>ACS Applied Materials &amp; Interfaces: Latest Articles (ACS Publications)</w:t>
      </w:r>
      <w:r>
        <w:t xml:space="preserve">    </w:t>
      </w:r>
      <w:r>
        <w:rPr>
          <w:b/>
        </w:rPr>
        <w:t xml:space="preserve">Pub date: </w:t>
      </w:r>
      <w:r>
        <w:t>2026-07-27 00:00:00+00:00</w:t>
      </w:r>
      <w:r>
        <w:t xml:space="preserve">    </w:t>
      </w:r>
      <w:r>
        <w:rPr>
          <w:b/>
        </w:rPr>
        <w:t xml:space="preserve">DOI: </w:t>
      </w:r>
      <w:hyperlink r:id="rId898">
        <w:r>
          <w:rPr>
            <w:color w:val="1155CC"/>
            <w:u w:val="single"/>
          </w:rPr>
          <w:t>10.1021/acsami.6c12267</w:t>
        </w:r>
      </w:hyperlink>
    </w:p>
    <w:p>
      <w:pPr>
        <w:spacing w:before="0" w:after="120"/>
      </w:pPr>
      <w:r>
        <w:rPr>
          <w:b/>
        </w:rPr>
        <w:t xml:space="preserve">Notes: </w:t>
      </w:r>
      <w:r>
        <w:t>abstract_source=pubmed</w:t>
      </w:r>
    </w:p>
    <w:p>
      <w:pPr>
        <w:spacing w:before="0" w:after="80" w:lineRule="auto" w:line="276"/>
      </w:pPr>
      <w:r>
        <w:rPr>
          <w:b/>
        </w:rPr>
        <w:t xml:space="preserve">摘要（ZH）: </w:t>
      </w:r>
      <w:r>
        <w:t>干燥动态的实时监控对于确保喷墨打印中的高质量薄膜制造至关重要。在这里，我们使用低分辨率光学图像提出了 200-PPI 图案基材上 ZnO 纳米颗粒油墨干燥阶段的分类框架。通过将 3D 表面轮廓与视觉纹理相关联，我们展示了二元溶剂的挥发性失配和粘度对比度如何控制流体动力学演化，从而为每个阶段生成不同的图像纹理。基于此，我们为二元混合溶剂油墨定义了三个干燥阶段，为单溶剂系统定义了两个干燥阶段。轻量级卷积神经网络在降采样至 115 × 40 像素的灰度图像上进行训练，实现了 99.4% 的测试准确率。可解释的人工智能分析，利用输入梯度显着性和梯度加权类激活映射（Grad-CAM），揭示了该模型自主学习关注中心像素区域（物理变化最明显），而无需任何空间监督。此外，轻量级模型在 GPU 上推理每张图像仅需 0.64 毫秒，与基线相比，理论计算成本减少了 16.4 倍。这种仅图像方法能够实现可靠、计算高效的过程监控，为专门针对测试的 ZnO 纳米颗粒喷墨打印配置的实时质量控制建立实用途径。</w:t>
      </w:r>
    </w:p>
    <w:p>
      <w:pPr>
        <w:spacing w:before="0" w:after="200" w:lineRule="auto" w:line="276"/>
      </w:pPr>
      <w:r>
        <w:rPr>
          <w:b/>
        </w:rPr>
        <w:t xml:space="preserve">Abstract (EN): </w:t>
      </w:r>
      <w:r>
        <w:t>Real-time monitoring of drying dynamics is critical for ensuring high-quality thin-film fabrication in inkjet printing. Here, we present a classification framework for the drying stages of ZnO nanoparticle inks on 200-PPI patterned substrates using low-resolution optical images. By correlating 3D surface profiles with visual textures, we show how the volatility mismatch and viscosity contrast of binary solvents govern hydrodynamic evolution, generating distinct image textures for each stage. Based on this, we define three drying stages for binary mixed-solvent inks and two for single-solvent systems. A lightweight convolutional neural network, trained on grayscale images downsampled to 115 × 40 pixels, achieved a 99.4% test accuracy. Explainable AI analyses, utilizing input gradient saliency and gradient-weighted class activation mapping (Grad-CAM), revealed that the model autonomously learns to focus on the central pixel region-where physical variations are most pronounced-without any spatial supervision. Furthermore, the lightweight model requires only 0.64 ms per image for inference on a GPU, representing a 16.4-fold reduction in theoretical computational cost compared to the baseline. This image-only approach enables reliable, computationally efficient process monitoring, establishing a practical pathway for real-time quality control specifically for the tested ZnO nanoparticle inkjet printing configuration.</w:t>
      </w:r>
    </w:p>
    <w:p>
      <w:pPr>
        <w:spacing w:before="120" w:after="120"/>
      </w:pPr>
      <w:r>
        <w:rPr>
          <w:sz w:val="18"/>
        </w:rPr>
        <w:t>——————————————————————————————————————————————————————————————————————</w:t>
      </w:r>
    </w:p>
    <w:p>
      <w:pPr>
        <w:spacing w:before="160" w:after="40" w:line="240" w:lineRule="auto"/>
      </w:pPr>
      <w:r>
        <w:rPr>
          <w:b/>
        </w:rPr>
        <w:t xml:space="preserve">[265] </w:t>
      </w:r>
      <w:hyperlink r:id="rId899">
        <w:r>
          <w:rPr>
            <w:color w:val="1155CC"/>
            <w:u w:val="single"/>
          </w:rPr>
          <w:t>内向整流器 Kir7.1 的结构和功能研究及其 Melanocortin-4 受体的调节</w:t>
        </w:r>
      </w:hyperlink>
    </w:p>
    <w:p>
      <w:pPr>
        <w:spacing w:before="0" w:after="80"/>
      </w:pPr>
      <w:r>
        <w:rPr>
          <w:i/>
          <w:sz w:val="20"/>
        </w:rPr>
        <w:t>EN: Structural and functional studies of inward rectifier Kir7.1 and its regulation by the Melanocortin-4 receptor</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视网膜色素上皮内向整流钾通道 Kir7.1 功能的遗传性缺陷与眼部疾病色素性视网膜炎、莱伯先天性黑蒙和雪花玻璃体视网膜变性有关。然而，这种离子通道广泛表达，研究还表明，在参与能量稳态的特定下丘脑神经元中，Kir7.1 可能以不依赖 G 蛋白的方式直接受到 GPCR、黑皮质素 4 受体 (MC4R) 的调节。为了加深我们对 GPCR 对离子通道这种不寻常的直接调节的理解，表征 Kir7.1 和 Kir7.1-MC4R 复合物的结构和功能非常重要。利用冷冻电子显微镜，我们展示了人类 Kir7.1 的结构，并证明了小分子 ML418 阻断通道的结构基础。我们发现，Kir7.1 通道阻断可使下丘脑室旁核 (PVH) 切片中的 MC4R 神经元去极化，并在体内激活 PVH 神经元，抑制食物摄入并诱导体重减轻。我们进一步表明，Kir7.1 和 MC4R 在质膜上密切相关，并表征了 MC4R 和 Kir7.1 的融合构建体，为研究 MC4R 对 Kir7.1 的调节提供了实验工具。</w:t>
      </w:r>
    </w:p>
    <w:p>
      <w:pPr>
        <w:spacing w:before="0" w:after="200" w:lineRule="auto" w:line="276"/>
      </w:pPr>
      <w:r>
        <w:rPr>
          <w:b/>
        </w:rPr>
        <w:t xml:space="preserve">Abstract (EN): </w:t>
      </w:r>
      <w:r>
        <w:t>Hereditary defects in the function of the inwardly rectifying potassium channel Kir7.1 in the retinal pigment epithelium are associated with the ocular diseases retinitis pigmentosa, Leber congenital amaurosis, and snowflake vitreoretinal degeneration. However, this ion channel is widely expressed, and studies also suggest that Kir7.1 may be directly regulated in a G protein-independent manner by a GPCR, the melanocortin-4 receptor (MC4R), in specific hypothalamic neurons involved in energy homeostasis. To advance our understanding of this unusual direct regulation of an ion channel by a GPCR, it is important to characterize the structure and function of Kir7.1, and the Kir7.1-MC4R complex. Utilizing cryo-electron microscopy, we present structures of human Kir7.1 and demonstrate the structural basis for the blockade of the channel by a small molecule ML418. We show that channel blockade of Kir7.1 depolarizes MC4R neurons in a slice preparation of the paraventricular nucleus of the hypothalamus (PVH), and activates PVH neurons in vivo, inhibiting food intake and inducing weight loss. We further show that Kir7.1 and MC4R are in close association on the plasma membrane and characterize a fusion construct of MC4R and Kir7.1 that provides an experimental tool for study of Kir7.1 regulation by the MC4R.</w:t>
      </w:r>
    </w:p>
    <w:p>
      <w:pPr>
        <w:spacing w:before="120" w:after="120"/>
      </w:pPr>
      <w:r>
        <w:rPr>
          <w:sz w:val="18"/>
        </w:rPr>
        <w:t>——————————————————————————————————————————————————————————————————————</w:t>
      </w:r>
    </w:p>
    <w:p>
      <w:pPr>
        <w:spacing w:before="160" w:after="40" w:line="240" w:lineRule="auto"/>
      </w:pPr>
      <w:r>
        <w:rPr>
          <w:b/>
        </w:rPr>
        <w:t xml:space="preserve">[266] </w:t>
      </w:r>
      <w:hyperlink r:id="rId900">
        <w:r>
          <w:rPr>
            <w:color w:val="1155CC"/>
            <w:u w:val="single"/>
          </w:rPr>
          <w:t>钠通道 SCN2A 调节皮质兴奋性和抑制性神经发生</w:t>
        </w:r>
      </w:hyperlink>
    </w:p>
    <w:p>
      <w:pPr>
        <w:spacing w:before="0" w:after="80"/>
      </w:pPr>
      <w:r>
        <w:rPr>
          <w:i/>
          <w:sz w:val="20"/>
        </w:rPr>
        <w:t>EN: The sodium channel SCN2A regulates cortical excitatory and inhibitory neurogenesis</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电压门控钠通道调节出生后和成人大脑中的神经元兴奋性和突触传递。编码钠通道 Nav1.2 的基因 SCN2A 调节突触发育，SCN2A 的变异与自闭症谱系障碍 (ASD) 和广泛的癫痫表型相关，包括早发性发育性脑病和癫痫性脑病。 SCN2A 的表达模式始于产前皮质发育期间，即突触传递开始之前，但尚不清楚 SCN2A 是否通过独立于突触传递的机制调节早期皮质发育。在这里，我们揭示了同基因和 ASD 患者来源的人类前脑类器官模拟 SCN2A 功能丧失，显示出兴奋性和抑制性神经发生受损，导致发育失衡。出乎意料的是，我们发现皮层抑制性神经元的早熟生成是由 Sonic hidehog 信号传导升高驱动的，并且通过药物抑制是可逆的。从功能上讲，这些发育表型是由于 Nav1.2 依赖性钠通道功能障碍和动作电位生成减少而产生的，导致神经元网络活动异常。我们的结果确定了涉及 SCN2A 的皮质兴奋性和抑制性神经发生的机制，并揭示了 SCN2A 相关疾病中早期神经发生缺陷先于出生后神经回路功能障碍。</w:t>
      </w:r>
    </w:p>
    <w:p>
      <w:pPr>
        <w:spacing w:before="0" w:after="200" w:lineRule="auto" w:line="276"/>
      </w:pPr>
      <w:r>
        <w:rPr>
          <w:b/>
        </w:rPr>
        <w:t xml:space="preserve">Abstract (EN): </w:t>
      </w:r>
      <w:r>
        <w:t>Voltage-gated sodium channels regulate neuronal excitability and synaptic transmission in the postnatal and adult brain. The gene SCN2A, encoding the sodium channel Nav1.2, regulates synaptic development and variants in SCN2A are associated with autism spectrum disorders (ASD) and a broad spectrum of epilepsy phenotypes, including early-onset developmental and epileptic encephalopathies. The expression pattern of SCN2A begins during prenatal cortical development, prior to the onset of synaptic transmission, but it is unknown whether SCN2A regulates early cortical development through mechanisms independent of synaptic transmission. Here we reveal that isogenic and ASD patient-derived human forebrain organoids modelling a loss of SCN2A function display impaired excitatory and inhibitory neurogenesis, leading to a developmental imbalance. Unexpectedly, we find precocious generation of cortical inhibitory neurons is driven by elevated Sonic hedgehog signaling and is reversible through pharmacological inhibition. Functionally, these developmental phenotypes arise due to Nav1.2-dependent sodium channel dysfunction and reduced action potential generation, leading to abnormal neuronal network activity. Our results identify a mechanism for cortical excitatory and inhibitory neurogenesis involving SCN2A, and reveal that early neurogenesis deficits precede postnatal neural circuit dysfunction in SCN2A-associated disorders.</w:t>
      </w:r>
    </w:p>
    <w:p>
      <w:pPr>
        <w:spacing w:before="120" w:after="120"/>
      </w:pPr>
      <w:r>
        <w:rPr>
          <w:sz w:val="18"/>
        </w:rPr>
        <w:t>——————————————————————————————————————————————————————————————————————</w:t>
      </w:r>
    </w:p>
    <w:p>
      <w:pPr>
        <w:spacing w:before="160" w:after="40" w:line="240" w:lineRule="auto"/>
      </w:pPr>
      <w:r>
        <w:rPr>
          <w:b/>
        </w:rPr>
        <w:t xml:space="preserve">[267] </w:t>
      </w:r>
      <w:hyperlink r:id="rId901">
        <w:r>
          <w:rPr>
            <w:color w:val="1155CC"/>
            <w:u w:val="single"/>
          </w:rPr>
          <w:t>用于药物设计中多特性优化的自主生物等排替代</w:t>
        </w:r>
      </w:hyperlink>
    </w:p>
    <w:p>
      <w:pPr>
        <w:spacing w:before="0" w:after="80"/>
      </w:pPr>
      <w:r>
        <w:rPr>
          <w:i/>
          <w:sz w:val="20"/>
        </w:rPr>
        <w:t>EN: Autonomous bioisosteric replacement for multi-property optimization in drug design</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优化分子特性同时保留生物活性是药物设计的核心挑战。生物电子等排替换，用化学或生物学类似部分替换分子片段，提供了一种强大的策略，可以在不破坏靶标结合的情况下微调特性。然而，现有的计算机方法通常依赖于专家定义的修饰位点或难以同时调节多个分子特性。在这里，我们提出了 DeepBioisostere，一种深度生成模型，通过自主选择和替换分子片段以满足多个目标特性来执行端到端生物电子等排替换。该模型捕获分子图上的复杂关系，从而能够优化复杂的特性，例如药物相似性和合成可及性。通过从实验生物测定数据中学习，DeepBioisostere 提出了维持生物活性的替代品，甚至产生了超出训练数据的潜在生物电子等排体。我们展示了该模型在计算命中到先导优化场景中的有效性，强调了其在不依赖专家启发法或预先建立的替换规则的情况下加速合理分子设计的潜力。</w:t>
      </w:r>
    </w:p>
    <w:p>
      <w:pPr>
        <w:spacing w:before="0" w:after="200" w:lineRule="auto" w:line="276"/>
      </w:pPr>
      <w:r>
        <w:rPr>
          <w:b/>
        </w:rPr>
        <w:t xml:space="preserve">Abstract (EN): </w:t>
      </w:r>
      <w:r>
        <w:t>Optimizing molecular properties while preserving biological activity is a central challenge in drug design. Bioisosteric replacement, which substitutes a molecular fragment with a chemically or biologically analogous moiety, offers a powerful strategy for fine-tuning properties without disrupting target binding. However, existing in silico approaches often rely on expert-defined modification sites or struggle to modulate multiple molecular properties simultaneously. Here, we present DeepBioisostere, a deep generative model that performs end-to-end bioisosteric replacement by autonomously selecting and substituting molecular fragments to satisfy multiple target properties. The model captures complex relationships across the molecular graph, enabling the optimization of sophisticated properties such as drug-likeness and synthetic accessibility. By learning from experimental bioassay data, DeepBioisostere proposes replacements that maintain biological activities, even generating potential bioisosteres beyond the training data. We demonstrate the effectiveness of the model in computational hit-to-lead optimization scenarios, highlighting its potential to accelerate rational molecular design without relying on expert heuristics or pre-established substitution rules.</w:t>
      </w:r>
    </w:p>
    <w:p>
      <w:pPr>
        <w:spacing w:before="120" w:after="120"/>
      </w:pPr>
      <w:r>
        <w:rPr>
          <w:sz w:val="18"/>
        </w:rPr>
        <w:t>——————————————————————————————————————————————————————————————————————</w:t>
      </w:r>
    </w:p>
    <w:p>
      <w:pPr>
        <w:spacing w:before="160" w:after="40" w:line="240" w:lineRule="auto"/>
      </w:pPr>
      <w:r>
        <w:rPr>
          <w:b/>
        </w:rPr>
        <w:t xml:space="preserve">[268] </w:t>
      </w:r>
      <w:hyperlink r:id="rId902">
        <w:r>
          <w:rPr>
            <w:color w:val="1155CC"/>
            <w:u w:val="single"/>
          </w:rPr>
          <w:t>观察磁掺杂狄拉克半金属的强光学非互易性</w:t>
        </w:r>
      </w:hyperlink>
    </w:p>
    <w:p>
      <w:pPr>
        <w:spacing w:before="0" w:after="80"/>
      </w:pPr>
      <w:r>
        <w:rPr>
          <w:i/>
          <w:sz w:val="20"/>
        </w:rPr>
        <w:t>EN: Observing strong optical nonreciprocity from magnetically doped Dirac semimetals</w:t>
      </w:r>
    </w:p>
    <w:p>
      <w:pPr>
        <w:spacing w:before="0" w:after="120"/>
      </w:pPr>
      <w:r>
        <w:rPr>
          <w:b/>
        </w:rPr>
        <w:t xml:space="preserve">Source: </w:t>
      </w:r>
      <w:r>
        <w:t>Physical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许多当代光子和光电技术依赖于红外频率下的强电磁非互易性。然而，由于缺乏具有固有的大非互易光学响应的​​材料，在红外区域实现强非互易效应仍然极具挑战性。磁性韦尔半金属提供了一种有前景的解决方案，但迄今为止材料的选择受到限制。在这里，我们提出了一种通过用磁性掺杂剂锰 (Mn) 掺杂狄拉克半金属砷化镉 (Cd3As2) 来获得强非互易性的不同方法。我们将强光学非互易性归因于 Mn 掺杂剂的集体磁排序，通过时间反转对称性破缺提升狄拉克锥的简并性，从而产生磁外尔锥。所实现的非互易性通过掺杂浓度和外部磁场表现出很强的可调性，为获得强电磁非互易性提供了新的材料平台和设计原理。</w:t>
      </w:r>
    </w:p>
    <w:p>
      <w:pPr>
        <w:spacing w:before="0" w:after="200" w:lineRule="auto" w:line="276"/>
      </w:pPr>
      <w:r>
        <w:rPr>
          <w:b/>
        </w:rPr>
        <w:t xml:space="preserve">Abstract (EN): </w:t>
      </w:r>
      <w:r>
        <w:t>Many contemporary photonic and optoelectronic technologies rely on strong electromagnetic nonreciprocity at infrared frequencies. However, achieving a strong nonreciprocal effect in the infrared remains extremely challenging due to the lack of materials with inherently large nonreciprocal optical responses. Magnetic Weyl semimetals offer a promising solution, but the choice of materials has thus far been limited. Here, we present a different approach of accessing strong nonreciprocity by doping the Dirac semimetal Cadmium Arsenide (Cd3As2) with a magnetic dopant, Manganese (Mn). We attribute the strong optical nonreciprocity to the collective magnetic ordering of the Mn dopant that creates magnetic Weyl cones by lifting the degeneracy of Dirac cones via time-reversal symmetry breaking. The enabled nonreciprocity exhibits strong tunability through doping concentration and external magnetic fields, providing a new material platform and design rational for accessing strong electromagnetic nonreciprocity.</w:t>
      </w:r>
    </w:p>
    <w:p>
      <w:pPr>
        <w:spacing w:before="120" w:after="120"/>
      </w:pPr>
      <w:r>
        <w:rPr>
          <w:sz w:val="18"/>
        </w:rPr>
        <w:t>——————————————————————————————————————————————————————————————————————</w:t>
      </w:r>
    </w:p>
    <w:p>
      <w:pPr>
        <w:spacing w:before="160" w:after="40" w:line="240" w:lineRule="auto"/>
      </w:pPr>
      <w:r>
        <w:rPr>
          <w:b/>
        </w:rPr>
        <w:t xml:space="preserve">[269] </w:t>
      </w:r>
      <w:hyperlink r:id="rId903">
        <w:r>
          <w:rPr>
            <w:color w:val="1155CC"/>
            <w:u w:val="single"/>
          </w:rPr>
          <w:t>双曲自适应空间感知多元时间序列异常检测</w:t>
        </w:r>
      </w:hyperlink>
    </w:p>
    <w:p>
      <w:pPr>
        <w:spacing w:before="0" w:after="80"/>
      </w:pPr>
      <w:r>
        <w:rPr>
          <w:i/>
          <w:sz w:val="20"/>
        </w:rPr>
        <w:t>EN: Hyperbolic adaptive spatial-aware multivariate time series anomaly detection</w:t>
      </w:r>
    </w:p>
    <w:p>
      <w:pPr>
        <w:spacing w:before="0" w:after="120"/>
      </w:pPr>
      <w:r>
        <w:rPr>
          <w:b/>
        </w:rPr>
        <w:t xml:space="preserve">Source: </w:t>
      </w:r>
      <w:r>
        <w:t>Physical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现有的多变量异常检测方法受到分布假设、不稳定数据和稀缺可靠异常标签的实际工业限制。本研究提出了一种双曲自适应空间感知多元异常检测方法，旨在提高实际应用中的准确性、鲁棒性和可解释性。它首先构建一个自适应双曲预训练框架来嵌入耦合的时空分层时间序列特征并挖掘潜在的跨变量相关性。接下来，自适应图结构发现和动态稀疏模块消除了严格的拓扑限制，自主学习固有的数据结构并查明异常的时空位置以进行因果解释。多级注意力模块和小样本动态阈值算法进一步提高了处理复杂信号时的模型稳定性。统一的端到端框架建立在自适应图拓扑的基础上，将异常识别、诊断和解释与专用的辨别和纠正机制集成在一起。实验表明，在不同的检测基准中性能提高了 10%–30%，验证了该方法的有效性并推进了异常检测的可解释 AI 研究。</w:t>
      </w:r>
    </w:p>
    <w:p>
      <w:pPr>
        <w:spacing w:before="0" w:after="200" w:lineRule="auto" w:line="276"/>
      </w:pPr>
      <w:r>
        <w:rPr>
          <w:b/>
        </w:rPr>
        <w:t xml:space="preserve">Abstract (EN): </w:t>
      </w:r>
      <w:r>
        <w:t>Existing multivariate anomaly detection methods suffer from practical industrial limitations stemming from distribution assumptions, volatile data and scarce reliable anomaly labels. This study proposes a hyperbolic adaptive spatial-aware multivariate anomaly detection method aimed at enhancing accuracy, robustness and interpretability in real-world applications. It first constructs an adaptive hyperbolic pre-training framework to embed coupled spatio-temporal hierarchical time-series features and mine latent cross-variable correlations. Next, an adaptive graph structure discovery and dynamic sparsification module removes rigid topology restraints, autonomously learning inherent data structures and pinpointing the spatio-temporal locations of anomalies for causal interpretation. A multi-level attention module and small-sample dynamic threshold algorithm further improve model stability when handling complex signals. Built upon self-adaptive graph topology, the unified end-to-end framework integrates anomaly recognition, diagnosis and interpretation with dedicated discrimination and correction mechanisms. Experiments demonstrate 10%–30% performance improvements across diverse detection benchmarks, verifying the method’s effectiveness and advancing interpretable AI research for anomaly detection.</w:t>
      </w:r>
    </w:p>
    <w:p>
      <w:pPr>
        <w:spacing w:before="120" w:after="120"/>
      </w:pPr>
      <w:r>
        <w:rPr>
          <w:sz w:val="18"/>
        </w:rPr>
        <w:t>——————————————————————————————————————————————————————————————————————</w:t>
      </w:r>
    </w:p>
    <w:p>
      <w:pPr>
        <w:spacing w:before="160" w:after="40" w:line="240" w:lineRule="auto"/>
      </w:pPr>
      <w:r>
        <w:rPr>
          <w:b/>
        </w:rPr>
        <w:t xml:space="preserve">[270] </w:t>
      </w:r>
      <w:hyperlink r:id="rId904">
        <w:r>
          <w:rPr>
            <w:color w:val="1155CC"/>
            <w:u w:val="single"/>
          </w:rPr>
          <w:t>药剂引导的肽水凝胶生物稳定剂夹紧细胞周粘弹性漂移</w:t>
        </w:r>
      </w:hyperlink>
    </w:p>
    <w:p>
      <w:pPr>
        <w:spacing w:before="0" w:after="80"/>
      </w:pPr>
      <w:r>
        <w:rPr>
          <w:i/>
          <w:sz w:val="20"/>
        </w:rPr>
        <w:t>EN: An agent-guided peptide hydrogel bio-stabilizer clamps pericellular viscoelastic drift</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活组织不断重塑细胞外基质，导致细胞周力学随着时间的推移而漂移。慢性糖化会放大这种漂移，破坏机械调节信号的稳定性并损害再生结果。在这里，我们介绍微机械稳态重置，这是一种基于材料的策略，其目标是细胞到细胞周的粘弹性稳态，而不是静态体积刚度。使用代理引导、基于规则的计数和评分工作流程，我们设计了 ViscoClamp，一种对钙离子和高级糖基化终产物具有亲和力的细胞外基质互穿肽水凝胶。我们发现 ViscoClamp 可以缓冲慢性糖基化负荷并限制糖基化驱动的粘弹性漂移，同时仍然允许间充质干细胞介导的基质重塑和矿化。我们使用分散转移比来量化稳定性，该分散转移比测量可变的糖基化输入如何被压缩为稳定的微机械输出。我们证明，在富含糖基化的高血糖颅面缺损中，ViscoClamp 可以稳定细胞尺度的微观力学，恢复成骨激活，并改善大鼠、兔子、比格犬和恒河猴的骨修复和矿化。</w:t>
      </w:r>
    </w:p>
    <w:p>
      <w:pPr>
        <w:spacing w:before="0" w:after="200" w:lineRule="auto" w:line="276"/>
      </w:pPr>
      <w:r>
        <w:rPr>
          <w:b/>
        </w:rPr>
        <w:t xml:space="preserve">Abstract (EN): </w:t>
      </w:r>
      <w:r>
        <w:t>Living tissues continually remodel the extracellular matrix, causing pericellular mechanics to drift over time. Chronic glycation amplifies this drift, destabilizing mechanoregulatory cues and compromising regenerative outcomes. Here we introduce Micro-Mechanical Homeostasis Reset, a material-based strategy that targets cell-to-pericellular viscoelastic homeostasis rather than static bulk stiffness. Using an agent-guided, rule-based enumeration-and-scoring workflow, we design ViscoClamp, an extracellular matrix-interpenetrating peptide hydrogel with affinity for calcium ions and advanced glycation end products. We show that ViscoClamp buffers chronic glycation loading and constrains glycation-driven viscoelastic drift, while remaining permissive to mesenchymal stem cell-mediated matrix remodeling and mineralization. We quantify stabilization using a dispersion-transfer ratio that measures how variable glycation inputs are compressed into stable micromechanical outputs. We demonstrate that in glycation-rich hyperglycemic craniofacial defects, ViscoClamp stabilizes cell-scale micromechanics, restores osteogenic activation, and improves bone repair and mineralization in rats, rabbits, beagle dogs, and rhesus macaques.</w:t>
      </w:r>
    </w:p>
    <w:p>
      <w:pPr>
        <w:spacing w:before="120" w:after="120"/>
      </w:pPr>
      <w:r>
        <w:rPr>
          <w:sz w:val="18"/>
        </w:rPr>
        <w:t>——————————————————————————————————————————————————————————————————————</w:t>
      </w:r>
    </w:p>
    <w:p>
      <w:pPr>
        <w:spacing w:before="160" w:after="40" w:line="240" w:lineRule="auto"/>
      </w:pPr>
      <w:r>
        <w:rPr>
          <w:b/>
        </w:rPr>
        <w:t xml:space="preserve">[271] </w:t>
      </w:r>
      <w:hyperlink r:id="rId905">
        <w:r>
          <w:rPr>
            <w:color w:val="1155CC"/>
            <w:u w:val="single"/>
          </w:rPr>
          <w:t>鲍曼不动杆菌的 VgrG2 效应子通过抑制 Csu 菌毛组装并触发吞噬细胞代谢介导免疫逃避</w:t>
        </w:r>
      </w:hyperlink>
    </w:p>
    <w:p>
      <w:pPr>
        <w:spacing w:before="0" w:after="80"/>
      </w:pPr>
      <w:r>
        <w:rPr>
          <w:i/>
          <w:sz w:val="20"/>
        </w:rPr>
        <w:t>EN: The VgrG2 effector of Acinetobacter baumannii mediates immune evasion by repressing Csu pilus assembly and triggering phagocyte methuosis</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鲍曼不动杆菌是一种可怕的医院病原体，其多重耐药性和免疫逃避能力提出了重大的治疗挑战。本研究将 VI 型分泌系统 (T6SS) 效应子 VgrG2 确定为鲍曼不动杆菌的关键毒力调节因子。 VgrG2 采用双管齐下的策略来破坏宿主先天免疫。首先，它在转录上抑制主要粘附素 Csu 菌毛，减少细菌识别、吞噬细胞摄取和中性粒细胞募集。其次，VgrG2 直接靶向并过度激活吞噬细胞内的小 GTPase Rac1。这会导致肌动蛋白细胞骨架紊乱，从而驱动过度的巨胞饮作用，导致吞噬作用和吞噬作用受损——一种吞噬细胞特有的非凋亡性、液泡依赖性死亡。因此，VgrG2 选择性地消除关键的免疫哨兵并改变肺部炎症，促进细菌的持续存在和传播。这些发现将 T6SS 效应器的作用扩展到细菌间竞争之外，包括复杂的真核定向攻击，并强调 VgrG2-Rac1 轴作为一个有前途的治疗靶点。</w:t>
      </w:r>
    </w:p>
    <w:p>
      <w:pPr>
        <w:spacing w:before="0" w:after="200" w:lineRule="auto" w:line="276"/>
      </w:pPr>
      <w:r>
        <w:rPr>
          <w:b/>
        </w:rPr>
        <w:t xml:space="preserve">Abstract (EN): </w:t>
      </w:r>
      <w:r>
        <w:t>Acinetobacter baumannii is a formidable nosocomial pathogen whose multidrug resistance and immune evasion capabilities present a major therapeutic challenge. This study identifies the type VI secretion system (T6SS) effector VgrG2 as a critical virulence regulator in A. baumannii. VgrG2 employs a two-pronged strategy to undermine host innate immunity. First, it transcriptionally represses the major adhesin Csu pilus, reducing bacterial recognition, phagocytic uptake, and neutrophils recruitment. Second, VgrG2 directly targets and hyperactivates the small GTPase Rac1 within phagocytes. This leads to actin cytoskeletal disarray, which drives excessive macropinocytosis, resulting in compromised phagocytosis and methuosis—a non-apoptotic, vacuole-dependent death specific to phagocytes. Thus, VgrG2 selectively eliminates key immune sentinels and alters pulmonary inflammation, promoting bacterial persistence and dissemination. These findings extend the role of T6SS effectors beyond interbacterial competition to include sophisticated eukaryotic-directed attacks, and highlight the VgrG2-Rac1 axis as a promising therapeutic target.</w:t>
      </w:r>
    </w:p>
    <w:p>
      <w:pPr>
        <w:spacing w:before="120" w:after="120"/>
      </w:pPr>
      <w:r>
        <w:rPr>
          <w:sz w:val="18"/>
        </w:rPr>
        <w:t>——————————————————————————————————————————————————————————————————————</w:t>
      </w:r>
    </w:p>
    <w:p>
      <w:pPr>
        <w:spacing w:before="160" w:after="40" w:line="240" w:lineRule="auto"/>
      </w:pPr>
      <w:r>
        <w:rPr>
          <w:b/>
        </w:rPr>
        <w:t xml:space="preserve">[272] </w:t>
      </w:r>
      <w:hyperlink r:id="rId906">
        <w:r>
          <w:rPr>
            <w:color w:val="1155CC"/>
            <w:u w:val="single"/>
          </w:rPr>
          <w:t>光子波前和量子位之间双向量子模数转换器的实验实现</w:t>
        </w:r>
      </w:hyperlink>
    </w:p>
    <w:p>
      <w:pPr>
        <w:spacing w:before="0" w:after="80"/>
      </w:pPr>
      <w:r>
        <w:rPr>
          <w:i/>
          <w:sz w:val="20"/>
        </w:rPr>
        <w:t>EN: Experimental realization of a bidirectional quantum analog-to-digital converter between photonic wavefront and qubits</w:t>
      </w:r>
    </w:p>
    <w:p>
      <w:pPr>
        <w:spacing w:before="0" w:after="120"/>
      </w:pPr>
      <w:r>
        <w:rPr>
          <w:b/>
        </w:rPr>
        <w:t xml:space="preserve">Source: </w:t>
      </w:r>
      <w:r>
        <w:t>Physical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量子系统从根本上可以分为离散变量（DV）和连续变量（CV）系统。量子系统实现的量子优势程度通常取决于可扩展性、鲁棒性和操作可行性等因素，这些因素与所使用的变量的性质密切相关。值得注意的是，DV 和 CV 系统在这些因素上基本上是互补的。因此，整合 DV 和 CV 变量对于克服仅依赖一种变量系统所带来的固有挑战具有重大前景。在这项研究中，我们构建了一个双向量子模数转换器（QADC/QDAC），它促进了 CV 和 DV 系统之间确定性和可逆的量子信息传输。该 QADC/QDAC 硬件效率高，误差随着量子位数量呈指数下降，从而允许使用少量量子位进行高保真信息传输。通过这种光子 QADC/QDAC，我们展示了利用 DV 断层扫描技术的高效 CV 模式断层扫描，并从量子位实现非高斯 CV 模式的确定性生成。我们的研究结果解决了构建混合量子处理器的关键障碍，并为以前单变量量子系统无法实现的科学探索开辟了新途径。</w:t>
      </w:r>
    </w:p>
    <w:p>
      <w:pPr>
        <w:spacing w:before="0" w:after="200" w:lineRule="auto" w:line="276"/>
      </w:pPr>
      <w:r>
        <w:rPr>
          <w:b/>
        </w:rPr>
        <w:t xml:space="preserve">Abstract (EN): </w:t>
      </w:r>
      <w:r>
        <w:t>Quantum systems can be fundamentally classified into discrete-variable (DV) and continuous-variable (CV) systems. The degree of quantum advantage achieved with a quantum system is often dictated by the scalability, robustness, and operational feasibility-factors that are closely tied to the nature of the variables employed. Notably, DV and CV systems are largely complementary in these factors. Consequently, integrating DV and CV variables holds significant promise for overcoming the inherent challenges associated with relying solely on one type of variable system. In this study, we build a bidirectional quantum analog-to-digital converter (QADC/QDAC), which facilitates deterministic and reversible quantum information transfer between CV and DV systems. This QADC/QDAC is hardware-efficient, and the error decreases exponentially with the number of qubits, thereby allowing high-fidelity information transfer with a few qubits. With this photonic QADC/QDAC, we demonstrate efficient CV mode tomography leveraging DV tomography techniques and achieve deterministic generation of non-Gaussian CV mode from qubits. Our findings address a critical barrier in constructing hybrid quantum processors and open up new avenues for scientific exploration previously inaccessible to single-variable quantum systems.</w:t>
      </w:r>
    </w:p>
    <w:p>
      <w:pPr>
        <w:spacing w:before="120" w:after="120"/>
      </w:pPr>
      <w:r>
        <w:rPr>
          <w:sz w:val="18"/>
        </w:rPr>
        <w:t>——————————————————————————————————————————————————————————————————————</w:t>
      </w:r>
    </w:p>
    <w:p>
      <w:pPr>
        <w:spacing w:before="160" w:after="40" w:line="240" w:lineRule="auto"/>
      </w:pPr>
      <w:r>
        <w:rPr>
          <w:b/>
        </w:rPr>
        <w:t xml:space="preserve">[273] </w:t>
      </w:r>
      <w:hyperlink r:id="rId907">
        <w:r>
          <w:rPr>
            <w:color w:val="1155CC"/>
            <w:u w:val="single"/>
          </w:rPr>
          <w:t>用于防伪的断裂工程多孔聚合物骨架中的发光满足物理不可克隆性</w:t>
        </w:r>
      </w:hyperlink>
    </w:p>
    <w:p>
      <w:pPr>
        <w:spacing w:before="0" w:after="80"/>
      </w:pPr>
      <w:r>
        <w:rPr>
          <w:i/>
          <w:sz w:val="20"/>
        </w:rPr>
        <w:t>EN: Luminescence meets physical unclonability in fracture engineered porous polymer skeletons for anticounterfeiting</w:t>
      </w:r>
    </w:p>
    <w:p>
      <w:pPr>
        <w:spacing w:before="0" w:after="120"/>
      </w:pPr>
      <w:r>
        <w:rPr>
          <w:b/>
        </w:rPr>
        <w:t xml:space="preserve">Source: </w:t>
      </w:r>
      <w:r>
        <w:t>Physical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伪造仍然是一个持续存在的全球挑战，需要将强大的不可克隆性与快速、可现场验证的可访问性相结合的安全技术。具有统一设计的传统光学标签很容易复制，而大多数物理不可克隆功能（PUF）依赖于复杂的制造工艺或专门的读出系统，限制了它们的实际部署，特别是考虑到基于智能手机的身份验证的广泛可访问性。在这里，我们报告了一种材料驱动的策略，通过断裂工程聚合物 PUF 将发光和物理不可克隆性统一起来。带有定制图案的多孔聚合物骨架通过无掩模光刻技术印刷，随后通过表面引发的 ATRP 与 Ir 基络合物和荧光染料进行功能化。该设计在单波长激发下产生福斯特共振能量转移 (FRET)、强度放大和光谱复用发射，从而实现光学信息加密和直接解码。至关重要的是，多孔结构支持断裂工程磁带转移，保留宏观发光图案，同时在每个像素自发生成随机微观特征，产生本质上不可克隆的指纹。由此产生的机械耐用标签将明亮、稳定的发光与可靠的 PUF 特性相结合，只需手持手电筒和智能手机成像即可实现现场可读身份验证，无需专门的仪器。通过将发光与发光耦合</w:t>
      </w:r>
    </w:p>
    <w:p>
      <w:pPr>
        <w:spacing w:before="0" w:after="200" w:lineRule="auto" w:line="276"/>
      </w:pPr>
      <w:r>
        <w:rPr>
          <w:b/>
        </w:rPr>
        <w:t xml:space="preserve">Abstract (EN): </w:t>
      </w:r>
      <w:r>
        <w:t>Counterfeiting remains a persistent global challenge, necessitating security technologies that combine robust unclonability with rapid, field-verifiable accessibility. Conventional optical labels with uniform designs are easily replicated, while most physical unclonable functions (PUFs) rely on complex fabrication processes or specialized readout systems, limiting their practical deployment, especially considering the broad accessibility of smartphone-based authentication. Here, we report a materials-driven strategy that unifies luminescence and physical unclonability through fracture-engineered polymer PUFs. Porous polymer skeletons bearing customized patterns are printed via maskless photolithography and subsequently functionalized by surface-initiated ATRP with Ir-based complexes and fluorescent dyes. This design yields Förster resonance energy transfer (FRET)-enabled, intensity-amplified, and spectrally multiplexed emissions under single-wavelength excitation, enabling optical information encryption and straightforward decoding. Crucially, the porous architecture supports fracture-engineered tape transfer that preserves macroscopic luminescent patterns while spontaneously generating stochastic microscale features at each pixel, producing intrinsically unclonable fingerprints. The resulting mechanically durable tags integrate bright, stable luminescence with reliable PUF characteristics and enable field-readable authentication using only a handheld flashlight and smartphone imaging, without the need for specialized instrumentation. By coupling luminescence with luminescence-enhanced intrinsic PUF security on easily readable tags, this work establishes a versatile and scalable platform for on-site customization and on-demand anti-counterfeiting authentication.</w:t>
      </w:r>
    </w:p>
    <w:p>
      <w:pPr>
        <w:spacing w:before="120" w:after="120"/>
      </w:pPr>
      <w:r>
        <w:rPr>
          <w:sz w:val="18"/>
        </w:rPr>
        <w:t>——————————————————————————————————————————————————————————————————————</w:t>
      </w:r>
    </w:p>
    <w:p>
      <w:pPr>
        <w:spacing w:before="160" w:after="40" w:line="240" w:lineRule="auto"/>
      </w:pPr>
      <w:r>
        <w:rPr>
          <w:b/>
        </w:rPr>
        <w:t xml:space="preserve">[274] </w:t>
      </w:r>
      <w:hyperlink r:id="rId908">
        <w:r>
          <w:rPr>
            <w:color w:val="1155CC"/>
            <w:u w:val="single"/>
          </w:rPr>
          <w:t>在量子计算机上探测量子相变中的纠缠尺度</w:t>
        </w:r>
      </w:hyperlink>
    </w:p>
    <w:p>
      <w:pPr>
        <w:spacing w:before="0" w:after="80"/>
      </w:pPr>
      <w:r>
        <w:rPr>
          <w:i/>
          <w:sz w:val="20"/>
        </w:rPr>
        <w:t>EN: Probing entanglement scaling across a quantum phase transition on a quantum computer</w:t>
      </w:r>
    </w:p>
    <w:p>
      <w:pPr>
        <w:spacing w:before="0" w:after="120"/>
      </w:pPr>
      <w:r>
        <w:rPr>
          <w:b/>
        </w:rPr>
        <w:t xml:space="preserve">Source: </w:t>
      </w:r>
      <w:r>
        <w:t>Physical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由于维度灾难和复杂的纠缠结构，强相关量子物质的研究非常困难。这些挑战在连续量子相变附近尤其明显，其中量子涨落在所有长度尺度上都表现出来。虽然量子模拟器可以对许多强相关系统进行受控访问，但对关键现象的研究却受到相关长度发散产生的有限尺寸效应的阻碍。此外，多体系统中纠缠的实验研究受到测量协议限制的阻碍。为了应对这些挑战，我们采用多尺度纠缠重整化模拟（MERA），并在全连接的俘获离子量子计算机上实现子系统层析成像的全息方案。我们的方法用很少的量子位准确地表示无限系统和远程相关性，即使在临界状态下，也有助于有效提取可观察量和纠缠性质。我们观察到具有自发对称性破缺的量子相变，并揭示了跨越临界点的纠缠性质的演变。我们首次在数字量子计算机上演示了临界子系统纠缠熵的对数律标度。这一成就凸显了 MERA 在量子计算机上强相关多体系统研究方面的潜力。</w:t>
      </w:r>
    </w:p>
    <w:p>
      <w:pPr>
        <w:spacing w:before="0" w:after="200" w:lineRule="auto" w:line="276"/>
      </w:pPr>
      <w:r>
        <w:rPr>
          <w:b/>
        </w:rPr>
        <w:t xml:space="preserve">Abstract (EN): </w:t>
      </w:r>
      <w:r>
        <w:t>The investigation of strongly-correlated quantum matter is difficult due to the curse of dimensionality and intricate entanglement structures. These challenges are particularly pronounced in the vicinity of continuous quantum phase transitions, where quantum fluctuations manifest across all length scales. While quantum simulators give controlled access to a number of strongly correlated systems, the study of critical phenomena has been hampered by finite-size effects arising from diverging correlation lengths. Moreover, the experimental investigation of entanglement in many-body systems has been hindered by limitations in measurement protocols. To address these challenges, we employ the multiscale entanglement renormalization ansatz (MERA) and implement a holographic scheme for subsystem tomography on a fully-connected trapped-ion quantum computer. Our method accurately represents infinite systems and long-range correlations with few qubits, facilitating the efficient extraction of observables and entanglement properties, even at criticality. We observe a quantum phase transition with spontaneous symmetry breaking and reveal the evolution of entanglement properties across the critical point. For the first time, we demonstrate log-law scaling of subsystem entanglement entropies at criticality on a digital quantum computer. This achievement highlights the potential of MERA for the investigation of strongly-correlated many-body systems on quantum computers.</w:t>
      </w:r>
    </w:p>
    <w:p>
      <w:pPr>
        <w:spacing w:before="120" w:after="120"/>
      </w:pPr>
      <w:r>
        <w:rPr>
          <w:sz w:val="18"/>
        </w:rPr>
        <w:t>——————————————————————————————————————————————————————————————————————</w:t>
      </w:r>
    </w:p>
    <w:p>
      <w:pPr>
        <w:spacing w:before="160" w:after="40" w:line="240" w:lineRule="auto"/>
      </w:pPr>
      <w:r>
        <w:rPr>
          <w:b/>
        </w:rPr>
        <w:t xml:space="preserve">[275] </w:t>
      </w:r>
      <w:hyperlink r:id="rId909">
        <w:r>
          <w:rPr>
            <w:color w:val="1155CC"/>
            <w:u w:val="single"/>
          </w:rPr>
          <w:t>β 细胞 FMO3 产生的 TMAO 可预防衰老和糖尿病条件下 NF-κB 介导的衰老和炎症</w:t>
        </w:r>
      </w:hyperlink>
    </w:p>
    <w:p>
      <w:pPr>
        <w:spacing w:before="0" w:after="80"/>
      </w:pPr>
      <w:r>
        <w:rPr>
          <w:i/>
          <w:sz w:val="20"/>
        </w:rPr>
        <w:t>EN: β-cell FMO3-produced TMAO prevents NF-κB-mediated senescence and inflammation in ageing and diabetic conditions</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人类细胞利用肠道微生物群衍生的代谢物来控制全身代谢。三甲胺 N-氧化物 (TMAO) 传统上被认为是微生物三甲胺的肝细胞衍生代谢物。在这里，我们证明胰腺 β 细胞也产生 TMAO 作为自分泌和细胞内代谢产物，以维持 β 细胞功能。 β 细胞通过含黄素的单加氧酶 3 (FMO3) 合成 TMAO，但在糖尿病和衰老条件下，人类和啮齿动物的这种机制会退化。 β细胞特异性删除FMO3会耗尽细胞内的TMAO，导致衰老、炎症和葡萄糖刺激的胰岛素分泌缺陷，从而导致小鼠出现年龄依赖性葡萄糖不耐受。 FMO3 的缺失会触发核因子 kappa-B (NF-κB) 激活，促进衰老和炎症反应。从机制上讲，TMAO 与 kappa B α (IκBα) 抑制剂结合，抑制 IκBα 降解和 NF-κB 核转位，从而阻断 NF-κB 介导的衰老和炎症程序的转录。补充 FMO3 可减少衰老人类胰岛的 NF-κB 激活和衰老。我们的研究结果揭示了 β 细胞衍生的 TMAO 对衰老相关 β 细胞功能障碍的保护作用。</w:t>
      </w:r>
    </w:p>
    <w:p>
      <w:pPr>
        <w:spacing w:before="0" w:after="200" w:lineRule="auto" w:line="276"/>
      </w:pPr>
      <w:r>
        <w:rPr>
          <w:b/>
        </w:rPr>
        <w:t xml:space="preserve">Abstract (EN): </w:t>
      </w:r>
      <w:r>
        <w:t>Human cells utilize gut microbiota-derived metabolites to control systemic metabolism. Trimethylamine N-oxide (TMAO) is traditionally considered a hepatocyte-derived metabolite from microbial trimethylamine. Here we show that pancreatic β-cells also produce TMAO as an autocrine and intracellular metabolite to maintain β-cell function. β-cells synthesize TMAO via flavin-containing monooxygenase 3 (FMO3), but this machinery deteriorates in humans and rodents under diabetic and ageing conditions. β-cell-specific deletion of FMO3 depletes intracellular TMAO, leading to senescence, inflammation, and defective glucose-stimulated insulin secretion, causing age-dependent glucose intolerance in mice. Loss of FMO3 triggers nuclear factor kappa-B (NF-κB) activation, promoting senescent and inflammatory responses. Mechanistically, TMAO binds to inhibitor of kappa B alpha (IκBα), which inhibits IκBα degradation and NF-κB nuclear translocation, thereby blocking NF-κB-mediated transcription of senescent and inflammatory programs. Replenishment of FMO3 reduces NF-κB activation and senescence in aged human islets. Our findings reveal a protective role of β-cell-derived TMAO against ageing-related β-cell dysfunction.</w:t>
      </w:r>
    </w:p>
    <w:p>
      <w:pPr>
        <w:spacing w:before="120" w:after="120"/>
      </w:pPr>
      <w:r>
        <w:rPr>
          <w:sz w:val="18"/>
        </w:rPr>
        <w:t>——————————————————————————————————————————————————————————————————————</w:t>
      </w:r>
    </w:p>
    <w:p>
      <w:pPr>
        <w:spacing w:before="160" w:after="40" w:line="240" w:lineRule="auto"/>
      </w:pPr>
      <w:r>
        <w:rPr>
          <w:b/>
        </w:rPr>
        <w:t xml:space="preserve">[276] </w:t>
      </w:r>
      <w:hyperlink r:id="rId910">
        <w:r>
          <w:rPr>
            <w:color w:val="1155CC"/>
            <w:u w:val="single"/>
          </w:rPr>
          <w:t>微生物抗旱是以土壤碳损失为代价的</w:t>
        </w:r>
      </w:hyperlink>
    </w:p>
    <w:p>
      <w:pPr>
        <w:spacing w:before="0" w:after="80"/>
      </w:pPr>
      <w:r>
        <w:rPr>
          <w:i/>
          <w:sz w:val="20"/>
        </w:rPr>
        <w:t>EN: Microbial drought resistance is achieved at the expense of soil carbon loss</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土壤微生物组的生活史策略可能决定其环境适应性并影响土壤碳-气候反馈。在这里，我们研究了微生物高产 (Y)、资源获取 (A) 和抗逆 (S) 策略之间的权衡及其对 960 万平方公里干旱梯度沿线土壤碳矿化潜力的影响。 Y-A-S 策略对干旱表现出非线性阈值响应，一旦干旱超过临界水平，S 和 A 策略就会激增，而 Y 策略则会急剧下降。 Y 策略的干旱阈值出现在 S 和 A 策略之后，因为增加对压力耐受性和资源获取的碳分配是以牺牲增长为代价的。 Y 策略产生负面影响，而 A 和 S 策略则对土壤碳矿化潜力产生积极影响。重要的是，干旱化加剧了这些影响。总体而言，我们的研究结果表明，微生物 Y-A-S 策略的变化显着影响土壤碳循环，应在微生物模型中予以考虑。</w:t>
      </w:r>
    </w:p>
    <w:p>
      <w:pPr>
        <w:spacing w:before="0" w:after="200" w:lineRule="auto" w:line="276"/>
      </w:pPr>
      <w:r>
        <w:rPr>
          <w:b/>
        </w:rPr>
        <w:t xml:space="preserve">Abstract (EN): </w:t>
      </w:r>
      <w:r>
        <w:t>Life history strategies of soil microbiomes may determine their environmental adaptability and influence soil carbon-climate feedbacks. Here, we investigate trade-offs among microbial high yield (Y), resource acquisition (A), and stress tolerance (S) strategies and their consequences for soil carbon mineralization potential along an aridity gradient spanning 9.6 million square kilometers. Y-A-S strategies show nonlinear threshold responses to aridity, where a surge in S- and A-strategies and a sharp decline in Y-strategy occur once aridity exceeds critical levels. The aridity threshold for the Y-strategy occurs after those of S- and A-strategies, as increasing carbon allocation into stress tolerance and resource acquisition comes at the expense of growth. The Y-strategy negatively impacts, while A- and S-strategies positively impact soil carbon mineralization potential. Importantly, aridification intensifies these impacts. Overall, our findings suggest that variations in microbial Y-A-S strategies significantly influence soil carbon cycling and should be considered in microbial models.</w:t>
      </w:r>
    </w:p>
    <w:p>
      <w:pPr>
        <w:spacing w:before="120" w:after="120"/>
      </w:pPr>
      <w:r>
        <w:rPr>
          <w:sz w:val="18"/>
        </w:rPr>
        <w:t>——————————————————————————————————————————————————————————————————————</w:t>
      </w:r>
    </w:p>
    <w:p>
      <w:pPr>
        <w:spacing w:before="160" w:after="40" w:line="240" w:lineRule="auto"/>
      </w:pPr>
      <w:r>
        <w:rPr>
          <w:b/>
        </w:rPr>
        <w:t xml:space="preserve">[277] </w:t>
      </w:r>
      <w:hyperlink r:id="rId911">
        <w:r>
          <w:rPr>
            <w:color w:val="1155CC"/>
            <w:u w:val="single"/>
          </w:rPr>
          <w:t>大型埋藏沿海古河口的咸水地下水遗产</w:t>
        </w:r>
      </w:hyperlink>
    </w:p>
    <w:p>
      <w:pPr>
        <w:spacing w:before="0" w:after="80"/>
      </w:pPr>
      <w:r>
        <w:rPr>
          <w:i/>
          <w:sz w:val="20"/>
        </w:rPr>
        <w:t>EN: The saline groundwater legacy of a large buried coastal paleo-estuary</w:t>
      </w:r>
    </w:p>
    <w:p>
      <w:pPr>
        <w:spacing w:before="0" w:after="120"/>
      </w:pPr>
      <w:r>
        <w:rPr>
          <w:b/>
        </w:rPr>
        <w:t xml:space="preserve">Source: </w:t>
      </w:r>
      <w:r>
        <w:t>Scientific community and society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沿海地区地下水盐度升高威胁着淡水地下水的有益利用。沿海地下水管理通常侧重于防止现代海水源的入侵；然而，过去的地质过程也可能留下隐藏在地下的含盐地下水。在这里，多次广泛的机载电磁调查提供了古河口残留盐分的详细证据，该古河口填充了晚更新世切开的山谷，影响了超过 10,000 平方公里，目前隐藏在路易斯安那州沿海三角洲平原下方。我们的研究结果表明，路易斯安那州下方咸水地下水的三维模式模仿了现代特拉华湾河口周围近地表含水层的三维模式，记录了冰河后海平面上升后密西西比河一个大型切开河谷过去淹没的特征。这些发现展示了一个了解遗留咸水来源的新框架，这对于管理全球海岸线紧张的水资源至关重要。</w:t>
      </w:r>
    </w:p>
    <w:p>
      <w:pPr>
        <w:spacing w:before="0" w:after="200" w:lineRule="auto" w:line="276"/>
      </w:pPr>
      <w:r>
        <w:rPr>
          <w:b/>
        </w:rPr>
        <w:t xml:space="preserve">Abstract (EN): </w:t>
      </w:r>
      <w:r>
        <w:t>Elevated groundwater salinity in coastal regions threatens the beneficial use of fresh groundwater. Coastal groundwater management typically focuses on preventing intrusion from modern sources of seawater; however, past geological processes can also leave a legacy of saline groundwater now hidden in the subsurface. Here, multiple extensive airborne electromagnetic surveys provide detailed evidence of residual salinity from a paleo-estuary filling a late Pleistocene incised valley impacting more than 10,000 km2 that is now hidden beneath coastal Louisiana’s deltaic plain. Our results show that the three-dimensional pattern of saline groundwater beneath Louisiana mimics that of near-surface aquifers surrounding the modern Delaware Bay estuary, fingerprinting the signature of the past drowning of a large, incised valley of the Mississippi River following post-glacial sea-level rise. These findings demonstrate a new framework for understanding legacy sources of saltwater critical for managing stressed water resources along global coastlines.</w:t>
      </w:r>
    </w:p>
    <w:p>
      <w:pPr>
        <w:spacing w:before="120" w:after="120"/>
      </w:pPr>
      <w:r>
        <w:rPr>
          <w:sz w:val="18"/>
        </w:rPr>
        <w:t>——————————————————————————————————————————————————————————————————————</w:t>
      </w:r>
    </w:p>
    <w:p>
      <w:pPr>
        <w:spacing w:before="160" w:after="40" w:line="240" w:lineRule="auto"/>
      </w:pPr>
      <w:r>
        <w:rPr>
          <w:b/>
        </w:rPr>
        <w:t xml:space="preserve">[278] </w:t>
      </w:r>
      <w:hyperlink r:id="rId912">
        <w:r>
          <w:rPr>
            <w:color w:val="1155CC"/>
            <w:u w:val="single"/>
          </w:rPr>
          <w:t>鉴定清道夫受体 BI 作为游离血红素清道夫，对于防止溶血至关重要</w:t>
        </w:r>
      </w:hyperlink>
    </w:p>
    <w:p>
      <w:pPr>
        <w:spacing w:before="0" w:after="80"/>
      </w:pPr>
      <w:r>
        <w:rPr>
          <w:i/>
          <w:sz w:val="20"/>
        </w:rPr>
        <w:t>EN: Identification of scavenger receptor BI as a scavenger of free heme that is essential for protection against hemolysis</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严重溶血是一种危及生命的疾病，治疗选择有限。尽管触珠蛋白和血红素结合蛋白隔离血红蛋白和血红素，但这些保护系统在急性溶血期间迅速饱和，导致细胞毒性游离血红素的积累。在这项研究中，我们确定清道夫受体 BI (SR-BI) 是游离血红素清除的关键介质。 SR-BI 结合血红素并促进其在病理条件下的肝脏摄取。缺乏肝脏 SR-BI 的小鼠表现出血红素清除受损以及对血红素和溶血引起的致死的敏感性增加。通过伊马替尼或腺病毒递送对肝脏 SR-BI 进行药理学上调，可防止血红素毒性。使用镰状细胞病 (SCD) 人源化模型，我们进一步证明，与非 SCD HbAA 同窝仔鼠相比，镰状细胞性肝病显着降低肝脏 SR-BI 表达，可能增加对血红素诱导损伤的脆弱性。值得注意的是，腺病毒介导的 SR-BI 上调可拯救 SCD 小鼠免受血红素毒性。这些发现揭示了以前未被认识的通过肝脏 SR-BI 进行血红素解毒的机制，并确定了溶血性疾病的有希望的治疗靶点。</w:t>
      </w:r>
    </w:p>
    <w:p>
      <w:pPr>
        <w:spacing w:before="0" w:after="200" w:lineRule="auto" w:line="276"/>
      </w:pPr>
      <w:r>
        <w:rPr>
          <w:b/>
        </w:rPr>
        <w:t xml:space="preserve">Abstract (EN): </w:t>
      </w:r>
      <w:r>
        <w:t>Severe hemolysis is a life-threatening condition with limited therapeutic options. Although haptoglobin and hemopexin sequester hemoglobin and heme, these protective systems are rapidly saturated during acute hemolysis, leading to the accumulation of cytotoxic free heme. In this study, we identify scavenger receptor BI (SR-BI) as a critical mediator of free heme clearance. SR-BI binds heme and facilitates its hepatic uptake under pathological conditions. Mice lacking hepatic SR-BI exhibit impaired heme clearance and increased susceptibility to heme- and hemolysis-induced lethality. Pharmacological upregulation of hepatic SR-BI via imatinib or adenoviral delivery confers protection against heme toxicity. Using a humanized model of sickle cell disease (SCD), we further demonstrate that sickle hepatopathy significantly reduces hepatic SR-BI expression compared to non-SCD HbAA littermates, potentially increasing vulnerability to heme-induced injury. Notably, adenoviral-mediated SR-BI upregulation rescues SCD mice from heme toxicity. These findings reveal a previously unrecognized mechanism of heme detoxification via hepatic SR-BI and identify a promising therapeutic target for hemolytic disorders.</w:t>
      </w:r>
    </w:p>
    <w:p>
      <w:pPr>
        <w:spacing w:before="120" w:after="120"/>
      </w:pPr>
      <w:r>
        <w:rPr>
          <w:sz w:val="18"/>
        </w:rPr>
        <w:t>——————————————————————————————————————————————————————————————————————</w:t>
      </w:r>
    </w:p>
    <w:p>
      <w:pPr>
        <w:spacing w:before="160" w:after="40" w:line="240" w:lineRule="auto"/>
      </w:pPr>
      <w:r>
        <w:rPr>
          <w:b/>
        </w:rPr>
        <w:t xml:space="preserve">[279] </w:t>
      </w:r>
      <w:hyperlink r:id="rId913">
        <w:r>
          <w:rPr>
            <w:color w:val="1155CC"/>
            <w:u w:val="single"/>
          </w:rPr>
          <w:t>羟基酸与脂质缀合可提高结构和水解稳定性</w:t>
        </w:r>
      </w:hyperlink>
    </w:p>
    <w:p>
      <w:pPr>
        <w:spacing w:before="0" w:after="80"/>
      </w:pPr>
      <w:r>
        <w:rPr>
          <w:i/>
          <w:sz w:val="20"/>
        </w:rPr>
        <w:t>EN: Hydroxy acid conjugation to lipids increases structural and hydrolytic stability</w:t>
      </w:r>
    </w:p>
    <w:p>
      <w:pPr>
        <w:spacing w:before="0" w:after="120"/>
      </w:pPr>
      <w:r>
        <w:rPr>
          <w:b/>
        </w:rPr>
        <w:t xml:space="preserve">Source: </w:t>
      </w:r>
      <w:r>
        <w:t>Physical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现代生活需要功能性聚合物和磷脂衍生的区室化。分隔和聚合之间的互惠关系从未在非生物场景中得到证实。由于羟基酸的聚合和短链脂肪酸的原始细胞样聚集都是众所周知的，因此我们使用这两类分子作为模型系统来研究区室化和聚合之间的协同相互作用。为此，我们探索了各种羟基酸-脂肪酸缀合物的形成。所有反应都会产生两种类型的缩合产物：羟基酸低聚酯和脂质共轭低聚酯。我们发现羟基酸与脂肪酸的缀合导致脂肪酸临界聚集浓度降低一个数量级。此外，羟基酸低聚物只有在与脂肪酸缀合时才能免受水解。我们的工作为自组装和协同化学作为脂质-聚合物共同进化中选择性驱动力的作用提供了有意义的见解。</w:t>
      </w:r>
    </w:p>
    <w:p>
      <w:pPr>
        <w:spacing w:before="0" w:after="200" w:lineRule="auto" w:line="276"/>
      </w:pPr>
      <w:r>
        <w:rPr>
          <w:b/>
        </w:rPr>
        <w:t xml:space="preserve">Abstract (EN): </w:t>
      </w:r>
      <w:r>
        <w:t>Contemporary life requires functional polymers and phospholipid-derived compartmentalization. Mutualistic relationships between compartmentalization and polymerization have never been demonstrated in an abiotic scenario. As both the polymerization of hydroxy acids and the primitive cell-like aggregation of short-chain fatty acids are well known, we study cooperative interactions between compartmentalization and polymerization using these two classes of molecules as a model system. To that end, we explore the formation of various hydroxy acid-fatty acid conjugates. All reactions produce two types of condensation products: hydroxy acid oligoesters and lipid-conjugated oligoesters. We find that conjugation of hydroxy acids to fatty acids leads to the reduction of fatty acid critical aggregation concentration by an order of magnitude. Furthermore, hydroxy acid oligomers are protected against hydrolysis only upon conjugation to fatty acids. Our work offers meaningful insights into the role of self-assembly and cooperative chemistry as selective driving forces in lipid-polymer co-evolution.</w:t>
      </w:r>
    </w:p>
    <w:p>
      <w:pPr>
        <w:spacing w:before="120" w:after="120"/>
      </w:pPr>
      <w:r>
        <w:rPr>
          <w:sz w:val="18"/>
        </w:rPr>
        <w:t>——————————————————————————————————————————————————————————————————————</w:t>
      </w:r>
    </w:p>
    <w:p>
      <w:pPr>
        <w:spacing w:before="160" w:after="40" w:line="240" w:lineRule="auto"/>
      </w:pPr>
      <w:r>
        <w:rPr>
          <w:b/>
        </w:rPr>
        <w:t xml:space="preserve">[280] </w:t>
      </w:r>
      <w:hyperlink r:id="rId914">
        <w:r>
          <w:rPr>
            <w:color w:val="1155CC"/>
            <w:u w:val="single"/>
          </w:rPr>
          <w:t>一种受折纸启发的可摄入超材料，用于延长口服治疗药物</w:t>
        </w:r>
      </w:hyperlink>
    </w:p>
    <w:p>
      <w:pPr>
        <w:spacing w:before="0" w:after="80"/>
      </w:pPr>
      <w:r>
        <w:rPr>
          <w:i/>
          <w:sz w:val="20"/>
        </w:rPr>
        <w:t>EN: An ingestible origami-inspired metamaterial for prolonged oral delivery of therapeutics</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口服药物治疗方案的依从性差会对治疗结果产生不利影响，并大大增加可预防的医疗费用，这凸显了对能够长期维持治疗水平的长效药物输送系统的需求。为了解决这个问题，我们开发了一种受折纸启发的口服药物递送剂型，能够在胃腔中长时间停留。该系统通过几何设计和形状优化实现了给药的简便性并延长了胃内的停留时间，使剂型能够折叠在标准的可摄入胶囊内。胶囊在胃中溶解后，剂型迅速转变为展开形态。我们的配方和制造技术能够开发出莫西沙星等样品药物重量负载能力高达 40% 的长效剂型。折纸设计的高表面积与体积比使得候选药物在观察到的时间窗口内能够实现近似线性的释放动力学。我们将溶解在胃肠道中性部分的 pH 敏感元素加入到剂型中，以促进其解离和在肠道中的安全转运。使用猪模型进行的体外和体内研究表明，胃内滞留时间长达三周（最少一周），并且释放速率大约持续三天。对动物模型的内窥镜和放射学评估证实，剂型安全地通过肠道，不会引起胃肠道梗阻或损伤。</w:t>
      </w:r>
    </w:p>
    <w:p>
      <w:pPr>
        <w:spacing w:before="0" w:after="200" w:lineRule="auto" w:line="276"/>
      </w:pPr>
      <w:r>
        <w:rPr>
          <w:b/>
        </w:rPr>
        <w:t xml:space="preserve">Abstract (EN): </w:t>
      </w:r>
      <w:r>
        <w:t>Poor adherence to oral drug regimens adversely affects treatment outcomes and contributes substantially to preventable healthcare costs, underscoring the need for long-acting drug delivery systems that sustain therapeutic levels over extended periods. To address this, we developed an origami-inspired, oral drug delivery dosage form capable of prolonged residence in the gastric cavity. This system achieves ease of administration and extended gastric residency through geometric design and shape optimization, allowing the dosage form to fold inside a standard ingestible capsule. Upon the capsule’s dissolution in the stomach, the dosage form rapidly transforms into its deployed configuration. Our formulation and manufacturing techniques enable the development of a long-acting dosage form with up to 40% weight loading capacity of sample drugs, such as moxifloxacin. The high surface-area-to-volume ratio of the origami design enables approximately linear release kinetics over the observed time window of candidate drugs. We incorporated pH-sensitive elements that dissolve in the neutral portions of the GI tract into the dosage form to promote its dissociation and safe transit in the intestine. In vitro and in vivo studies using swine models demonstrated extended gastric residency of up to three weeks (with a minimum of one week) and an approximately constant release rate for three days. Endoscopic and radiographic evaluations of the animal models confirmed that the dosage forms safely pass through the intestine without causing gastrointestinal obstruction or injury.</w:t>
      </w:r>
    </w:p>
    <w:p>
      <w:pPr>
        <w:spacing w:before="120" w:after="120"/>
      </w:pPr>
      <w:r>
        <w:rPr>
          <w:sz w:val="18"/>
        </w:rPr>
        <w:t>——————————————————————————————————————————————————————————————————————</w:t>
      </w:r>
    </w:p>
    <w:p>
      <w:pPr>
        <w:spacing w:before="160" w:after="40" w:line="240" w:lineRule="auto"/>
      </w:pPr>
      <w:r>
        <w:rPr>
          <w:b/>
        </w:rPr>
        <w:t xml:space="preserve">[281] </w:t>
      </w:r>
      <w:hyperlink r:id="rId915">
        <w:r>
          <w:rPr>
            <w:color w:val="1155CC"/>
            <w:u w:val="single"/>
          </w:rPr>
          <w:t>竞争性资源分配驱动疟疾寄生虫的异步和快速核增殖</w:t>
        </w:r>
      </w:hyperlink>
    </w:p>
    <w:p>
      <w:pPr>
        <w:spacing w:before="0" w:after="80"/>
      </w:pPr>
      <w:r>
        <w:rPr>
          <w:i/>
          <w:sz w:val="20"/>
        </w:rPr>
        <w:t>EN: Competitive resource allocation drives asynchronous and rapid nuclear multiplication in the malaria parasite</w:t>
      </w:r>
    </w:p>
    <w:p>
      <w:pPr>
        <w:spacing w:before="0" w:after="120"/>
      </w:pPr>
      <w:r>
        <w:rPr>
          <w:b/>
        </w:rPr>
        <w:t xml:space="preserve">Source: </w:t>
      </w:r>
      <w:r>
        <w:t>Physical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单细胞疟原虫恶性疟原虫在人类宿主的红细胞内增殖，在两天的发育周期内产生大约 20 种新的寄生虫。在细胞化和释放子细胞之前，细胞核在共享的细胞质中增殖。与其他发育中的真核生物中高度同步的核分裂周期形成鲜明对比的是，疟原虫核周期迅速去同步。将活细胞成像与生物物理模型相结合，我们阐明了去同步化的机制并研究了其对寄生虫增殖的影响。我们发现自主核循环的标准模型无法解释实验数据，因此去同步需要核耦合。 DNA 复制所需的有限蛋白质池的竞争解释了这些数据，前提是将它们按顺序分配到各个细胞核。顺序分配可以通过资源与DNA的可逆但稳定的关联来实现。值得注意的是，由此产生的异步核循环通过最大限度地减少资源的空闲时间来加速寄生虫的增殖。这种机制可能是在次优生长条件下最大化增殖的一般策略。总之，我们的研究结果表明核循环异步是实现快速扩散的资源有效手段。</w:t>
      </w:r>
    </w:p>
    <w:p>
      <w:pPr>
        <w:spacing w:before="0" w:after="200" w:lineRule="auto" w:line="276"/>
      </w:pPr>
      <w:r>
        <w:rPr>
          <w:b/>
        </w:rPr>
        <w:t xml:space="preserve">Abstract (EN): </w:t>
      </w:r>
      <w:r>
        <w:t>The unicellular malaria parasite Plasmodium falciparum proliferates within red blood cells of its human host, where it generates approximately 20 new parasites within a two-day developmental cycle. Before cellularization and release of the daughter cells, the nuclei multiply in a shared cytoplasm. In stark contrast to highly synchronized nuclear division cycles seen in other developing eukaryotes, Plasmodium nuclear cycles desynchronize rapidly. Combining live-cell imaging with biophysical modeling, we elucidate the mechanism of desynchronization and study its impact on parasite proliferation. We find that standard models of autonomous nuclear cycles cannot account for the experimental data, and therefore desynchronization requires nuclear coupling. Competition for a limiting pool of proteins needed for DNA replication explains the data, provided that they are allocated sequentially to individual nuclei. Sequential allocation can be achieved by reversible but stable association of the resources with DNA. Remarkably, the resultant asynchronous nuclear cycles accelerate parasite proliferation by minimizing idling times of the resource. This mechanism may be a general strategy to maximize proliferation in suboptimal growth conditions. Together, our findings identify nuclear cycle asynchrony as a resource-efficient means to achieve rapid proliferation.</w:t>
      </w:r>
    </w:p>
    <w:p>
      <w:pPr>
        <w:spacing w:before="120" w:after="120"/>
      </w:pPr>
      <w:r>
        <w:rPr>
          <w:sz w:val="18"/>
        </w:rPr>
        <w:t>——————————————————————————————————————————————————————————————————————</w:t>
      </w:r>
    </w:p>
    <w:p>
      <w:pPr>
        <w:spacing w:before="160" w:after="40" w:line="240" w:lineRule="auto"/>
      </w:pPr>
      <w:r>
        <w:rPr>
          <w:b/>
        </w:rPr>
        <w:t xml:space="preserve">[282] </w:t>
      </w:r>
      <w:hyperlink r:id="rId916">
        <w:r>
          <w:rPr>
            <w:color w:val="1155CC"/>
            <w:u w:val="single"/>
          </w:rPr>
          <w:t>解耦转录平台能够在酵母中实现可调节和可预测的基因表达</w:t>
        </w:r>
      </w:hyperlink>
    </w:p>
    <w:p>
      <w:pPr>
        <w:spacing w:before="0" w:after="80"/>
      </w:pPr>
      <w:r>
        <w:rPr>
          <w:i/>
          <w:sz w:val="20"/>
        </w:rPr>
        <w:t>EN: A decoupled transcription platform enables tunable and predictable gene expression in yeast</w:t>
      </w:r>
    </w:p>
    <w:p>
      <w:pPr>
        <w:spacing w:before="0" w:after="120"/>
      </w:pPr>
      <w:r>
        <w:rPr>
          <w:b/>
        </w:rPr>
        <w:t xml:space="preserve">Source: </w:t>
      </w:r>
      <w:r>
        <w:t>Biological sciences : Nature Communications subject feeds</w:t>
      </w:r>
      <w:r>
        <w:t xml:space="preserve">    </w:t>
      </w:r>
      <w:r>
        <w:rPr>
          <w:b/>
        </w:rPr>
        <w:t xml:space="preserve">Pub date: </w:t>
      </w:r>
      <w:r>
        <w:t>2026-07-27 00:00:00+00:00</w:t>
      </w:r>
    </w:p>
    <w:p>
      <w:pPr>
        <w:spacing w:before="0" w:after="120"/>
      </w:pPr>
      <w:r>
        <w:rPr>
          <w:b/>
        </w:rPr>
        <w:t xml:space="preserve">Notes: </w:t>
      </w:r>
      <w:r>
        <w:t>abstract_source=nature_html</w:t>
      </w:r>
    </w:p>
    <w:p>
      <w:pPr>
        <w:spacing w:before="0" w:after="80" w:lineRule="auto" w:line="276"/>
      </w:pPr>
      <w:r>
        <w:rPr>
          <w:b/>
        </w:rPr>
        <w:t xml:space="preserve">摘要（ZH）: </w:t>
      </w:r>
      <w:r>
        <w:t>基因表达的可预测控制对于构建遗传回路和改善代谢途径至关重要，但传统启动子文库在基因组合时通常表现不可预测。在这里，我们开发了基于 CRISPR 激活启动子的正交表达 (CAPO)，这是一种用于控制酵母中多个基因的定量平台。 CAPO 使用合成的 CRISPR 激活启动子，启动子保持沉默，直到匹配的引导 RNA 招募 dCas9-VPR。我们通过使用定义的 T7 启动子改变指导 RNA 丰度来调整每个基因，同时保持调控通道正交。 CAPO 达到与强天然酵母启动子相当的表达水平，保持低背景活性，并保持不同基因的启动子强度顺序。我们应用 CAPO 来编程广泛的荧光颜色输出并快速优化番茄红素和 3-羟基丙酸的生物合成。这些结果使 CAPO 成为可预测的真核基因网络工程的可扩展平台。</w:t>
      </w:r>
    </w:p>
    <w:p>
      <w:pPr>
        <w:spacing w:before="0" w:after="200" w:lineRule="auto" w:line="276"/>
      </w:pPr>
      <w:r>
        <w:rPr>
          <w:b/>
        </w:rPr>
        <w:t xml:space="preserve">Abstract (EN): </w:t>
      </w:r>
      <w:r>
        <w:t>Predictable control of gene expression is essential for building genetic circuits and improving metabolic pathways, but conventional promoter libraries often behave unpredictably when genes are combined. Here we develop CRISPR-Activated Promoter-based Orthogonal expression (CAPO), a quantitative platform for controlling multiple genes in yeast. CAPO uses synthetic CRISPR-activated promoters that remain silent until matching guide RNAs recruit dCas9-VPR. We tune each gene by varying guide RNA abundance with defined T7 promoters, while keeping regulatory channels orthogonal. CAPO reaches expression levels comparable to strong native yeast promoters, maintains low background activity, and preserves promoter-strength order across different genes. We apply CAPO to program broad fluorescence color outputs and to rapidly optimize lycopene and 3-hydroxypropionic acid biosynthesis. These results establish CAPO as a scalable platform for predictable engineering of eukaryotic gene networks.</w:t>
      </w:r>
    </w:p>
    <w:p>
      <w:pPr>
        <w:spacing w:before="120" w:after="120"/>
      </w:pPr>
      <w:r>
        <w:rPr>
          <w:sz w:val="18"/>
        </w:rPr>
        <w:t>——————————————————————————————————————————————————————————————————————</w:t>
      </w:r>
    </w:p>
    <w:p>
      <w:pPr>
        <w:spacing w:before="160" w:after="40" w:line="240" w:lineRule="auto"/>
      </w:pPr>
      <w:r>
        <w:rPr>
          <w:b/>
        </w:rPr>
        <w:t xml:space="preserve">[283] </w:t>
      </w:r>
      <w:hyperlink r:id="rId917">
        <w:r>
          <w:rPr>
            <w:color w:val="1155CC"/>
            <w:u w:val="single"/>
          </w:rPr>
          <w:t>对 Madangopal 等人的修正，独特的前边缘皮层集合编码响应执行和抑制</w:t>
        </w:r>
      </w:hyperlink>
    </w:p>
    <w:p>
      <w:pPr>
        <w:spacing w:before="0" w:after="80"/>
      </w:pPr>
      <w:r>
        <w:rPr>
          <w:i/>
          <w:sz w:val="20"/>
        </w:rPr>
        <w:t>EN: Correction for Madangopal et al., Distinct prelimbic cortex ensembles encode response execution and inhibition</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18">
        <w:r>
          <w:rPr>
            <w:color w:val="1155CC"/>
            <w:u w:val="single"/>
          </w:rPr>
          <w:t>10.1073/pnas.2624390123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[284] </w:t>
      </w:r>
      <w:hyperlink r:id="rId919">
        <w:r>
          <w:rPr>
            <w:color w:val="1155CC"/>
            <w:u w:val="single"/>
          </w:rPr>
          <w:t>主要功能群体解释了全球鸟类多样性对农田废弃的反应</w:t>
        </w:r>
      </w:hyperlink>
    </w:p>
    <w:p>
      <w:pPr>
        <w:spacing w:before="0" w:after="80"/>
      </w:pPr>
      <w:r>
        <w:rPr>
          <w:i/>
          <w:sz w:val="20"/>
        </w:rPr>
        <w:t>EN: Dominant functional group explains global bird diversity responses to farmland abandonment</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20">
        <w:r>
          <w:rPr>
            <w:color w:val="1155CC"/>
            <w:u w:val="single"/>
          </w:rPr>
          <w:t>10.1073/pnas.2530120123</w:t>
        </w:r>
      </w:hyperlink>
    </w:p>
    <w:p>
      <w:pPr>
        <w:spacing w:before="0" w:after="120"/>
      </w:pPr>
      <w:r>
        <w:rPr>
          <w:b/>
        </w:rPr>
        <w:t xml:space="preserve">Notes: </w:t>
      </w:r>
      <w:r>
        <w:t>abstract_source=crossref</w:t>
      </w:r>
    </w:p>
    <w:p>
      <w:pPr>
        <w:spacing w:before="0" w:after="80" w:lineRule="auto" w:line="276"/>
      </w:pPr>
      <w:r>
        <w:rPr>
          <w:b/>
        </w:rPr>
        <w:t xml:space="preserve">摘要（ZH）: </w:t>
      </w:r>
      <w:r>
        <w:t>扭转生物多样性下降的趋势需要重新设计农业景观及其管理。农田撂荒和集约化正在成为生物多样性变化的主要驱动因素，其后果在各大洲之间有很大差异，从负面到正面。尽管对农业生物多样性进行了数十年的研究，但尚未建立通用的框架来预测全球范围内的这些变化，从而阻碍了有效保护战略的制定。在这里，我们将日本各地的大规模、多季节鸟类实地调查与跨越四大洲的全球荟萃分析结合起来。在实地调查中，我们比较了废弃农田（废弃后≤50年）、传统农田和集约农田中2公顷地块的鸟类物种丰富度，并控制了周围的土地利用覆盖。我们表明，主导功能群体有力地解释了社区层面对遗弃和集约化反应的方向和强度。当成熟栖息地物种占群落的 50% 以上时，遗弃会使物种丰富度提高 240% 以上，达到与自然湿地相当的水平。废弃农田有可能抵消过去生物多样性的下降，因此值得考虑将其纳入保护区网络。相反，当受干扰栖息地物种占群落的 48% 以上时，遗弃和集约化会降低物种丰富度，凸显了生物多样性友好型农业的重要性。这项研究为理解如何解决生物多样性的不同空间变化提供了基础</w:t>
      </w:r>
    </w:p>
    <w:p>
      <w:pPr>
        <w:spacing w:before="0" w:after="200" w:lineRule="auto" w:line="276"/>
      </w:pPr>
      <w:r>
        <w:rPr>
          <w:b/>
        </w:rPr>
        <w:t xml:space="preserve">Abstract (EN): </w:t>
      </w:r>
      <w:r>
        <w:t>Reversing biodiversity declines will require redesigning agricultural landscapes and their management. Farmland abandonment and intensification are emerging as major drivers of biodiversity changes, and their consequences vary widely from negative to positive among continents. Despite decades of research on agricultural biodiversity, no generalizable framework has been established to predict these variations globally, hindering the development of effective conservation strategies. Here, we combine broad-scale, multiseason avian field surveys across Japan with a global meta-analysis spanning four continents. In field surveys, we compared avian species richness among 2-ha plots in abandoned farmland (≤ 50 y since abandonment), traditional farmland, and intensive farmland, controlling for the surrounding land-use cover. We showed that the dominant functional group robustly explains the direction and strength of community-level responses to abandonment and intensification. When mature-habitat species comprise over 50% of communities, abandonment enhances species richness by over 240%, reaching levels comparable to natural wetlands. Abandoned farmlands hold the potential to offset past biodiversity declines and thus merit considerations for inclusion within the conservation area networks. Conversely, when disturbed-habitat species comprise more than 48% of communities, abandonment and intensification reduce species richness, underscoring the importance of biodiversity-friendly farming. This study provides a basis to understand how to address varied spatial variations in biodiversity responses to management and land-cover changes—a long-standing hurdle in conservation science. Complex bird diversity responses can be predicted globally by simply identifying the dominant functional group, thereby helping develop the most effective conservation strategies. Transferability beyond birds and across taxa should be evaluated empirically.</w:t>
      </w:r>
    </w:p>
    <w:p>
      <w:pPr>
        <w:spacing w:before="120" w:after="120"/>
      </w:pPr>
      <w:r>
        <w:rPr>
          <w:sz w:val="18"/>
        </w:rPr>
        <w:t>——————————————————————————————————————————————————————————————————————</w:t>
      </w:r>
    </w:p>
    <w:p>
      <w:pPr>
        <w:spacing w:before="160" w:after="40" w:line="240" w:lineRule="auto"/>
      </w:pPr>
      <w:r>
        <w:rPr>
          <w:b/>
        </w:rPr>
        <w:t xml:space="preserve">[285] </w:t>
      </w:r>
      <w:hyperlink r:id="rId921">
        <w:r>
          <w:rPr>
            <w:color w:val="1155CC"/>
            <w:u w:val="single"/>
          </w:rPr>
          <w:t>冲刺般的心脏动力学支持在觅食的斑鲸中反复进行杂技式的弓步</w:t>
        </w:r>
      </w:hyperlink>
    </w:p>
    <w:p>
      <w:pPr>
        <w:spacing w:before="0" w:after="80"/>
      </w:pPr>
      <w:r>
        <w:rPr>
          <w:i/>
          <w:sz w:val="20"/>
        </w:rPr>
        <w:t>EN: Sprint-like cardiac dynamics support repeated acrobatic lunges in foraging rorqual whales</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22">
        <w:r>
          <w:rPr>
            <w:color w:val="1155CC"/>
            <w:u w:val="single"/>
          </w:rPr>
          <w:t>10.1073/pnas.2613082123</w:t>
        </w:r>
      </w:hyperlink>
    </w:p>
    <w:p>
      <w:pPr>
        <w:spacing w:before="0" w:after="120"/>
      </w:pPr>
      <w:r>
        <w:rPr>
          <w:b/>
        </w:rPr>
        <w:t xml:space="preserve">Notes: </w:t>
      </w:r>
      <w:r>
        <w:t>abstract_source=crossref</w:t>
      </w:r>
    </w:p>
    <w:p>
      <w:pPr>
        <w:spacing w:before="0" w:after="80" w:lineRule="auto" w:line="276"/>
      </w:pPr>
      <w:r>
        <w:rPr>
          <w:b/>
        </w:rPr>
        <w:t xml:space="preserve">摘要（ZH）: </w:t>
      </w:r>
      <w:r>
        <w:t>潜水反应会降低心率、调节血流分布、保存氧气并延长潜水时间。对于潜水动物，可以调节潜水心率以满足觅食期间增加的运动需求。然而，弓步捕食的猫头鹰代表了屏气条件下运动的一个极端例子：尽管它们的大部分潜水时间都花在滑行和过滤上，但弓步需要高功率、杂技般的冲刺才能吞下大量猎物的水。我们的生物记录数据显示，心率随着冲刺而反复增加，但在过滤过程中仅逐渐下降，这与在其他潜水员中观察到的心率-活动耦合不同。我们认为，rorqual 运动的独特性质可能需要糖酵解代谢底物，而不是有氧底物，在短而有力的弓步过程中。在缓慢过滤过程中，高心率可能有助于通过依赖氧气的途径部分更新这些能量来源。通过暂时缓冲氧气供应的需求，灵活的潜水反应似乎可以优化刺猬的氧气使用，并支持有氧“廉价”觅食。数据还表明，潜水周期心率范围随着鱼体尺寸的增加而增加。我们认为，觅食潜水的高功率和低功率阶段的心血管可塑性支撑了短吻鳄实现高觅食效率并将爆炸性捕食与单一谱系中的放牧效率相结合的能力。</w:t>
      </w:r>
    </w:p>
    <w:p>
      <w:pPr>
        <w:spacing w:before="0" w:after="200" w:lineRule="auto" w:line="276"/>
      </w:pPr>
      <w:r>
        <w:rPr>
          <w:b/>
        </w:rPr>
        <w:t xml:space="preserve">Abstract (EN): </w:t>
      </w:r>
      <w:r>
        <w:t>The dive response decreases heart rate, regulates blood flow distribution, conserves oxygen, and extends dive duration. In diving animals, dive heart rate can be modulated to meet increased demands of exercise during foraging. However, lunge-feeding rorquals represent an extreme example of exercise under breath-hold conditions: Though most of their dive time is spent gliding and filtering, lunges require high-power, acrobatic sprints to engulf massive volumes of prey-laden water. Our biologging data show that heart rate repeatedly increases with lunging but only gradually declines during filtering, dissimilar from the heart rate-activity coupling observed in other divers. We suggest that the unique nature of rorqual exercise likely requires glycolytic metabolic substrates, rather than aerobic substrates, during short, powerful lunges. During slow filtering, high heart rates may help partially renew these energy sources via oxygen-dependent pathways. By temporarily buffering oxygen demand from supply, the flexible dive response appears to optimize oxygen use in lunging rorquals and support aerobically “cheap” foraging. The data also show that dive cycle heart rate scope increases with rorqual size. We propose that cardiovascular plasticity during high and low power phases of foraging dives underpins rorquals’ ability to achieve high foraging efficiencies and combine explosive predation with grazing-like efficiency in a single lineage.</w:t>
      </w:r>
    </w:p>
    <w:p>
      <w:pPr>
        <w:spacing w:before="120" w:after="120"/>
      </w:pPr>
      <w:r>
        <w:rPr>
          <w:sz w:val="18"/>
        </w:rPr>
        <w:t>——————————————————————————————————————————————————————————————————————</w:t>
      </w:r>
    </w:p>
    <w:p>
      <w:pPr>
        <w:spacing w:before="160" w:after="40" w:line="240" w:lineRule="auto"/>
      </w:pPr>
      <w:r>
        <w:rPr>
          <w:b/>
        </w:rPr>
        <w:t xml:space="preserve">[286] </w:t>
      </w:r>
      <w:hyperlink r:id="rId923">
        <w:r>
          <w:rPr>
            <w:color w:val="1155CC"/>
            <w:u w:val="single"/>
          </w:rPr>
          <w:t>回复 Topaz 和 Bahl：解读 2022 年后学术散文的词汇转变</w:t>
        </w:r>
      </w:hyperlink>
    </w:p>
    <w:p>
      <w:pPr>
        <w:spacing w:before="0" w:after="80"/>
      </w:pPr>
      <w:r>
        <w:rPr>
          <w:i/>
          <w:sz w:val="20"/>
        </w:rPr>
        <w:t>EN: Reply to Topaz and Bahl: Interpreting a post-2022 lexical shift in academic prose</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24">
        <w:r>
          <w:rPr>
            <w:color w:val="1155CC"/>
            <w:u w:val="single"/>
          </w:rPr>
          <w:t>10.1073/pnas.2621834123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[287] </w:t>
      </w:r>
      <w:hyperlink r:id="rId925">
        <w:r>
          <w:rPr>
            <w:color w:val="1155CC"/>
            <w:u w:val="single"/>
          </w:rPr>
          <w:t>更正孟等人，在能源价格上涨的情况下重新思考欧盟的能源转型战略</w:t>
        </w:r>
      </w:hyperlink>
    </w:p>
    <w:p>
      <w:pPr>
        <w:spacing w:before="0" w:after="80"/>
      </w:pPr>
      <w:r>
        <w:rPr>
          <w:i/>
          <w:sz w:val="20"/>
        </w:rPr>
        <w:t>EN: Correction for Meng et al., Rethinking energy transition strategies for the European Union amid rising energy prices</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26">
        <w:r>
          <w:rPr>
            <w:color w:val="1155CC"/>
            <w:u w:val="single"/>
          </w:rPr>
          <w:t>10.1073/pnas.2622923123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[288] </w:t>
      </w:r>
      <w:hyperlink r:id="rId927">
        <w:r>
          <w:rPr>
            <w:color w:val="1155CC"/>
            <w:u w:val="single"/>
          </w:rPr>
          <w:t>核糖体肽基转移酶中心序列中的回文表明原核糖体出现方案</w:t>
        </w:r>
      </w:hyperlink>
    </w:p>
    <w:p>
      <w:pPr>
        <w:spacing w:before="0" w:after="80"/>
      </w:pPr>
      <w:r>
        <w:rPr>
          <w:i/>
          <w:sz w:val="20"/>
        </w:rPr>
        <w:t>EN: Palindrome in the sequence of the ribosomal peptidyl transferase center suggests a protoribosome emergence scheme</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28">
        <w:r>
          <w:rPr>
            <w:color w:val="1155CC"/>
            <w:u w:val="single"/>
          </w:rPr>
          <w:t>10.1073/pnas.2512179123</w:t>
        </w:r>
      </w:hyperlink>
    </w:p>
    <w:p>
      <w:pPr>
        <w:spacing w:before="0" w:after="120"/>
      </w:pPr>
      <w:r>
        <w:rPr>
          <w:b/>
        </w:rPr>
        <w:t xml:space="preserve">Notes: </w:t>
      </w:r>
      <w:r>
        <w:t>abstract_source=crossref</w:t>
      </w:r>
    </w:p>
    <w:p>
      <w:pPr>
        <w:spacing w:before="0" w:after="80" w:lineRule="auto" w:line="276"/>
      </w:pPr>
      <w:r>
        <w:rPr>
          <w:b/>
        </w:rPr>
        <w:t xml:space="preserve">摘要（ZH）: </w:t>
      </w:r>
      <w:r>
        <w:t>现代核糖体的简单版本的出现代表了我们所知的生命进化中不可或缺的一步。独立的二聚体原核糖体模型源自现代核糖体的肽基转移酶中心，已被证明执行催化肽键形成的主要核糖体功能。然而，随机出现能够充当单体序列的合适 70 聚体 RNA 链的可能性仍然值得怀疑。在这里，最初看似“幻觉”的 AlphaFold3 对假定的原核糖体的预测，被发现表达了跨越大部分核糖体衍生单体序列的回文结构的存在。该序列的框架表明了一种简单的、可通过实验测试的分子机制，通过该机制，核糖体衍生的原核糖体的类似物可以从单个 10 聚体 RNA 片段的几个拷贝和互补链进行自组装。这种情况显着降低了原核糖体自主出现的复杂性，并为连续进化途径提供了一个合理的起点，从无生命物质到我们所知的生命。</w:t>
      </w:r>
    </w:p>
    <w:p>
      <w:pPr>
        <w:spacing w:before="0" w:after="200" w:lineRule="auto" w:line="276"/>
      </w:pPr>
      <w:r>
        <w:rPr>
          <w:b/>
        </w:rPr>
        <w:t xml:space="preserve">Abstract (EN): </w:t>
      </w:r>
      <w:r>
        <w:t>The emergence of a simple version of the modern ribosome represents an indispensable step in the evolution of life as we know it. Standalone dimeric protoribosome models, derived from the peptidyl transferase center of the modern ribosome, have been shown to perform the primary ribosomal function of catalyzing peptide bond formation. However, the likelihood of the random occurrence of a suitable 70-mer RNA strand capable of serving as the monomer sequence remains questionable. Here, what initially appeared to be a “hallucinatory” AlphaFold3 prediction of a putative protoribosome, was found to express the presence of a palindrome spanning most of the ribosome-derived monomer sequence. The framework of this sequence suggests a simple, experimentally testable molecular mechanism by which an analog of the ribosome-derived protoribosome could have self-assembled from a few copies and complementary strands of a single 10-mer RNA segment. This scenario significantly reduces the complexity attributed to the autonomous emergence of a protoribosome and provides a plausible starting point for a continuous evolutionary pathway, leading from inanimate matter to life as we know it.</w:t>
      </w:r>
    </w:p>
    <w:p>
      <w:pPr>
        <w:spacing w:before="120" w:after="120"/>
      </w:pPr>
      <w:r>
        <w:rPr>
          <w:sz w:val="18"/>
        </w:rPr>
        <w:t>——————————————————————————————————————————————————————————————————————</w:t>
      </w:r>
    </w:p>
    <w:p>
      <w:pPr>
        <w:spacing w:before="160" w:after="40" w:line="240" w:lineRule="auto"/>
      </w:pPr>
      <w:r>
        <w:rPr>
          <w:b/>
        </w:rPr>
        <w:t xml:space="preserve">[289] </w:t>
      </w:r>
      <w:hyperlink r:id="rId929">
        <w:r>
          <w:rPr>
            <w:color w:val="1155CC"/>
            <w:u w:val="single"/>
          </w:rPr>
          <w:t>透支的萨克拉门托谷含水层系统突然转变为不可逆转的损害</w:t>
        </w:r>
      </w:hyperlink>
    </w:p>
    <w:p>
      <w:pPr>
        <w:spacing w:before="0" w:after="80"/>
      </w:pPr>
      <w:r>
        <w:rPr>
          <w:i/>
          <w:sz w:val="20"/>
        </w:rPr>
        <w:t>EN: Abrupt transition to irreversible damage in the overdrafted Sacramento Valley aquifer system</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30">
        <w:r>
          <w:rPr>
            <w:color w:val="1155CC"/>
            <w:u w:val="single"/>
          </w:rPr>
          <w:t>10.1073/pnas.2526041123</w:t>
        </w:r>
      </w:hyperlink>
    </w:p>
    <w:p>
      <w:pPr>
        <w:spacing w:before="0" w:after="120"/>
      </w:pPr>
      <w:r>
        <w:rPr>
          <w:b/>
        </w:rPr>
        <w:t xml:space="preserve">Notes: </w:t>
      </w:r>
      <w:r>
        <w:t>abstract_source=crossref</w:t>
      </w:r>
    </w:p>
    <w:p>
      <w:pPr>
        <w:spacing w:before="0" w:after="80" w:lineRule="auto" w:line="276"/>
      </w:pPr>
      <w:r>
        <w:rPr>
          <w:b/>
        </w:rPr>
        <w:t xml:space="preserve">摘要（ZH）: </w:t>
      </w:r>
      <w:r>
        <w:t>地下水抽取降低了含水层系统中的水压，导致含水层发生可逆或不可逆变形，分别表现为地表的可恢复或永久位移。鉴于含水层系统的复杂性、异质性，检测和预测含水层系统何时何地从可逆的孔隙弹性状态转变为不可逆的非弹性状态仍然是一个至关重要的挑战。在这里，我们利用 2016 年至 2022 年地面变形和地下水位的高分辨率测量来描述区域尺度的两种状况，并表明在加州 2020 年至 2022 年极端干旱期间，萨克拉门托山谷的大片地区发生了关键转变。我们的分析表明，虽然在 2016 年至 2020 年间旱期，变形仍然主要是孔隙弹性的，但在 2021 年，地下水大量开采地区的地面沉降突然加速，沉降率每年超过推断的孔隙弹性率几分米。如此迅速而广泛的地面沉降表明底层含水层系统的严重非弹性压实和存储能力丧失，这对加州的水资源和基础设施构成严重威胁。当前变形与历史地下水位的比较表明，仅根据现有地下水记录无法预测这种突然转变。</w:t>
      </w:r>
    </w:p>
    <w:p>
      <w:pPr>
        <w:spacing w:before="0" w:after="200" w:lineRule="auto" w:line="276"/>
      </w:pPr>
      <w:r>
        <w:rPr>
          <w:b/>
        </w:rPr>
        <w:t xml:space="preserve">Abstract (EN): </w:t>
      </w:r>
      <w:r>
        <w:t>Groundwater extraction decreases water pressure in aquifer systems, causing reversible or irreversible deformation of the water-bearing layers that manifests as recoverable or permanent displacements of the land surface, respectively. Detecting and forecasting when and where an aquifer system transitions from a reversible, poroelastic regime, to an irreversible, inelastic regime remains a crucial challenge given the complex, heterogeneous nature of aquifer systems. Here we leverage high-resolution measurements of ground deformation and groundwater levels from 2016 to 2022 to characterize both regimes at the regional scale and show that a critical transition occurred in large areas of the Sacramento Valley during California’s 2020–2022 extreme drought. Our analysis reveals that, while deformation remained primarily poroelastic during the 2016–2020 interdrought period, land subsidence in areas of intense groundwater extraction accelerated abruptly in 2021, with subsidence rates exceeding the inferred poroelastic rates by several decimeters per year. Such rapid and extensive land subsidence indicates severe inelastic compaction and loss of storage capacity of the underlying aquifer system, which pose a serious threat to California’s water resources and infrastructure. A comparison of present-day deformation with historical groundwater levels reveals that this abrupt transition was not predictable based on the available groundwater records alone.</w:t>
      </w:r>
    </w:p>
    <w:p>
      <w:pPr>
        <w:spacing w:before="120" w:after="120"/>
      </w:pPr>
      <w:r>
        <w:rPr>
          <w:sz w:val="18"/>
        </w:rPr>
        <w:t>——————————————————————————————————————————————————————————————————————</w:t>
      </w:r>
    </w:p>
    <w:p>
      <w:pPr>
        <w:spacing w:before="160" w:after="40" w:line="240" w:lineRule="auto"/>
      </w:pPr>
      <w:r>
        <w:rPr>
          <w:b/>
        </w:rPr>
        <w:t xml:space="preserve">[290] </w:t>
      </w:r>
      <w:hyperlink r:id="rId931">
        <w:r>
          <w:rPr>
            <w:color w:val="1155CC"/>
            <w:u w:val="single"/>
          </w:rPr>
          <w:t>蛋氨酸氧化改变人 TDP-43 C 端结构域相分离中的螺旋组装和无序接触</w:t>
        </w:r>
      </w:hyperlink>
    </w:p>
    <w:p>
      <w:pPr>
        <w:spacing w:before="0" w:after="80"/>
      </w:pPr>
      <w:r>
        <w:rPr>
          <w:i/>
          <w:sz w:val="20"/>
        </w:rPr>
        <w:t>EN: Methionine oxidation alters both helical assembly and disordered contacts in human TDP-43 C-terminal domain phase separation</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32">
        <w:r>
          <w:rPr>
            <w:color w:val="1155CC"/>
            <w:u w:val="single"/>
          </w:rPr>
          <w:t>10.1073/pnas.2537431123</w:t>
        </w:r>
      </w:hyperlink>
    </w:p>
    <w:p>
      <w:pPr>
        <w:spacing w:before="0" w:after="120"/>
      </w:pPr>
      <w:r>
        <w:rPr>
          <w:b/>
        </w:rPr>
        <w:t xml:space="preserve">Notes: </w:t>
      </w:r>
      <w:r>
        <w:t>abstract_source=crossref</w:t>
      </w:r>
    </w:p>
    <w:p>
      <w:pPr>
        <w:spacing w:before="0" w:after="80" w:lineRule="auto" w:line="276"/>
      </w:pPr>
      <w:r>
        <w:rPr>
          <w:b/>
        </w:rPr>
        <w:t xml:space="preserve">摘要（ZH）: </w:t>
      </w:r>
      <w:r>
        <w:t>TAR DNA 结合蛋白 43 (TDP-43) 是一种与 ALS 病理学相关的关键蛋白，它经历相分离并通过细胞内凝聚形成功能性组装体。其 C 端结构域 (CTD) 内的保守区 (CR) 通过螺旋-螺旋相互作用介导自组装，而侧翼的本质无序区域 (IDR) 通过涉及芳香族和疏水性残基的瞬时相互作用有助于相分离。 CTD 包含十个蛋氨酸残基，均匀分布在这些区域之间，使其特别容易受到氧化修饰。虽然已知蛋氨酸氧化会损害 TDP-43 相分离，但与 IDR 相比，CR 中蛋氨酸的精确机制和具体贡献尚未确定。在这里，我们结合核磁共振波谱和分子动力学 (MD) 模拟来揭示每个区域的蛋氨酸氧化是否以及如何对 CTD 结构和相分离产生不同的影响。为了评估氧化引起的二级结构的变化，我们测量了蛋氨酸亚砜的 NMR 无规卷曲化学位移值。 CR 蛋氨酸的氧化会破坏螺旋结构并直接损害分子间螺旋缔合，而 IDR 蛋氨酸的氧化会破坏长程接触。因此，尽管机制不同，但两个区域中蛋氨酸的氧化都会导致相分离受损。这些发现确立了蛋氨酸作为 TDP-43 相行为中关键的氧化还原敏感调节剂，并提供了氧化应激如何影响的分子见解。</w:t>
      </w:r>
    </w:p>
    <w:p>
      <w:pPr>
        <w:spacing w:before="0" w:after="200" w:lineRule="auto" w:line="276"/>
      </w:pPr>
      <w:r>
        <w:rPr>
          <w:b/>
        </w:rPr>
        <w:t xml:space="preserve">Abstract (EN): </w:t>
      </w:r>
      <w:r>
        <w:t>TAR DNA binding protein 43 (TDP-43), a key protein linked to ALS pathology, undergoes phase separation and forms functional assemblies via condensation within cells. The conserved region (CR) within its C-terminal domain (CTD) mediates self-assembly through helix–helix interactions, while the flanking intrinsically disordered regions (IDRs) contribute to phase separation through transient interactions involving aromatic and hydrophobic residues. The CTD contains ten methionine residues distributed equally between these regions, making it particularly susceptible to oxidative modifications. While methionine oxidation is known to impair TDP-43 phase separation, neither the precise mechanism nor the specific contribution of methionines in the CR compared to the IDRs has been determined. Here, we combine NMR spectroscopy and molecular dynamics (MD) simulations to reveal if and how methionine oxidation in each region differentially affects CTD structure and phase separation. To assess the change of secondary structure caused by oxidation, we measured NMR random coil chemical shift values for methionine sulfoxide. Oxidation of CR methionines disrupts helical structure and directly impairs intermolecular helical association, while oxidation of IDR methionines disrupts long-range contacts. Hence, oxidation of methionines in both regions contributes to impaired phase separation, albeit through different mechanisms. These findings establish methionines as critical redox-sensitive modulators in TDP-43 phase behavior and provide molecular insights into how oxidative stress may contribute to TDP-43 dysregulation in neurodegenerative diseases.</w:t>
      </w:r>
    </w:p>
    <w:p>
      <w:pPr>
        <w:spacing w:before="120" w:after="120"/>
      </w:pPr>
      <w:r>
        <w:rPr>
          <w:sz w:val="18"/>
        </w:rPr>
        <w:t>——————————————————————————————————————————————————————————————————————</w:t>
      </w:r>
    </w:p>
    <w:p>
      <w:pPr>
        <w:spacing w:before="160" w:after="40" w:line="240" w:lineRule="auto"/>
      </w:pPr>
      <w:r>
        <w:rPr>
          <w:b/>
        </w:rPr>
        <w:t xml:space="preserve">[291] </w:t>
      </w:r>
      <w:hyperlink r:id="rId933">
        <w:r>
          <w:rPr>
            <w:color w:val="1155CC"/>
            <w:u w:val="single"/>
          </w:rPr>
          <w:t>热带火山上物种丰富的昆虫家族随着海拔的升高，耐热性降低，耐寒性增加</w:t>
        </w:r>
      </w:hyperlink>
    </w:p>
    <w:p>
      <w:pPr>
        <w:spacing w:before="0" w:after="80"/>
      </w:pPr>
      <w:r>
        <w:rPr>
          <w:i/>
          <w:sz w:val="20"/>
        </w:rPr>
        <w:t>EN: Heat tolerance decreases and cold tolerance increases with elevation for a species-rich insect family on a tropical volcano</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34">
        <w:r>
          <w:rPr>
            <w:color w:val="1155CC"/>
            <w:u w:val="single"/>
          </w:rPr>
          <w:t>10.1073/pnas.2533455123</w:t>
        </w:r>
      </w:hyperlink>
    </w:p>
    <w:p>
      <w:pPr>
        <w:spacing w:before="0" w:after="120"/>
      </w:pPr>
      <w:r>
        <w:rPr>
          <w:b/>
        </w:rPr>
        <w:t xml:space="preserve">Notes: </w:t>
      </w:r>
      <w:r>
        <w:t>abstract_source=crossref</w:t>
      </w:r>
    </w:p>
    <w:p>
      <w:pPr>
        <w:spacing w:before="0" w:after="80" w:lineRule="auto" w:line="276"/>
      </w:pPr>
      <w:r>
        <w:rPr>
          <w:b/>
        </w:rPr>
        <w:t xml:space="preserve">摘要（ZH）: </w:t>
      </w:r>
      <w:r>
        <w:t>气候危机正在将低海拔热带森林中常见的高环境温度上升到历史上不会发生的地区。热带无脊椎动物可能特别容易受到这种变化的影响。在这里，我们的目标是了解理论预测的哥斯达黎加西北部沿海拔梯度的耐热性和耐冷性分布是否存在于落叶栖息的罗夫甲虫（葡萄球菌科：鞘翅目）昆虫群落中。我们发现随着海拔的升高，耐热性下降，而耐寒性增加，这支持了预测。高海拔社区可能无法承受气候变化带来的气温上升，而低海拔社区已经经历了可能达到或超过其热极限的环境温度。虽然低海拔森林的温度经常达到或超过甲虫群落的耐热性，但土壤将在一段时间内提供缓冲避难所。我们在此显示的耐热性下降是理论预测的，但与耐热性文献中昆虫物种的值不一致。这就更加需要更好地了解可能遭受气候变化复杂和负面影响的不同热带物种组合的热耐受性。</w:t>
      </w:r>
    </w:p>
    <w:p>
      <w:pPr>
        <w:spacing w:before="0" w:after="200" w:lineRule="auto" w:line="276"/>
      </w:pPr>
      <w:r>
        <w:rPr>
          <w:b/>
        </w:rPr>
        <w:t xml:space="preserve">Abstract (EN): </w:t>
      </w:r>
      <w:r>
        <w:t>The climate crisis is moving the high ambient temperatures common in lower elevation tropical forests upslope into areas where they would not have occurred historically. Tropical invertebrates may be particularly vulnerable to such changes. Here, our goal was to understand whether the distribution of heat and cold tolerances along an elevational gradient in northwestern Costa Rica predicted by theory were present for a leaf-litter inhabiting insect community of rove beetles (Staphylinidae: Coleoptera). We found that heat tolerance decreased, and cold tolerance increased with elevation, supporting the predictions. High elevation communities may not be capable of tolerating the rising temperatures that come with climate change, while low elevation communities are already experiencing environmental temperatures that may meet or exceed their thermal limits. While the forests in the low elevation more frequently exhibit temperatures that meet or exceed the heat tolerances for the beetle community, the soil will offer a buffered refuge for some time. The decline in thermal tolerance that we show here is predicted by theory yet is inconsistent with the values for insect species in the thermal tolerance literature. This reinforces the need for a better understanding of the thermal tolerances of diverse assemblages of tropical species that are likely to experience complicated and negative impacts of climate change.</w:t>
      </w:r>
    </w:p>
    <w:p>
      <w:pPr>
        <w:spacing w:before="120" w:after="120"/>
      </w:pPr>
      <w:r>
        <w:rPr>
          <w:sz w:val="18"/>
        </w:rPr>
        <w:t>——————————————————————————————————————————————————————————————————————</w:t>
      </w:r>
    </w:p>
    <w:p>
      <w:pPr>
        <w:spacing w:before="160" w:after="40" w:line="240" w:lineRule="auto"/>
      </w:pPr>
      <w:r>
        <w:rPr>
          <w:b/>
        </w:rPr>
        <w:t xml:space="preserve">[292] </w:t>
      </w:r>
      <w:hyperlink r:id="rId935">
        <w:r>
          <w:rPr>
            <w:color w:val="1155CC"/>
            <w:u w:val="single"/>
          </w:rPr>
          <w:t>不断变化的世界中岛屿面临的全球威胁</w:t>
        </w:r>
      </w:hyperlink>
    </w:p>
    <w:p>
      <w:pPr>
        <w:spacing w:before="0" w:after="80"/>
      </w:pPr>
      <w:r>
        <w:rPr>
          <w:i/>
          <w:sz w:val="20"/>
        </w:rPr>
        <w:t>EN: Global threat exposure of islands in a changing world</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36">
        <w:r>
          <w:rPr>
            <w:color w:val="1155CC"/>
            <w:u w:val="single"/>
          </w:rPr>
          <w:t>10.1073/pnas.2534106123</w:t>
        </w:r>
      </w:hyperlink>
    </w:p>
    <w:p>
      <w:pPr>
        <w:spacing w:before="0" w:after="120"/>
      </w:pPr>
      <w:r>
        <w:rPr>
          <w:b/>
        </w:rPr>
        <w:t xml:space="preserve">Notes: </w:t>
      </w:r>
      <w:r>
        <w:t>abstract_source=crossref</w:t>
      </w:r>
    </w:p>
    <w:p>
      <w:pPr>
        <w:spacing w:before="0" w:after="80" w:lineRule="auto" w:line="276"/>
      </w:pPr>
      <w:r>
        <w:rPr>
          <w:b/>
        </w:rPr>
        <w:t xml:space="preserve">摘要（ZH）: </w:t>
      </w:r>
      <w:r>
        <w:t>岛屿处于全球环境变化的最前沿。生物入侵、土地利用变化和气候变化正在导致人口下降，并对岛屿生态系统造成不可逆转的损失。尽管全球威胁暴露地图是近年来开发出来的，但它们大多是为粗粒度、大陆范围的分析而设计的，通常会俯瞰岛屿。在这里，我们使用多种威胁标记评估了到 2050 年全球 16,000 多个岛屿遭受生物入侵、土地利用变化和气候变化的累积暴露程度。气候变化成为普遍存在的威胁，是 65% 岛屿的主要威胁，其次是土地利用变化 (22%) 和生物入侵 (13%)。累积暴露最高的岛屿更有可能是孤立的，与大陆没有历史联系。低纬度的小岛屿和低海拔岛屿更容易受到气候变化的影响，而较大的高海拔岛屿往往更容易受到土地利用变化的影响。某些国家和地区，如塞舌尔、孟加拉国、中国、法属波利尼西亚和密克罗尼西亚，拥有统计上不成比例的高度暴露岛屿数量，突出了累积暴露的地理热点，这些地区的保护工作可能特别紧迫。我们的研究表明，到 2050 年，大多数岛屿将同时面临土地利用变化、气候变化和生物入侵综合影响的三重威胁。这项研究提供了岛屿累积暴露于三种物质的可靠量化</w:t>
      </w:r>
    </w:p>
    <w:p>
      <w:pPr>
        <w:spacing w:before="0" w:after="200" w:lineRule="auto" w:line="276"/>
      </w:pPr>
      <w:r>
        <w:rPr>
          <w:b/>
        </w:rPr>
        <w:t xml:space="preserve">Abstract (EN): </w:t>
      </w:r>
      <w:r>
        <w:t>Islands are at the forefront of global environmental change. Biological invasions, land-use change, and climate change are driving population declines and causing irreversible losses in island ecosystems. Although global threat exposure maps have been developed in recent years, they are mostly designed for coarse-grained, continental-extent analyses, often overlooking islands. Here, we assessed the cumulative exposure to biological invasion, land-use change, and climate change by 2050, for more than 16,000 islands worldwide using multiple threat markers. Climate change emerged as a ubiquitous threat, being the dominant threat for 65% of all islands, followed by land-use change (22%) and biological invasions (13%). Islands with the highest cumulative exposure were more likely to be isolated, without historical connection with the mainland. Small and low-elevation islands at low latitudes exhibited greater exposure to climate change, whereas larger, high-elevation islands tended to be more exposed to land-use change. Certain countries and subdivisions, such as Seychelles, Bangladesh, China, French Polynesia, and Micronesia, harbored statistically disproportionate numbers of highly exposed islands, highlighting geographic hotspots of cumulative exposure where conservation efforts might be particularly urgent. Our study indicates that by 2050, most islands will be simultaneously exposed to a triple threat arising from the combined impacts of land-use change, climate change, and biological invasions. This study provides robust quantification of island cumulative exposure to three key drivers of biodiversity loss, making a crucial step toward assessing global biodiversity vulnerability.</w:t>
      </w:r>
    </w:p>
    <w:p>
      <w:pPr>
        <w:spacing w:before="120" w:after="120"/>
      </w:pPr>
      <w:r>
        <w:rPr>
          <w:sz w:val="18"/>
        </w:rPr>
        <w:t>——————————————————————————————————————————————————————————————————————</w:t>
      </w:r>
    </w:p>
    <w:p>
      <w:pPr>
        <w:spacing w:before="160" w:after="40" w:line="240" w:lineRule="auto"/>
      </w:pPr>
      <w:r>
        <w:rPr>
          <w:b/>
        </w:rPr>
        <w:t xml:space="preserve">[293] </w:t>
      </w:r>
      <w:hyperlink r:id="rId937">
        <w:r>
          <w:rPr>
            <w:color w:val="1155CC"/>
            <w:u w:val="single"/>
          </w:rPr>
          <w:t>全球海洋中微生物快速生产长寿命溶解有机碳</w:t>
        </w:r>
      </w:hyperlink>
    </w:p>
    <w:p>
      <w:pPr>
        <w:spacing w:before="0" w:after="80"/>
      </w:pPr>
      <w:r>
        <w:rPr>
          <w:i/>
          <w:sz w:val="20"/>
        </w:rPr>
        <w:t>EN: Rapid microbial production of long-lived dissolved organic carbon in the global ocean</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38">
        <w:r>
          <w:rPr>
            <w:color w:val="1155CC"/>
            <w:u w:val="single"/>
          </w:rPr>
          <w:t>10.1073/pnas.2601044123</w:t>
        </w:r>
      </w:hyperlink>
    </w:p>
    <w:p>
      <w:pPr>
        <w:spacing w:before="0" w:after="120"/>
      </w:pPr>
      <w:r>
        <w:rPr>
          <w:b/>
        </w:rPr>
        <w:t xml:space="preserve">Notes: </w:t>
      </w:r>
      <w:r>
        <w:t>abstract_source=crossref</w:t>
      </w:r>
    </w:p>
    <w:p>
      <w:pPr>
        <w:spacing w:before="0" w:after="80" w:lineRule="auto" w:line="276"/>
      </w:pPr>
      <w:r>
        <w:rPr>
          <w:b/>
        </w:rPr>
        <w:t xml:space="preserve">摘要（ZH）: </w:t>
      </w:r>
      <w:r>
        <w:t>长期以来，海洋微生物一直被认为是补充海洋顽固性溶解有机物（RDOM）库的核心。然而，其作用的分子水平证据仍然没有定论，因为 RDOM 可以持续数年至数千年，远远超过实验室实验所能达到的时间尺度，而且传统的分析方法缺乏辨别 RDOM 结构异构体的分辨率，这些异构体在持久性方面赋予了功能上重要的差异。使用基于极性的液相色谱与能够区分 RDOM 异构体簇的超高分辨率质谱联用，我们揭示了海洋微生物群落快速（≤ 90 d）将各种有机底物转化为具有广泛结构异构性的 RDOM，与天然海水 RDOM 密切相关。这些微生物衍生的 RDOM 化合物的一个子集在全球数据集中几乎无处不在（&gt; 99%），并在海洋内部逐渐积累。总之，我们的研究结果证实了微生物通过 RDOM 异构体的快速多样化对长寿海洋碳库的直接贡献，这种机制有助于维持行星规模碳库的复杂性和长期持久性。</w:t>
      </w:r>
    </w:p>
    <w:p>
      <w:pPr>
        <w:spacing w:before="0" w:after="200" w:lineRule="auto" w:line="276"/>
      </w:pPr>
      <w:r>
        <w:rPr>
          <w:b/>
        </w:rPr>
        <w:t xml:space="preserve">Abstract (EN): </w:t>
      </w:r>
      <w:r>
        <w:t>Marine microbes have long been regarded as central to replenishing the ocean’s reservoir of recalcitrant dissolved organic matter (RDOM). However, molecular-level evidence for their role remains inconclusive because RDOM persists for years to millennia, far exceeding timescales accessible to laboratory experiments, and because conventional analytical approaches lack the resolution to discern structural isomers of RDOM that confer functionally important differences in persistence. Using polarity-based liquid chromatography coupled to ultrahigh-resolution mass spectrometry capable of discriminating RDOM isomer clusters, we reveal that marine microbial consortia rapidly (≤ 90 d) convert diverse organic substrates into RDOM with extensive structural isomerism that closely mirrors natural seawater RDOM. A subset of these microbially derived RDOM compounds exhibits near-ubiquitous occurrence (&amp;gt; 99%) in a global dataset and accumulates progressively in the ocean’s interior. Together, our findings substantiate the direct microbial contribution to the long-lived oceanic carbon reservoir through the rapid diversification of RDOM isomers, a mechanism that contributes to sustaining the complexity and long-term persistence of the planetary-scale carbon reservoir.</w:t>
      </w:r>
    </w:p>
    <w:p>
      <w:pPr>
        <w:spacing w:before="120" w:after="120"/>
      </w:pPr>
      <w:r>
        <w:rPr>
          <w:sz w:val="18"/>
        </w:rPr>
        <w:t>——————————————————————————————————————————————————————————————————————</w:t>
      </w:r>
    </w:p>
    <w:p>
      <w:pPr>
        <w:spacing w:before="160" w:after="40" w:line="240" w:lineRule="auto"/>
      </w:pPr>
      <w:r>
        <w:rPr>
          <w:b/>
        </w:rPr>
        <w:t xml:space="preserve">[294] </w:t>
      </w:r>
      <w:hyperlink r:id="rId939">
        <w:r>
          <w:rPr>
            <w:color w:val="1155CC"/>
            <w:u w:val="single"/>
          </w:rPr>
          <w:t>刺激所有权能否提高生育率：来自中国住房干预措施的证据</w:t>
        </w:r>
      </w:hyperlink>
    </w:p>
    <w:p>
      <w:pPr>
        <w:spacing w:before="0" w:after="80"/>
      </w:pPr>
      <w:r>
        <w:rPr>
          <w:i/>
          <w:sz w:val="20"/>
        </w:rPr>
        <w:t>EN: Can stimulating ownership increase fertility: Evidence from housing interventions in China</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40">
        <w:r>
          <w:rPr>
            <w:color w:val="1155CC"/>
            <w:u w:val="single"/>
          </w:rPr>
          <w:t>10.1073/pnas.2602426123</w:t>
        </w:r>
      </w:hyperlink>
    </w:p>
    <w:p>
      <w:pPr>
        <w:spacing w:before="0" w:after="120"/>
      </w:pPr>
      <w:r>
        <w:rPr>
          <w:b/>
        </w:rPr>
        <w:t xml:space="preserve">Notes: </w:t>
      </w:r>
      <w:r>
        <w:t>abstract_source=crossref</w:t>
      </w:r>
    </w:p>
    <w:p>
      <w:pPr>
        <w:spacing w:before="0" w:after="80" w:lineRule="auto" w:line="276"/>
      </w:pPr>
      <w:r>
        <w:rPr>
          <w:b/>
        </w:rPr>
        <w:t xml:space="preserve">摘要（ZH）: </w:t>
      </w:r>
      <w:r>
        <w:t>亚洲经济体的生育率下降和生育率极低的出现，使人们更加关注如何改变生育率趋势的方向。欧洲和亚洲的一些国家已经探索了各种刺激方案来提高总生育率。在这项研究中，我们回顾了这些政策，并研究了其中一项可能刺激生育的干预措施——获得住房的作用。刺激生育的住房办法的核心是让住房更容易获得，并利用各种形式的信贷援助，使年轻家庭更容易拥有住房并更具吸引力。研究询问这些方法对于扭转生育率下降有多有效？而且，它们是解决生育率极低的办法吗？结果提供了一些证据，表明对住房刺激方案的关注可能会提高生育率，尽管对于社会经济优势家庭来说最为成功。</w:t>
      </w:r>
    </w:p>
    <w:p>
      <w:pPr>
        <w:spacing w:before="0" w:after="200" w:lineRule="auto" w:line="276"/>
      </w:pPr>
      <w:r>
        <w:rPr>
          <w:b/>
        </w:rPr>
        <w:t xml:space="preserve">Abstract (EN): </w:t>
      </w:r>
      <w:r>
        <w:t>Declining fertility and the emergence of very low TFR’s in the Asian economies has increased the focus on how to change the direction of the fertility trend. Several countries in Europe and Asia have explored a variety of stimulus packages to increase the overall TFR. In this research we review those policies and examine one of those interventions which has the potential to stimulate fertility—the role of access to housing. The core of housing approaches to stimulating fertility is to make housing more accessible and to use various forms of credit assistance with the aim of making ownership easier and more attractive to young families. The research asks how effective are these approaches to reversing the decline in fertility? And, are they a solution to very low fertility? The results provide some evidence that the focus on housing stimulus packages may increase fertility although most successfully for socioeconomically advantaged households.</w:t>
      </w:r>
    </w:p>
    <w:p>
      <w:pPr>
        <w:spacing w:before="120" w:after="120"/>
      </w:pPr>
      <w:r>
        <w:rPr>
          <w:sz w:val="18"/>
        </w:rPr>
        <w:t>——————————————————————————————————————————————————————————————————————</w:t>
      </w:r>
    </w:p>
    <w:p>
      <w:pPr>
        <w:spacing w:before="160" w:after="40" w:line="240" w:lineRule="auto"/>
      </w:pPr>
      <w:r>
        <w:rPr>
          <w:b/>
        </w:rPr>
        <w:t xml:space="preserve">[295] </w:t>
      </w:r>
      <w:hyperlink r:id="rId941">
        <w:r>
          <w:rPr>
            <w:color w:val="1155CC"/>
            <w:u w:val="single"/>
          </w:rPr>
          <w:t>PLCβ 被 Gβγ 和 Gαq 募集到巨噬细胞的质膜上</w:t>
        </w:r>
      </w:hyperlink>
    </w:p>
    <w:p>
      <w:pPr>
        <w:spacing w:before="0" w:after="80"/>
      </w:pPr>
      <w:r>
        <w:rPr>
          <w:i/>
          <w:sz w:val="20"/>
        </w:rPr>
        <w:t>EN: PLCβs are recruited to the plasma membrane in macrophages by both Gβγ and Gαq</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42">
        <w:r>
          <w:rPr>
            <w:color w:val="1155CC"/>
            <w:u w:val="single"/>
          </w:rPr>
          <w:t>10.1073/pnas.2603275123</w:t>
        </w:r>
      </w:hyperlink>
    </w:p>
    <w:p>
      <w:pPr>
        <w:spacing w:before="0" w:after="120"/>
      </w:pPr>
      <w:r>
        <w:rPr>
          <w:b/>
        </w:rPr>
        <w:t xml:space="preserve">Notes: </w:t>
      </w:r>
      <w:r>
        <w:t>abstract_source=crossref</w:t>
      </w:r>
    </w:p>
    <w:p>
      <w:pPr>
        <w:spacing w:before="0" w:after="80" w:lineRule="auto" w:line="276"/>
      </w:pPr>
      <w:r>
        <w:rPr>
          <w:b/>
        </w:rPr>
        <w:t xml:space="preserve">摘要（ZH）: </w:t>
      </w:r>
      <w:r>
        <w:t>PLCβ 酶将 PIP2 从质膜上裂解，产生 IP3 和 DAG，调节细胞内 Ca</w:t>
      </w:r>
      <w:r>
        <w:t xml:space="preserve"> </w:t>
      </w:r>
      <w:r>
        <w:t>2+</w:t>
      </w:r>
      <w:r>
        <w:t xml:space="preserve"> </w:t>
      </w:r>
      <w:r>
        <w:t>水平和蛋白激酶C活性，分别。它们通过 G 蛋白 Gβγ 和 Gα 受 GPCR 信号调节</w:t>
      </w:r>
      <w:r>
        <w:t xml:space="preserve"> </w:t>
      </w:r>
      <w:r>
        <w:t>q</w:t>
      </w:r>
      <w:r>
        <w:t xml:space="preserve"> </w:t>
      </w:r>
      <w:r>
        <w:t>并已被证明可作为 Gα 双重刺激的重合探测器</w:t>
      </w:r>
      <w:r>
        <w:t xml:space="preserve"> </w:t>
      </w:r>
      <w:r>
        <w:t>q</w:t>
      </w:r>
      <w:r>
        <w:t xml:space="preserve"> </w:t>
      </w:r>
      <w:r>
        <w:t>- 和Gα</w:t>
      </w:r>
      <w:r>
        <w:t xml:space="preserve"> </w:t>
      </w:r>
      <w:r>
        <w:t>我</w:t>
      </w:r>
      <w:r>
        <w:t xml:space="preserve"> </w:t>
      </w:r>
      <w:r>
        <w:t>-通过这些G蛋白偶联受体。 PLCβ 是水溶性酶，但分配到膜表面以接触其脂质底物。我们之前证明了膜表面催化核心的膜募集和定向是 PLCβ 酶的 Gβγ 依赖性调节的基础。使用巨噬细胞作为模型系统，其中 PLCβ 信号传导对于感染和组织损伤的反应至关重要，我们研究了在内源性信号传导背景下 Gβγ 依赖性调节和 PLCβ 膜募集的贡献。通过测量钙</w:t>
      </w:r>
      <w:r>
        <w:t xml:space="preserve"> </w:t>
      </w:r>
      <w:r>
        <w:t>2+</w:t>
      </w:r>
      <w:r>
        <w:t xml:space="preserve"> </w:t>
      </w:r>
      <w:r>
        <w:t>动员，我们证明了 Gα</w:t>
      </w:r>
      <w:r>
        <w:t xml:space="preserve"> </w:t>
      </w:r>
      <w:r>
        <w:t>我</w:t>
      </w:r>
      <w:r>
        <w:t xml:space="preserve"> </w:t>
      </w:r>
      <w:r>
        <w:t>- 和Gα</w:t>
      </w:r>
      <w:r>
        <w:t xml:space="preserve"> </w:t>
      </w:r>
      <w:r>
        <w:t>q</w:t>
      </w:r>
      <w:r>
        <w:t xml:space="preserve"> </w:t>
      </w:r>
      <w:r>
        <w:t>-耦合受体独立刺激PLCβ活性。使用全内反射荧光和受激发射损耗显微镜，我们证明细胞中的大部分 PLCβ3 在静止时远离质膜，但在受到 Gα 刺激后迅速募集到质膜上</w:t>
      </w:r>
      <w:r>
        <w:t xml:space="preserve"> </w:t>
      </w:r>
      <w:r>
        <w:t>我</w:t>
      </w:r>
    </w:p>
    <w:p>
      <w:pPr>
        <w:spacing w:before="0" w:after="200" w:lineRule="auto" w:line="276"/>
      </w:pPr>
      <w:r>
        <w:rPr>
          <w:b/>
        </w:rPr>
        <w:t xml:space="preserve">Abstract (EN): </w:t>
      </w:r>
      <w:r>
        <w:t>PLCβ enzymes cleave PIP2 from the plasma membrane, producing IP3 and DAG, which regulate intracellular Ca</w:t>
      </w:r>
      <w:r>
        <w:t xml:space="preserve"> </w:t>
      </w:r>
      <w:r>
        <w:t>2+</w:t>
      </w:r>
      <w:r>
        <w:t xml:space="preserve"> </w:t>
      </w:r>
      <w:r>
        <w:t>levels and protein kinase C activity, respectively. They are regulated by GPCR signaling through the G proteins Gβγ and Gα</w:t>
      </w:r>
      <w:r>
        <w:t xml:space="preserve"> </w:t>
      </w:r>
      <w:r>
        <w:t>q</w:t>
      </w:r>
      <w:r>
        <w:t xml:space="preserve"> </w:t>
      </w:r>
      <w:r>
        <w:t>and have been shown to function as coincidence detectors for dual stimulation of Gα</w:t>
      </w:r>
      <w:r>
        <w:t xml:space="preserve"> </w:t>
      </w:r>
      <w:r>
        <w:t>q</w:t>
      </w:r>
      <w:r>
        <w:t xml:space="preserve"> </w:t>
      </w:r>
      <w:r>
        <w:t>- and Gα</w:t>
      </w:r>
      <w:r>
        <w:t xml:space="preserve"> </w:t>
      </w:r>
      <w:r>
        <w:t>i</w:t>
      </w:r>
      <w:r>
        <w:t xml:space="preserve"> </w:t>
      </w:r>
      <w:r>
        <w:t>-coupled receptors via these G proteins. PLCβs are aqueous-soluble enzymes, but partition onto the membrane surface to access their lipid substrate. We previously demonstrated that membrane recruitment and orientation of the catalytic core on the membrane surface underlie Gβγ-dependent regulation of PLCβ enzymes. Using macrophages as a model system, where PLCβ signaling is essential for responses to infection and tissue injury, we investigated the contribution of Gβγ-dependent regulation and membrane recruitment of PLCβ in the context of endogenous signaling. By measuring Ca</w:t>
      </w:r>
      <w:r>
        <w:t xml:space="preserve"> </w:t>
      </w:r>
      <w:r>
        <w:t>2+</w:t>
      </w:r>
      <w:r>
        <w:t xml:space="preserve"> </w:t>
      </w:r>
      <w:r>
        <w:t>mobilization, we demonstrate that both Gα</w:t>
      </w:r>
      <w:r>
        <w:t xml:space="preserve"> </w:t>
      </w:r>
      <w:r>
        <w:t>i</w:t>
      </w:r>
      <w:r>
        <w:t xml:space="preserve"> </w:t>
      </w:r>
      <w:r>
        <w:t>- and Gα</w:t>
      </w:r>
      <w:r>
        <w:t xml:space="preserve"> </w:t>
      </w:r>
      <w:r>
        <w:t>q</w:t>
      </w:r>
      <w:r>
        <w:t xml:space="preserve"> </w:t>
      </w:r>
      <w:r>
        <w:t>-coupled receptors independently stimulate PLCβ activity. Using total internal reflection fluorescence and stimulated emission depletion microscopy, we demonstrate that most of the PLCβ3 in the cell is localized away from the plasma membrane at rest but is rapidly recruited to the plasma membrane upon stimulation by both Gα</w:t>
      </w:r>
      <w:r>
        <w:t xml:space="preserve"> </w:t>
      </w:r>
      <w:r>
        <w:t>i</w:t>
      </w:r>
      <w:r>
        <w:t xml:space="preserve"> </w:t>
      </w:r>
      <w:r>
        <w:t>- and Gα</w:t>
      </w:r>
      <w:r>
        <w:t xml:space="preserve"> </w:t>
      </w:r>
      <w:r>
        <w:t>q</w:t>
      </w:r>
      <w:r>
        <w:t xml:space="preserve"> </w:t>
      </w:r>
      <w:r>
        <w:t>-coupled receptors, illustrating that both Gβγ and Gα</w:t>
      </w:r>
      <w:r>
        <w:t xml:space="preserve"> </w:t>
      </w:r>
      <w:r>
        <w:t>q</w:t>
      </w:r>
      <w:r>
        <w:t xml:space="preserve"> </w:t>
      </w:r>
      <w:r>
        <w:t>recruit PLCβ to the plasma membrane. These results support an updated model for G protein–dependent regulation of PLCβ enzymes, where Gβγ-induced regulation in the absence of Gα</w:t>
      </w:r>
      <w:r>
        <w:t xml:space="preserve"> </w:t>
      </w:r>
      <w:r>
        <w:t>q</w:t>
      </w:r>
      <w:r>
        <w:t xml:space="preserve"> </w:t>
      </w:r>
      <w:r>
        <w:t>can occur and is apparently dictated by the local concentration of receptor, G proteins, and PLCβ.</w:t>
      </w:r>
    </w:p>
    <w:p>
      <w:pPr>
        <w:spacing w:before="120" w:after="120"/>
      </w:pPr>
      <w:r>
        <w:rPr>
          <w:sz w:val="18"/>
        </w:rPr>
        <w:t>——————————————————————————————————————————————————————————————————————</w:t>
      </w:r>
    </w:p>
    <w:p>
      <w:pPr>
        <w:spacing w:before="160" w:after="40" w:line="240" w:lineRule="auto"/>
      </w:pPr>
      <w:r>
        <w:rPr>
          <w:b/>
        </w:rPr>
        <w:t xml:space="preserve">[296] </w:t>
      </w:r>
      <w:hyperlink r:id="rId943">
        <w:r>
          <w:rPr>
            <w:color w:val="1155CC"/>
            <w:u w:val="single"/>
          </w:rPr>
          <w:t>更正了Zhang等人，通过多价LYTAC模拟物和转录沉默实现双模式PD-L1抑制的可编程DNA水凝胶</w:t>
        </w:r>
      </w:hyperlink>
    </w:p>
    <w:p>
      <w:pPr>
        <w:spacing w:before="0" w:after="80"/>
      </w:pPr>
      <w:r>
        <w:rPr>
          <w:i/>
          <w:sz w:val="20"/>
        </w:rPr>
        <w:t>EN: Correction for Zhang et al., Programmable DNA hydrogels for dual-mode PD-L1 suppression via polyvalent LYTAC mimics and transcriptional silencing</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44">
        <w:r>
          <w:rPr>
            <w:color w:val="1155CC"/>
            <w:u w:val="single"/>
          </w:rPr>
          <w:t>10.1073/pnas.2624391123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[297] </w:t>
      </w:r>
      <w:hyperlink r:id="rId945">
        <w:r>
          <w:rPr>
            <w:color w:val="1155CC"/>
            <w:u w:val="single"/>
          </w:rPr>
          <w:t>PIP2 的双重控制驱动果蝇种系/体细胞分离</w:t>
        </w:r>
      </w:hyperlink>
    </w:p>
    <w:p>
      <w:pPr>
        <w:spacing w:before="0" w:after="80"/>
      </w:pPr>
      <w:r>
        <w:rPr>
          <w:i/>
          <w:sz w:val="20"/>
        </w:rPr>
        <w:t>EN: Dual control of PIP2 drives germline/soma segregation in Drosophila</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46">
        <w:r>
          <w:rPr>
            <w:color w:val="1155CC"/>
            <w:u w:val="single"/>
          </w:rPr>
          <w:t>10.1073/pnas.2604429123</w:t>
        </w:r>
      </w:hyperlink>
    </w:p>
    <w:p>
      <w:pPr>
        <w:spacing w:before="0" w:after="120"/>
      </w:pPr>
      <w:r>
        <w:rPr>
          <w:b/>
        </w:rPr>
        <w:t xml:space="preserve">Notes: </w:t>
      </w:r>
      <w:r>
        <w:t>abstract_source=crossref</w:t>
      </w:r>
    </w:p>
    <w:p>
      <w:pPr>
        <w:spacing w:before="0" w:after="80" w:lineRule="auto" w:line="276"/>
      </w:pPr>
      <w:r>
        <w:rPr>
          <w:b/>
        </w:rPr>
        <w:t xml:space="preserve">摘要（ZH）: </w:t>
      </w:r>
      <w:r>
        <w:t>胚胎细胞命运决定需要竞争谱系决定因素之间的精确空间协调。在合胞体</w:t>
      </w:r>
      <w:r>
        <w:t xml:space="preserve"> </w:t>
      </w:r>
      <w:r>
        <w:t>果蝇</w:t>
      </w:r>
      <w:r>
        <w:t xml:space="preserve"> </w:t>
      </w:r>
      <w:r>
        <w:t>胚胎、原始生殖细胞（PGC）和后内胚层在重叠区域的后极被指定，造成种系和体细胞命运之间的冲突。 PGC 的形成取决于胚芽颗粒，胚芽颗粒局部促进后质膜处磷脂 PIP2 的产生。 PIP2 调节肌动蛋白动力学，导致膜突出，从而产生 PGC。我们发现后内胚层决定簇受体酪氨酸激酶 (RTK) Torso 通过激活将 PIP2 转化为 PIP3 的磷酸肌醇 3-激酶 (PI3K) 来拮抗胚芽颗粒活性。 PIP3 可防止 PGC 形成，确保内胚层规格。躯干或 PI3K 的缺失会扩展后 PIP2 结构域，从而增加 PGC 的数量和空间范围。胚芽颗粒通过产生 E3 泛素连接酶胚芽无细胞 (Gcl) 来抵消这种活性，该酶局部消除躯干并防止后极 PI3K 介导的 PIP2 耗竭。在</w:t>
      </w:r>
      <w:r>
        <w:t xml:space="preserve"> </w:t>
      </w:r>
      <w:r>
        <w:t>协鑫</w:t>
      </w:r>
      <w:r>
        <w:t xml:space="preserve"> </w:t>
      </w:r>
      <w:r>
        <w:t>在突变体中，PIP3 在后膜处积聚，PGC 形成失败，这一缺陷可以通过 PIP3 磷酸酶 Pten 的靶向后部表达来部分修复。总之，这些发现表明，胚芽颗粒和躯干信号传导之间的相互拮抗作用在质膜中产生了 PIP2/PIP3 边界，该边界控制着最早的种系-体细胞命运决定。我们的工作揭示了如何</w:t>
      </w:r>
    </w:p>
    <w:p>
      <w:pPr>
        <w:spacing w:before="0" w:after="200" w:lineRule="auto" w:line="276"/>
      </w:pPr>
      <w:r>
        <w:rPr>
          <w:b/>
        </w:rPr>
        <w:t xml:space="preserve">Abstract (EN): </w:t>
      </w:r>
      <w:r>
        <w:t>Embryonic cell fate decisions require precise spatial coordination between competing lineage determinants. In the syncytial</w:t>
      </w:r>
      <w:r>
        <w:t xml:space="preserve"> </w:t>
      </w:r>
      <w:r>
        <w:t>Drosophila</w:t>
      </w:r>
      <w:r>
        <w:t xml:space="preserve"> </w:t>
      </w:r>
      <w:r>
        <w:t>embryo, primordial germ cells (PGCs) and posterior endoderm are specified at the posterior pole in overlapping domains, creating a conflict between germline and somatic fates. PGC formation depends on germ granules, which locally promote production of the phospholipid PIP2 at the posterior plasma membrane. PIP2 regulates actin dynamics leading to membrane protrusions that generate PGCs. We find that the posterior endoderm determinant, the receptor tyrosine kinase (RTK) Torso, antagonizes germ granule activity by activating phosphoinositide 3-kinase (PI3K) which converts PIP2 to PIP3. PIP3 prevents PGC formation, ensuring endoderm specification. Loss of Torso or PI3K expands the posterior PIP2 domain, increasing both the number and spatial extent of PGCs. Germ granules counteract this activity through production of the E3 ubiquitin ligase Germ cell-less (Gcl), which locally eliminates Torso and prevents PI3K-mediated PIP2 depletion at the posterior pole. In</w:t>
      </w:r>
      <w:r>
        <w:t xml:space="preserve"> </w:t>
      </w:r>
      <w:r>
        <w:t>gcl</w:t>
      </w:r>
      <w:r>
        <w:t xml:space="preserve"> </w:t>
      </w:r>
      <w:r>
        <w:t>mutants, PIP3 accumulates at the posterior membrane and PGC formation fails, a defect that can be partially rescued by targeted posterior expression of the PIP3 phosphatase Pten. Together, these findings demonstrate that mutual antagonism between germ granules and Torso signaling generates a PIP2/PIP3 boundary in the plasma membrane that governs the earliest germline–soma fate decision. Our work reveals how opposing maternal cues can be integrated at the level of membrane phospholipids to pattern cell fate during the earliest stages of development.</w:t>
      </w:r>
    </w:p>
    <w:p>
      <w:pPr>
        <w:spacing w:before="120" w:after="120"/>
      </w:pPr>
      <w:r>
        <w:rPr>
          <w:sz w:val="18"/>
        </w:rPr>
        <w:t>——————————————————————————————————————————————————————————————————————</w:t>
      </w:r>
    </w:p>
    <w:p>
      <w:pPr>
        <w:spacing w:before="160" w:after="40" w:line="240" w:lineRule="auto"/>
      </w:pPr>
      <w:r>
        <w:rPr>
          <w:b/>
        </w:rPr>
        <w:t xml:space="preserve">[298] </w:t>
      </w:r>
      <w:hyperlink r:id="rId947">
        <w:r>
          <w:rPr>
            <w:color w:val="1155CC"/>
            <w:u w:val="single"/>
          </w:rPr>
          <w:t>从肯尼亚北部早更新世的足迹深入了解古人类的体型、运动和行为</w:t>
        </w:r>
      </w:hyperlink>
    </w:p>
    <w:p>
      <w:pPr>
        <w:spacing w:before="0" w:after="80"/>
      </w:pPr>
      <w:r>
        <w:rPr>
          <w:i/>
          <w:sz w:val="20"/>
        </w:rPr>
        <w:t>EN: Insights into hominin body size, locomotion, and behavior from Early Pleistocene trackways in northern Kenya</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48">
        <w:r>
          <w:rPr>
            <w:color w:val="1155CC"/>
            <w:u w:val="single"/>
          </w:rPr>
          <w:t>10.1073/pnas.2530996123</w:t>
        </w:r>
      </w:hyperlink>
    </w:p>
    <w:p>
      <w:pPr>
        <w:spacing w:before="0" w:after="120"/>
      </w:pPr>
      <w:r>
        <w:rPr>
          <w:b/>
        </w:rPr>
        <w:t xml:space="preserve">Notes: </w:t>
      </w:r>
      <w:r>
        <w:t>abstract_source=crossref</w:t>
      </w:r>
    </w:p>
    <w:p>
      <w:pPr>
        <w:spacing w:before="0" w:after="80" w:lineRule="auto" w:line="276"/>
      </w:pPr>
      <w:r>
        <w:rPr>
          <w:b/>
        </w:rPr>
        <w:t xml:space="preserve">摘要（ZH）: </w:t>
      </w:r>
      <w:r>
        <w:t>肯尼亚北部库比福拉组的早更新世化石记录了两个有据可查的古人类属，</w:t>
      </w:r>
      <w:r>
        <w:t xml:space="preserve"> </w:t>
      </w:r>
      <w:r>
        <w:t>人属</w:t>
      </w:r>
      <w:r>
        <w:t xml:space="preserve"> </w:t>
      </w:r>
      <w:r>
        <w:t>和</w:t>
      </w:r>
      <w:r>
        <w:t xml:space="preserve"> </w:t>
      </w:r>
      <w:r>
        <w:t>傍人属</w:t>
      </w:r>
      <w:r>
        <w:t xml:space="preserve"> </w:t>
      </w:r>
      <w:r>
        <w:t>，保存在相同的存款中。它们生态共生的证据包括同时出现的不同形态的足迹，这表明</w:t>
      </w:r>
      <w:r>
        <w:t xml:space="preserve"> </w:t>
      </w:r>
      <w:r>
        <w:t>直立人</w:t>
      </w:r>
      <w:r>
        <w:t xml:space="preserve"> </w:t>
      </w:r>
      <w:r>
        <w:t>和</w:t>
      </w:r>
      <w:r>
        <w:t xml:space="preserve"> </w:t>
      </w:r>
      <w:r>
        <w:t>博伊氏拟人猿</w:t>
      </w:r>
      <w:r>
        <w:t xml:space="preserve"> </w:t>
      </w:r>
      <w:r>
        <w:t>数十万年来一直存在于同一个湖边栖息地。在这里，我们报告了一个约 1.43 Ma 的化石足迹组合，该组合为早更新世古人类的古生物学和行为提供了线索。古人类足迹的内部形态与之前归因于的其他足迹一致</w:t>
      </w:r>
      <w:r>
        <w:t xml:space="preserve"> </w:t>
      </w:r>
      <w:r>
        <w:t>鲍氏松</w:t>
      </w:r>
      <w:r>
        <w:t xml:space="preserve"> </w:t>
      </w:r>
      <w:r>
        <w:t>，表明与现代人不同的足部形态和运动模式</w:t>
      </w:r>
      <w:r>
        <w:t xml:space="preserve"> </w:t>
      </w:r>
      <w:r>
        <w:t>人属</w:t>
      </w:r>
      <w:r>
        <w:t xml:space="preserve"> </w:t>
      </w:r>
      <w:r>
        <w:t>并且与之前看到的更加一致</w:t>
      </w:r>
      <w:r>
        <w:t xml:space="preserve"> </w:t>
      </w:r>
      <w:r>
        <w:t>南方古猿</w:t>
      </w:r>
      <w:r>
        <w:t xml:space="preserve"> </w:t>
      </w:r>
      <w:r>
        <w:t>种。然而，足迹表明身体尺寸超出了最大骨骼估计值</w:t>
      </w:r>
      <w:r>
        <w:t xml:space="preserve"> </w:t>
      </w:r>
      <w:r>
        <w:t>鲍氏松</w:t>
      </w:r>
      <w:r>
        <w:t xml:space="preserve"> </w:t>
      </w:r>
      <w:r>
        <w:t>，提高了他们可能属于的可能性</w:t>
      </w:r>
      <w:r>
        <w:t xml:space="preserve"> </w:t>
      </w:r>
      <w:r>
        <w:t>直立人</w:t>
      </w:r>
      <w:r>
        <w:t xml:space="preserve"> </w:t>
      </w:r>
      <w:r>
        <w:t>。根据它们的属性，赛道展示了 a) 更大的身体尺寸和更大的尺寸变化</w:t>
      </w:r>
      <w:r>
        <w:t xml:space="preserve"> </w:t>
      </w:r>
      <w:r>
        <w:t>鲍氏松</w:t>
      </w:r>
      <w:r>
        <w:t xml:space="preserve"> </w:t>
      </w:r>
      <w:r>
        <w:t>比以前认识到的，或b）种内解剖和运动变异的水平</w:t>
      </w:r>
      <w:r>
        <w:t xml:space="preserve"> </w:t>
      </w:r>
      <w:r>
        <w:t>直立人</w:t>
      </w:r>
    </w:p>
    <w:p>
      <w:pPr>
        <w:spacing w:before="0" w:after="200" w:lineRule="auto" w:line="276"/>
      </w:pPr>
      <w:r>
        <w:rPr>
          <w:b/>
        </w:rPr>
        <w:t xml:space="preserve">Abstract (EN): </w:t>
      </w:r>
      <w:r>
        <w:t>The Early Pleistocene fossils of the Koobi Fora Formation, northern Kenya, record two well-documented hominin genera,</w:t>
      </w:r>
      <w:r>
        <w:t xml:space="preserve"> </w:t>
      </w:r>
      <w:r>
        <w:t>Homo</w:t>
      </w:r>
      <w:r>
        <w:t xml:space="preserve"> </w:t>
      </w:r>
      <w:r>
        <w:t>and</w:t>
      </w:r>
      <w:r>
        <w:t xml:space="preserve"> </w:t>
      </w:r>
      <w:r>
        <w:t>Paranthropus</w:t>
      </w:r>
      <w:r>
        <w:t xml:space="preserve"> </w:t>
      </w:r>
      <w:r>
        <w:t>, preserved in the same deposits. Evidence for their ecological sympatry consists of co-occurring footprints of diverse morphologies, suggesting that</w:t>
      </w:r>
      <w:r>
        <w:t xml:space="preserve"> </w:t>
      </w:r>
      <w:r>
        <w:t>Homo erectus</w:t>
      </w:r>
      <w:r>
        <w:t xml:space="preserve"> </w:t>
      </w:r>
      <w:r>
        <w:t>and</w:t>
      </w:r>
      <w:r>
        <w:t xml:space="preserve"> </w:t>
      </w:r>
      <w:r>
        <w:t>Paranthropus boisei</w:t>
      </w:r>
      <w:r>
        <w:t xml:space="preserve"> </w:t>
      </w:r>
      <w:r>
        <w:t>were present in the same lake margin habitats over hundreds of thousands of years. Here, we report on a ~1.43 Ma fossil footprint assemblage that sheds light on Early Pleistocene hominin paleobiology and behavior. The internal morphologies of the hominin tracks align with others previously attributed to</w:t>
      </w:r>
      <w:r>
        <w:t xml:space="preserve"> </w:t>
      </w:r>
      <w:r>
        <w:t>P. boisei</w:t>
      </w:r>
      <w:r>
        <w:t xml:space="preserve"> </w:t>
      </w:r>
      <w:r>
        <w:t>, indicating patterns of foot morphology and locomotion different from modern</w:t>
      </w:r>
      <w:r>
        <w:t xml:space="preserve"> </w:t>
      </w:r>
      <w:r>
        <w:t>Homo</w:t>
      </w:r>
      <w:r>
        <w:t xml:space="preserve"> </w:t>
      </w:r>
      <w:r>
        <w:t>and more consistent with those seen in earlier</w:t>
      </w:r>
      <w:r>
        <w:t xml:space="preserve"> </w:t>
      </w:r>
      <w:r>
        <w:t>Australopithecus</w:t>
      </w:r>
      <w:r>
        <w:t xml:space="preserve"> </w:t>
      </w:r>
      <w:r>
        <w:t>species. However, the tracks indicate body sizes that exceed the largest skeletal estimates for</w:t>
      </w:r>
      <w:r>
        <w:t xml:space="preserve"> </w:t>
      </w:r>
      <w:r>
        <w:t>P. boisei</w:t>
      </w:r>
      <w:r>
        <w:t xml:space="preserve"> </w:t>
      </w:r>
      <w:r>
        <w:t>, raising the possibility that they may belong to</w:t>
      </w:r>
      <w:r>
        <w:t xml:space="preserve"> </w:t>
      </w:r>
      <w:r>
        <w:t>H. erectus</w:t>
      </w:r>
      <w:r>
        <w:t xml:space="preserve"> </w:t>
      </w:r>
      <w:r>
        <w:t>. Depending on their attribution, the tracks demonstrate a) larger body sizes and greater size variation in</w:t>
      </w:r>
      <w:r>
        <w:t xml:space="preserve"> </w:t>
      </w:r>
      <w:r>
        <w:t>P. boisei</w:t>
      </w:r>
      <w:r>
        <w:t xml:space="preserve"> </w:t>
      </w:r>
      <w:r>
        <w:t>than previously recognized, or b) levels of intraspecific anatomical and locomotor variation in</w:t>
      </w:r>
      <w:r>
        <w:t xml:space="preserve"> </w:t>
      </w:r>
      <w:r>
        <w:t>H. erectus</w:t>
      </w:r>
      <w:r>
        <w:t xml:space="preserve"> </w:t>
      </w:r>
      <w:r>
        <w:t>that far exceed those yet observed in modern humans or other fossil taxa. Regardless of their attribution, these tracks indicate larger than average body sizes. This supports the hypothesis that they capture a group that included multiple adult males and offers rare direct evidence for hominin social behavior. The ecological context of the tracks suggests that hominins were accessing resources in a deltaic lake margin habitat.</w:t>
      </w:r>
    </w:p>
    <w:p>
      <w:pPr>
        <w:spacing w:before="120" w:after="120"/>
      </w:pPr>
      <w:r>
        <w:rPr>
          <w:sz w:val="18"/>
        </w:rPr>
        <w:t>——————————————————————————————————————————————————————————————————————</w:t>
      </w:r>
    </w:p>
    <w:p>
      <w:pPr>
        <w:spacing w:before="160" w:after="40" w:line="240" w:lineRule="auto"/>
      </w:pPr>
      <w:r>
        <w:rPr>
          <w:b/>
        </w:rPr>
        <w:t xml:space="preserve">[299] </w:t>
      </w:r>
      <w:hyperlink r:id="rId949">
        <w:r>
          <w:rPr>
            <w:color w:val="1155CC"/>
            <w:u w:val="single"/>
          </w:rPr>
          <w:t>更正 Wu 等人，由异多价唾液酸糖位结合驱动的副粘病毒感染</w:t>
        </w:r>
      </w:hyperlink>
    </w:p>
    <w:p>
      <w:pPr>
        <w:spacing w:before="0" w:after="80"/>
      </w:pPr>
      <w:r>
        <w:rPr>
          <w:i/>
          <w:sz w:val="20"/>
        </w:rPr>
        <w:t>EN: Correction for Wu et al., Paramyxovirus infection driven by heteromultivalent sialoglycotope binding</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50">
        <w:r>
          <w:rPr>
            <w:color w:val="1155CC"/>
            <w:u w:val="single"/>
          </w:rPr>
          <w:t>10.1073/pnas.2624232123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[300] </w:t>
      </w:r>
      <w:hyperlink r:id="rId951">
        <w:r>
          <w:rPr>
            <w:color w:val="1155CC"/>
            <w:u w:val="single"/>
          </w:rPr>
          <w:t>与早期生物进化相关的耦合代谢反应</w:t>
        </w:r>
      </w:hyperlink>
    </w:p>
    <w:p>
      <w:pPr>
        <w:spacing w:before="0" w:after="80"/>
      </w:pPr>
      <w:r>
        <w:rPr>
          <w:i/>
          <w:sz w:val="20"/>
        </w:rPr>
        <w:t>EN: Coupled metabolic reactions relevant to early biological evolution</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52">
        <w:r>
          <w:rPr>
            <w:color w:val="1155CC"/>
            <w:u w:val="single"/>
          </w:rPr>
          <w:t>10.1073/pnas.2619023123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[301] </w:t>
      </w:r>
      <w:hyperlink r:id="rId953">
        <w:r>
          <w:rPr>
            <w:color w:val="1155CC"/>
            <w:u w:val="single"/>
          </w:rPr>
          <w:t>MORC2 通过 HDAC4 依赖性机制控制 HIF-1α 稳定性来调节红细胞生成</w:t>
        </w:r>
      </w:hyperlink>
    </w:p>
    <w:p>
      <w:pPr>
        <w:spacing w:before="0" w:after="80"/>
      </w:pPr>
      <w:r>
        <w:rPr>
          <w:i/>
          <w:sz w:val="20"/>
        </w:rPr>
        <w:t>EN: MORC2 controls HIF-1α stability via an HDAC4-dependent mechanism to regulate erythropoiesis</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54">
        <w:r>
          <w:rPr>
            <w:color w:val="1155CC"/>
            <w:u w:val="single"/>
          </w:rPr>
          <w:t>10.1073/pnas.2537114123</w:t>
        </w:r>
      </w:hyperlink>
    </w:p>
    <w:p>
      <w:pPr>
        <w:spacing w:before="0" w:after="120"/>
      </w:pPr>
      <w:r>
        <w:rPr>
          <w:b/>
        </w:rPr>
        <w:t xml:space="preserve">Notes: </w:t>
      </w:r>
      <w:r>
        <w:t>abstract_source=crossref</w:t>
      </w:r>
    </w:p>
    <w:p>
      <w:pPr>
        <w:spacing w:before="0" w:after="80" w:lineRule="auto" w:line="276"/>
      </w:pPr>
      <w:r>
        <w:rPr>
          <w:b/>
        </w:rPr>
        <w:t xml:space="preserve">摘要（ZH）: </w:t>
      </w:r>
      <w:r>
        <w:t>缺氧诱导因子（HIF）信号通路对于细胞适应低氧至关重要。尽管在常氧条件下介导 HIF-α 降解的经典 PHD-pVHL 通路已被充分确立，但替代的调节机制仍然知之甚少。在这里，我们将微睾家族 CW 型锌指 2 (MORC2) 确定为 HIF-α 的负调节因子。在斑马鱼中，CRISPR/Cas9 生成</w:t>
      </w:r>
      <w:r>
        <w:t xml:space="preserve"> </w:t>
      </w:r>
      <w:r>
        <w:t>莫尔克2</w:t>
      </w:r>
      <w:r>
        <w:t xml:space="preserve"> </w:t>
      </w:r>
      <w:r>
        <w:t>突变体出现红细胞增多症、全身性缺氧和 HIF 通路的组成性激活。从机制上讲，MORC2 通过竞争 HIF-1α 结合来抵消组蛋白脱乙酰酶 4 (HDAC4)。 MORC2 的缺失会增强 HDAC4 向 HIF-1α 的募集，减少赖氨酸 629 的乙酰化并防止 HIF-1α 的蛋白酶体降解。这些结果定义了 MORC2 通过 HDAC4 介导的脱乙酰化调节 HIF-1α 稳定性的调节机制，为造血和 HIF 相关疾病提供了线索。</w:t>
      </w:r>
    </w:p>
    <w:p>
      <w:pPr>
        <w:spacing w:before="0" w:after="200" w:lineRule="auto" w:line="276"/>
      </w:pPr>
      <w:r>
        <w:rPr>
          <w:b/>
        </w:rPr>
        <w:t xml:space="preserve">Abstract (EN): </w:t>
      </w:r>
      <w:r>
        <w:t>The hypoxia-inducible factor (HIF) signaling pathway is essential for cellular adaptation to low oxygen. Although the canonical PHD-pVHL pathway that mediates HIF-α degradation under normoxia is well established, alternative regulatory mechanisms remain poorly understood. Here, we identify Microrchidia family CW-type zinc-finger 2 (MORC2) as a negative regulator of HIF-α. In zebrafish, CRISPR/Cas9-generated</w:t>
      </w:r>
      <w:r>
        <w:t xml:space="preserve"> </w:t>
      </w:r>
      <w:r>
        <w:t>morc2</w:t>
      </w:r>
      <w:r>
        <w:t xml:space="preserve"> </w:t>
      </w:r>
      <w:r>
        <w:t>mutants developed polycythemia, systemic hypoxia, and constitutive activation of the HIF pathway. Mechanistically, MORC2 counteracts histone deacetylase 4 (HDAC4) by competing for HIF-1α binding. Loss of MORC2 enhances HDAC4 recruitment to HIF-1α, reducing acetylation at lysine 629 and preventing proteasomal degradation of HIF-1α. These results define a regulatory mechanism in which MORC2 modulates HIF-1α stability via HDAC4 mediated deacetylation, shedding light on hematopoiesis and HIF-related disorders.</w:t>
      </w:r>
    </w:p>
    <w:p>
      <w:pPr>
        <w:spacing w:before="120" w:after="120"/>
      </w:pPr>
      <w:r>
        <w:rPr>
          <w:sz w:val="18"/>
        </w:rPr>
        <w:t>——————————————————————————————————————————————————————————————————————</w:t>
      </w:r>
    </w:p>
    <w:p>
      <w:pPr>
        <w:spacing w:before="160" w:after="40" w:line="240" w:lineRule="auto"/>
      </w:pPr>
      <w:r>
        <w:rPr>
          <w:b/>
        </w:rPr>
        <w:t xml:space="preserve">[302] </w:t>
      </w:r>
      <w:hyperlink r:id="rId955">
        <w:r>
          <w:rPr>
            <w:color w:val="1155CC"/>
            <w:u w:val="single"/>
          </w:rPr>
          <w:t>慢生根瘤菌共生固氮的自由生活源泉</w:t>
        </w:r>
      </w:hyperlink>
    </w:p>
    <w:p>
      <w:pPr>
        <w:spacing w:before="0" w:after="80"/>
      </w:pPr>
      <w:r>
        <w:rPr>
          <w:i/>
          <w:sz w:val="20"/>
        </w:rPr>
        <w:t>EN: The free-living wellspring of symbiotic nitrogen fixation in Bradyrhizobium</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56">
        <w:r>
          <w:rPr>
            <w:color w:val="1155CC"/>
            <w:u w:val="single"/>
          </w:rPr>
          <w:t>10.1073/pnas.2604918123</w:t>
        </w:r>
      </w:hyperlink>
    </w:p>
    <w:p>
      <w:pPr>
        <w:spacing w:before="0" w:after="120"/>
      </w:pPr>
      <w:r>
        <w:rPr>
          <w:b/>
        </w:rPr>
        <w:t xml:space="preserve">Notes: </w:t>
      </w:r>
      <w:r>
        <w:t>abstract_source=crossref</w:t>
      </w:r>
    </w:p>
    <w:p>
      <w:pPr>
        <w:spacing w:before="0" w:after="80" w:lineRule="auto" w:line="276"/>
      </w:pPr>
      <w:r>
        <w:rPr>
          <w:b/>
        </w:rPr>
        <w:t xml:space="preserve">摘要（ZH）: </w:t>
      </w:r>
      <w:r>
        <w:t>固氮共生的进化起源一直是一个长期存在的问题。为了解决这个问题，我们重点关注</w:t>
      </w:r>
      <w:r>
        <w:t xml:space="preserve"> </w:t>
      </w:r>
      <w:r>
        <w:t>慢生根瘤菌</w:t>
      </w:r>
      <w:r>
        <w:t xml:space="preserve"> </w:t>
      </w:r>
      <w:r>
        <w:t>，一种全球丰富的细菌属，包括经典的共生谱系，依赖共同的Nod因子信号通路形成根瘤，以及能够在自由生活状态下固氮的近亲。我们分离出88株携带固氮关键基因的菌株（</w:t>
      </w:r>
      <w:r>
        <w:t xml:space="preserve"> </w:t>
      </w:r>
      <w:r>
        <w:t>尼夫</w:t>
      </w:r>
      <w:r>
        <w:t xml:space="preserve"> </w:t>
      </w:r>
      <w:r>
        <w:t>）来自非豆类环境，并与 586 个公众一起对其进行了分析</w:t>
      </w:r>
      <w:r>
        <w:t xml:space="preserve"> </w:t>
      </w:r>
      <w:r>
        <w:t>慢生根瘤菌</w:t>
      </w:r>
      <w:r>
        <w:t xml:space="preserve"> </w:t>
      </w:r>
      <w:r>
        <w:t>含有这些基因的基因组可以重建强大的系统发育</w:t>
      </w:r>
      <w:r>
        <w:t xml:space="preserve"> </w:t>
      </w:r>
      <w:r>
        <w:t>尼夫</w:t>
      </w:r>
      <w:r>
        <w:t xml:space="preserve"> </w:t>
      </w:r>
      <w:r>
        <w:t>基因。分析表明，最早的分歧</w:t>
      </w:r>
      <w:r>
        <w:t xml:space="preserve"> </w:t>
      </w:r>
      <w:r>
        <w:t>尼夫</w:t>
      </w:r>
      <w:r>
        <w:t xml:space="preserve"> </w:t>
      </w:r>
      <w:r>
        <w:t>谱系是能够自由生活固氮的成员，支持这种生活方式是祖先的解释。 Nod因子依赖的共生谱系是多系的，我们的数据通过水平获取共生岛支持至少三个独立的起源。这种进化历史反映在基因组二分法中：能够自由生活固氮的谱系拥有保守的</w:t>
      </w:r>
      <w:r>
        <w:t xml:space="preserve"> </w:t>
      </w:r>
      <w:r>
        <w:t>尼夫</w:t>
      </w:r>
      <w:r>
        <w:t xml:space="preserve"> </w:t>
      </w:r>
      <w:r>
        <w:t>始终包含氧气保护基因的岛屿结构</w:t>
      </w:r>
      <w:r>
        <w:t xml:space="preserve"> </w:t>
      </w:r>
      <w:r>
        <w:t>球蛋白O</w:t>
      </w:r>
      <w:r>
        <w:t xml:space="preserve"> </w:t>
      </w:r>
      <w:r>
        <w:t>，而共生</w:t>
      </w:r>
      <w:r>
        <w:t xml:space="preserve"> </w:t>
      </w:r>
      <w:r>
        <w:t>尼夫</w:t>
      </w:r>
      <w:r>
        <w:t xml:space="preserve"> </w:t>
      </w:r>
      <w:r>
        <w:t>-相关区域变化很大并且普遍缺乏</w:t>
      </w:r>
      <w:r>
        <w:t xml:space="preserve"> </w:t>
      </w:r>
      <w:r>
        <w:t>球蛋白O</w:t>
      </w:r>
    </w:p>
    <w:p>
      <w:pPr>
        <w:spacing w:before="0" w:after="200" w:lineRule="auto" w:line="276"/>
      </w:pPr>
      <w:r>
        <w:rPr>
          <w:b/>
        </w:rPr>
        <w:t xml:space="preserve">Abstract (EN): </w:t>
      </w:r>
      <w:r>
        <w:t>The evolutionary origin of nitrogen-fixing symbiosis has been a long-standing question. To address this, we focused on</w:t>
      </w:r>
      <w:r>
        <w:t xml:space="preserve"> </w:t>
      </w:r>
      <w:r>
        <w:t>Bradyrhizobium</w:t>
      </w:r>
      <w:r>
        <w:t xml:space="preserve"> </w:t>
      </w:r>
      <w:r>
        <w:t>, a globally abundant bacterial genus that includes classic symbiotic lineages, which rely on the common Nod factor signaling pathway to form nodules, and close relatives capable of fixing nitrogen in a free-living state. We isolated 88 strains carrying the key genes for nitrogen fixation (</w:t>
      </w:r>
      <w:r>
        <w:t xml:space="preserve"> </w:t>
      </w:r>
      <w:r>
        <w:t>nif</w:t>
      </w:r>
      <w:r>
        <w:t xml:space="preserve"> </w:t>
      </w:r>
      <w:r>
        <w:t>) from nonlegume environments and analyzed them alongside 586 public</w:t>
      </w:r>
      <w:r>
        <w:t xml:space="preserve"> </w:t>
      </w:r>
      <w:r>
        <w:t>Bradyrhizobium</w:t>
      </w:r>
      <w:r>
        <w:t xml:space="preserve"> </w:t>
      </w:r>
      <w:r>
        <w:t>genomes harboring these genes to reconstruct a robust phylogeny of</w:t>
      </w:r>
      <w:r>
        <w:t xml:space="preserve"> </w:t>
      </w:r>
      <w:r>
        <w:t>nif</w:t>
      </w:r>
      <w:r>
        <w:t xml:space="preserve"> </w:t>
      </w:r>
      <w:r>
        <w:t>genes. Analysis suggests that the earliest-diverging</w:t>
      </w:r>
      <w:r>
        <w:t xml:space="preserve"> </w:t>
      </w:r>
      <w:r>
        <w:t>nif</w:t>
      </w:r>
      <w:r>
        <w:t xml:space="preserve"> </w:t>
      </w:r>
      <w:r>
        <w:t>lineages are members capable of free-living nitrogen fixation, supporting the interpretation that this lifestyle is ancestral. The Nod factor-dependent symbiotic lineages are polyphyletic, with our data supporting at least three independent origins via horizontal acquisition of symbiosis islands. This evolutionary history is reflected in a genomic dichotomy: lineages capable of free-living nitrogen fixation possess a conserved</w:t>
      </w:r>
      <w:r>
        <w:t xml:space="preserve"> </w:t>
      </w:r>
      <w:r>
        <w:t>nif</w:t>
      </w:r>
      <w:r>
        <w:t xml:space="preserve"> </w:t>
      </w:r>
      <w:r>
        <w:t>island architecture that consistently includes the oxygen-protective gene</w:t>
      </w:r>
      <w:r>
        <w:t xml:space="preserve"> </w:t>
      </w:r>
      <w:r>
        <w:t>glbO</w:t>
      </w:r>
      <w:r>
        <w:t xml:space="preserve"> </w:t>
      </w:r>
      <w:r>
        <w:t>, whereas the symbiotic</w:t>
      </w:r>
      <w:r>
        <w:t xml:space="preserve"> </w:t>
      </w:r>
      <w:r>
        <w:t>nif</w:t>
      </w:r>
      <w:r>
        <w:t xml:space="preserve"> </w:t>
      </w:r>
      <w:r>
        <w:t>-associated regions are highly variable and universally lack</w:t>
      </w:r>
      <w:r>
        <w:t xml:space="preserve"> </w:t>
      </w:r>
      <w:r>
        <w:t>glbO</w:t>
      </w:r>
      <w:r>
        <w:t xml:space="preserve"> </w:t>
      </w:r>
      <w:r>
        <w:t>. Using both loss-of-function and gain-of-function genetic approaches, we show that</w:t>
      </w:r>
      <w:r>
        <w:t xml:space="preserve"> </w:t>
      </w:r>
      <w:r>
        <w:t>glbO</w:t>
      </w:r>
      <w:r>
        <w:t xml:space="preserve"> </w:t>
      </w:r>
      <w:r>
        <w:t>contributes significantly to nitrogenase activity under free-living conditions, whereas it is dispensable within the protected nodule environment. This work provides a framework for the evolution of nitrogen-fixing symbiosis, supporting the view that free-living nitrogen-fixing ancestors gave rise repeatedly and independently to symbiotic lineages in</w:t>
      </w:r>
      <w:r>
        <w:t xml:space="preserve"> </w:t>
      </w:r>
      <w:r>
        <w:t>Bradyrhizobium</w:t>
      </w:r>
      <w:r>
        <w:t xml:space="preserve"> </w:t>
      </w:r>
      <w:r>
        <w:t>.</w:t>
      </w:r>
    </w:p>
    <w:p>
      <w:pPr>
        <w:spacing w:before="120" w:after="120"/>
      </w:pPr>
      <w:r>
        <w:rPr>
          <w:sz w:val="18"/>
        </w:rPr>
        <w:t>——————————————————————————————————————————————————————————————————————</w:t>
      </w:r>
    </w:p>
    <w:p>
      <w:pPr>
        <w:spacing w:before="160" w:after="40" w:line="240" w:lineRule="auto"/>
      </w:pPr>
      <w:r>
        <w:rPr>
          <w:b/>
        </w:rPr>
        <w:t xml:space="preserve">[303] </w:t>
      </w:r>
      <w:hyperlink r:id="rId957">
        <w:r>
          <w:rPr>
            <w:color w:val="1155CC"/>
            <w:u w:val="single"/>
          </w:rPr>
          <w:t>着火时数鸟：战区生物多样性监测</w:t>
        </w:r>
      </w:hyperlink>
    </w:p>
    <w:p>
      <w:pPr>
        <w:spacing w:before="0" w:after="80"/>
      </w:pPr>
      <w:r>
        <w:rPr>
          <w:i/>
          <w:sz w:val="20"/>
        </w:rPr>
        <w:t>EN: Counting birds while taking fire: Biodiversity monitoring in a war zone</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58">
        <w:r>
          <w:rPr>
            <w:color w:val="1155CC"/>
            <w:u w:val="single"/>
          </w:rPr>
          <w:t>10.1073/pnas.2621060123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[304] </w:t>
      </w:r>
      <w:hyperlink r:id="rId959">
        <w:r>
          <w:rPr>
            <w:color w:val="1155CC"/>
            <w:u w:val="single"/>
          </w:rPr>
          <w:t>词汇变化并不是法学硕士流行率或其决定因素的校准指标</w:t>
        </w:r>
      </w:hyperlink>
    </w:p>
    <w:p>
      <w:pPr>
        <w:spacing w:before="0" w:after="80"/>
      </w:pPr>
      <w:r>
        <w:rPr>
          <w:i/>
          <w:sz w:val="20"/>
        </w:rPr>
        <w:t>EN: Lexical change is not a calibrated measure of LLM prevalence or its determinants</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60">
        <w:r>
          <w:rPr>
            <w:color w:val="1155CC"/>
            <w:u w:val="single"/>
          </w:rPr>
          <w:t>10.1073/pnas.2620928123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[305] </w:t>
      </w:r>
      <w:hyperlink r:id="rId961">
        <w:r>
          <w:rPr>
            <w:color w:val="1155CC"/>
            <w:u w:val="single"/>
          </w:rPr>
          <w:t>技术创新的源泉</w:t>
        </w:r>
      </w:hyperlink>
    </w:p>
    <w:p>
      <w:pPr>
        <w:spacing w:before="0" w:after="80"/>
      </w:pPr>
      <w:r>
        <w:rPr>
          <w:i/>
          <w:sz w:val="20"/>
        </w:rPr>
        <w:t>EN: Sources of technological innovation</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62">
        <w:r>
          <w:rPr>
            <w:color w:val="1155CC"/>
            <w:u w:val="single"/>
          </w:rPr>
          <w:t>10.1073/pnas.2620764123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[306] </w:t>
      </w:r>
      <w:hyperlink r:id="rId963">
        <w:r>
          <w:rPr>
            <w:color w:val="1155CC"/>
            <w:u w:val="single"/>
          </w:rPr>
          <w:t>回复 Szöllősi 和 Williams：观察阈值减轻了瞬时基因对祖先重建的偏差</w:t>
        </w:r>
      </w:hyperlink>
    </w:p>
    <w:p>
      <w:pPr>
        <w:spacing w:before="0" w:after="80"/>
      </w:pPr>
      <w:r>
        <w:rPr>
          <w:i/>
          <w:sz w:val="20"/>
        </w:rPr>
        <w:t>EN: Reply to Szöllősi and Williams: The observation threshold mitigates the bias of transient genes on ancestral reconstruction</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64">
        <w:r>
          <w:rPr>
            <w:color w:val="1155CC"/>
            <w:u w:val="single"/>
          </w:rPr>
          <w:t>10.1073/pnas.2619901123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[307] </w:t>
      </w:r>
      <w:hyperlink r:id="rId965">
        <w:r>
          <w:rPr>
            <w:color w:val="1155CC"/>
            <w:u w:val="single"/>
          </w:rPr>
          <w:t>社会性昆虫大脑中的能量优先级和神经代谢尺度</w:t>
        </w:r>
      </w:hyperlink>
    </w:p>
    <w:p>
      <w:pPr>
        <w:spacing w:before="0" w:after="80"/>
      </w:pPr>
      <w:r>
        <w:rPr>
          <w:i/>
          <w:sz w:val="20"/>
        </w:rPr>
        <w:t>EN: Energy prioritization and neurometabolic scaling in a social insect brain</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66">
        <w:r>
          <w:rPr>
            <w:color w:val="1155CC"/>
            <w:u w:val="single"/>
          </w:rPr>
          <w:t>10.1073/pnas.2605431123</w:t>
        </w:r>
      </w:hyperlink>
    </w:p>
    <w:p>
      <w:pPr>
        <w:spacing w:before="0" w:after="120"/>
      </w:pPr>
      <w:r>
        <w:rPr>
          <w:b/>
        </w:rPr>
        <w:t xml:space="preserve">Notes: </w:t>
      </w:r>
      <w:r>
        <w:t>abstract_source=crossref</w:t>
      </w:r>
    </w:p>
    <w:p>
      <w:pPr>
        <w:spacing w:before="0" w:after="80" w:lineRule="auto" w:line="276"/>
      </w:pPr>
      <w:r>
        <w:rPr>
          <w:b/>
        </w:rPr>
        <w:t xml:space="preserve">摘要（ZH）: </w:t>
      </w:r>
      <w:r>
        <w:t>大脑的代谢成本很高，并且由于其高能量需求，在能量可用性减少的情况下可能会得到优先考虑。这种对大脑的优先能量分配已经在人类和其他哺乳动物中得到描述，但之前的研究并未直接量化大脑代谢率或同时考虑全身代谢。我们记录了工蚁的离体脑代谢率、脑质量、体重和全身代谢率</w:t>
      </w:r>
      <w:r>
        <w:t xml:space="preserve"> </w:t>
      </w:r>
      <w:r>
        <w:t>移民铺道藻</w:t>
      </w:r>
      <w:r>
        <w:t xml:space="preserve"> </w:t>
      </w:r>
      <w:r>
        <w:t>研究人员发现，当营养紧张时，分配给大脑的全身能量比例几乎翻倍，达到 45%。身体代谢率显着降低，而大脑代谢率却没有相应降低。营养不良的工人识别同域竞争者并对其做出积极反应的能力并未受到影响，这表明在能量限制期间，这种关键行为所需的感官知觉和神经处理得以维持。我们的发现是，相似的大脑能量优先顺序模式出现在身体尺寸、呼吸系统和大脑异速异形的远程相关进化枝中，这表明古代神经激素机制的保护或保护大脑的过程的功能趋同。此外，虽然工人的大脑占体重的5%，但在无压力的情况下，大脑的代谢率却是身体代谢率的24%至30%，这与人类和其他哺乳动物的模式非常相似。脑代谢率</w:t>
      </w:r>
      <w:r>
        <w:t xml:space="preserve"> </w:t>
      </w:r>
      <w:r>
        <w:t>移民毛虫</w:t>
      </w:r>
    </w:p>
    <w:p>
      <w:pPr>
        <w:spacing w:before="0" w:after="200" w:lineRule="auto" w:line="276"/>
      </w:pPr>
      <w:r>
        <w:rPr>
          <w:b/>
        </w:rPr>
        <w:t xml:space="preserve">Abstract (EN): </w:t>
      </w:r>
      <w:r>
        <w:t>Brains are metabolically costly and due to their high energetic demands may receive priority under conditions of reduced energy availability. Such preferential energy allocation to the brain has been described for humans and other mammals, but previous studies have not directly quantified brain metabolic rate or simultaneously considered whole-body metabolism. We recorded brain metabolic rate ex vivo, brain mass, body mass, and whole-body metabolic rate in workers of the ant</w:t>
      </w:r>
      <w:r>
        <w:t xml:space="preserve"> </w:t>
      </w:r>
      <w:r>
        <w:t>Tetramorium immigrans</w:t>
      </w:r>
      <w:r>
        <w:t xml:space="preserve"> </w:t>
      </w:r>
      <w:r>
        <w:t>and found the proportion of whole-body energy allocated to the brain nearly doubled to 45% when nutritionally stressed. Body metabolic rate was significantly reduced without a comparable decrease in brain metabolic rate. The ability of nutritionally compromised workers to recognize and aggressively respond to a sympatric competitor was not affected, indicating that sensory perception and neural processing necessary for this critical behavior are maintained during energy limitation. Our finding that similar patterns of brain energy prioritization occur across remotely related clades with exceptionally different body sizes, respiratory systems, and brain allometries suggests conservation of ancient neurohormonal mechanisms or functional convergence of processes to protect the brain. Furthermore, although the worker brain was 5% of body mass, brain metabolic rate was 24 to 30% of body metabolic rate under unstressed conditions, remarkably similar to the pattern of humans and other mammals. Brain metabolic rate of</w:t>
      </w:r>
      <w:r>
        <w:t xml:space="preserve"> </w:t>
      </w:r>
      <w:r>
        <w:t>T. immigrans</w:t>
      </w:r>
      <w:r>
        <w:t xml:space="preserve"> </w:t>
      </w:r>
      <w:r>
        <w:t>was predictable from the scaling of brain metabolic rate in mammals, suggesting ecological, physiological, and evolutionary effects of body size on brain metabolic rate are common.</w:t>
      </w:r>
    </w:p>
    <w:p>
      <w:pPr>
        <w:spacing w:before="120" w:after="120"/>
      </w:pPr>
      <w:r>
        <w:rPr>
          <w:sz w:val="18"/>
        </w:rPr>
        <w:t>——————————————————————————————————————————————————————————————————————</w:t>
      </w:r>
    </w:p>
    <w:p>
      <w:pPr>
        <w:spacing w:before="160" w:after="40" w:line="240" w:lineRule="auto"/>
      </w:pPr>
      <w:r>
        <w:rPr>
          <w:b/>
        </w:rPr>
        <w:t xml:space="preserve">[308] </w:t>
      </w:r>
      <w:hyperlink r:id="rId967">
        <w:r>
          <w:rPr>
            <w:color w:val="1155CC"/>
            <w:u w:val="single"/>
          </w:rPr>
          <w:t>当协调是可以避免的时候：组织任务的单调性分析</w:t>
        </w:r>
      </w:hyperlink>
    </w:p>
    <w:p>
      <w:pPr>
        <w:spacing w:before="0" w:after="80"/>
      </w:pPr>
      <w:r>
        <w:rPr>
          <w:i/>
          <w:sz w:val="20"/>
        </w:rPr>
        <w:t>EN: When coordination is avoidable: A monotonicity analysis of organizational tasks</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68">
        <w:r>
          <w:rPr>
            <w:color w:val="1155CC"/>
            <w:u w:val="single"/>
          </w:rPr>
          <w:t>10.1073/pnas.2606267123</w:t>
        </w:r>
      </w:hyperlink>
    </w:p>
    <w:p>
      <w:pPr>
        <w:spacing w:before="0" w:after="120"/>
      </w:pPr>
      <w:r>
        <w:rPr>
          <w:b/>
        </w:rPr>
        <w:t xml:space="preserve">Notes: </w:t>
      </w:r>
      <w:r>
        <w:t>abstract_source=crossref</w:t>
      </w:r>
    </w:p>
    <w:p>
      <w:pPr>
        <w:spacing w:before="0" w:after="80" w:lineRule="auto" w:line="276"/>
      </w:pPr>
      <w:r>
        <w:rPr>
          <w:b/>
        </w:rPr>
        <w:t xml:space="preserve">摘要（ZH）: </w:t>
      </w:r>
      <w:r>
        <w:t>组织投入大量资源进行协调，但哪些任务实际上需要它来保证正确性仍不清楚。这个问题在多智能体人工智能系统中尤为严重，其中协调成本是可以直接测量的，并且可能超过工作本身的成本。分布式系统理论提供了一个精确的标准：当任务规范是非单调的时，就需要协调，这意味着随着历史的增长，新信息可能会使先前的结论无效。在这里，我们展示了汤普森的经典相互依赖分类法映射到该标准，从而产生何时需要协调才能保证正确性的决策规则。我们将对应关系形式化为桥定理，将该规则应用于美国生产力与质量中心 (APQC) 的 65 个工作流程，以及（使用校准的大语言模型 (LLM)）、13,417 个职业信息网络（O*NET 任务），并在多智能体 AI 模拟中进行说明。根据我们的分解，74% 的工作流程和 42% 的 O*NET 任务是单调的，这意味着最多 24 57%的协调支出对于正确性来说是不必要的。</w:t>
      </w:r>
    </w:p>
    <w:p>
      <w:pPr>
        <w:spacing w:before="0" w:after="200" w:lineRule="auto" w:line="276"/>
      </w:pPr>
      <w:r>
        <w:rPr>
          <w:b/>
        </w:rPr>
        <w:t xml:space="preserve">Abstract (EN): </w:t>
      </w:r>
      <w:r>
        <w:t>Organizations devote substantial resources to coordination, yet which tasks actually require it for correctness remains unclear. The problem is acute in multiagent AI systems, where coordination cost is directly measurable and can exceed the cost of the work itself. Distributed systems theory provides a precise criterion: Coordination is required when a task specification is nonmonotonic, meaning that as histories grow, new information can invalidate prior conclusions. Here we show that Thompson’s classic taxonomy of interdependence maps to that criterion, yielding a decision rule for when coordination is required for correctness. We formalize the correspondence in a bridge theorem, apply the rule to 65 workflows from the American Productivity &amp;amp; Quality Center (APQC), and (with a calibrated large language model (LLM), 13,417 Occupational Information Network (O*NET tasks), and illustrate it in multiagent AI simulations. Under our decompositions, 74% of workflows and 42% of O*NET tasks are monotonic, implying that up to 24 to 57% of coordination spending is unnecessary for correctness.</w:t>
      </w:r>
    </w:p>
    <w:p>
      <w:pPr>
        <w:spacing w:before="120" w:after="120"/>
      </w:pPr>
      <w:r>
        <w:rPr>
          <w:sz w:val="18"/>
        </w:rPr>
        <w:t>——————————————————————————————————————————————————————————————————————</w:t>
      </w:r>
    </w:p>
    <w:p>
      <w:pPr>
        <w:spacing w:before="160" w:after="40" w:line="240" w:lineRule="auto"/>
      </w:pPr>
      <w:r>
        <w:rPr>
          <w:b/>
        </w:rPr>
        <w:t xml:space="preserve">[309] </w:t>
      </w:r>
      <w:hyperlink r:id="rId969">
        <w:r>
          <w:rPr>
            <w:color w:val="1155CC"/>
            <w:u w:val="single"/>
          </w:rPr>
          <w:t>逆向进行以正确进行 RNA 复制</w:t>
        </w:r>
      </w:hyperlink>
    </w:p>
    <w:p>
      <w:pPr>
        <w:spacing w:before="0" w:after="80"/>
      </w:pPr>
      <w:r>
        <w:rPr>
          <w:i/>
          <w:sz w:val="20"/>
        </w:rPr>
        <w:t>EN: Going in reverse to get it right in RNA replication</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70">
        <w:r>
          <w:rPr>
            <w:color w:val="1155CC"/>
            <w:u w:val="single"/>
          </w:rPr>
          <w:t>10.1073/pnas.2619019123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[310] </w:t>
      </w:r>
      <w:hyperlink r:id="rId971">
        <w:r>
          <w:rPr>
            <w:color w:val="1155CC"/>
            <w:u w:val="single"/>
          </w:rPr>
          <w:t>PLK1 介导的 PHGDH 磷酸化重新编程晚期前列腺癌中的丝氨酸代谢</w:t>
        </w:r>
      </w:hyperlink>
    </w:p>
    <w:p>
      <w:pPr>
        <w:spacing w:before="0" w:after="80"/>
      </w:pPr>
      <w:r>
        <w:rPr>
          <w:i/>
          <w:sz w:val="20"/>
        </w:rPr>
        <w:t>EN: PLK1-mediated phosphorylation of PHGDH reprograms serine metabolism in advanced prostate cancer</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72">
        <w:r>
          <w:rPr>
            <w:color w:val="1155CC"/>
            <w:u w:val="single"/>
          </w:rPr>
          <w:t>10.1073/pnas.2618349123</w:t>
        </w:r>
      </w:hyperlink>
    </w:p>
    <w:p>
      <w:pPr>
        <w:spacing w:before="0" w:after="120"/>
      </w:pPr>
      <w:r>
        <w:rPr>
          <w:b/>
        </w:rPr>
        <w:t xml:space="preserve">Notes: </w:t>
      </w:r>
      <w:r>
        <w:t>abstract_source=crossref</w:t>
      </w:r>
    </w:p>
    <w:p>
      <w:pPr>
        <w:spacing w:before="0" w:after="80" w:lineRule="auto" w:line="276"/>
      </w:pPr>
      <w:r>
        <w:rPr>
          <w:b/>
        </w:rPr>
        <w:t xml:space="preserve">摘要（ZH）: </w:t>
      </w:r>
      <w:r>
        <w:t>代谢重编程是癌症的一个标志，使肿瘤细胞能够满足其增加的生物合成和能量需求。尽管细胞具有从头丝氨酸生物合成的能力，但大多数转化的癌细胞优先依赖外源丝氨酸摄取来维持其生长，但驱动这种代谢依赖性的调节机制仍然知之甚少。在这里，我们发现了一种机制，在前列腺癌中经常过度表达的 Polo 样激酶 1 (PLK1) 通过丝氨酸合成途径 (SSP) 的限速酶磷酸甘油酸脱氢酶 (PHGDH) 的磷酸化来协调丝氨酸和鞘脂代谢的代谢转变。具体来说，PLK1 直接在 S512、S513 和 S517 位点磷酸化 PHGDH，导致其蛋白质水平和酶活性显着降低。这种从头丝氨酸生物合成的下调迫使癌细胞通过 ASCT2 转运蛋白增加对外源丝氨酸摄取的依赖，这反过来又促进脂质的生物合成，包括肿瘤生长和生存所必需的鞘脂。我们的研究结果表明，针对 SSP、丝氨酸摄取或下游脂质生物合成途径可能代表针对以 PLK1 失调为特征的晚期癌症的有前景的治疗策略。</w:t>
      </w:r>
    </w:p>
    <w:p>
      <w:pPr>
        <w:spacing w:before="0" w:after="200" w:lineRule="auto" w:line="276"/>
      </w:pPr>
      <w:r>
        <w:rPr>
          <w:b/>
        </w:rPr>
        <w:t xml:space="preserve">Abstract (EN): </w:t>
      </w:r>
      <w:r>
        <w:t>Metabolic reprogramming is a hallmark of cancer, enabling tumor cells to meet their increased biosynthetic and energetic demands. Although cells possess the capacity for de novo serine biosynthesis, most transformed cancer cells preferentially rely on exogenous serine uptake to sustain their growth, yet the regulatory mechanisms driving this metabolic dependency remain poorly understood. Here, we uncover a mechanism by which Polo-like kinase 1 (PLK1), frequently overexpressed in prostate cancer, orchestrates a metabolic shift in serine and sphingolipid metabolism through phosphorylation of phosphoglycerate dehydrogenase (PHGDH), the rate-limiting enzyme of the serine synthesis pathway (SSP). Specifically, PLK1 directly phosphorylates PHGDH at S512, S513, and S517, leading to a marked reduction in its protein level and enzymatic activity. This downregulation of de novo serine biosynthesis forces cancer cells to increase their reliance on exogenous serine uptake via the ASCT2 transporter, which in turn fuels the biosynthesis of lipids, including sphingolipids essential for tumor growth and survival. Our findings suggest that targeting the SSP, serine uptake, or downstream lipid biosynthesis pathways may represent promising therapeutic strategies in advanced cancers characterized by PLK1 dysregulation.</w:t>
      </w:r>
    </w:p>
    <w:p>
      <w:pPr>
        <w:spacing w:before="120" w:after="120"/>
      </w:pPr>
      <w:r>
        <w:rPr>
          <w:sz w:val="18"/>
        </w:rPr>
        <w:t>——————————————————————————————————————————————————————————————————————</w:t>
      </w:r>
    </w:p>
    <w:p>
      <w:pPr>
        <w:spacing w:before="160" w:after="40" w:line="240" w:lineRule="auto"/>
      </w:pPr>
      <w:r>
        <w:rPr>
          <w:b/>
        </w:rPr>
        <w:t xml:space="preserve">[311] </w:t>
      </w:r>
      <w:hyperlink r:id="rId973">
        <w:r>
          <w:rPr>
            <w:color w:val="1155CC"/>
            <w:u w:val="single"/>
          </w:rPr>
          <w:t>2015 年至 2026 年 ICE 逮捕行动：目标、方法和地理位置的变化</w:t>
        </w:r>
      </w:hyperlink>
    </w:p>
    <w:p>
      <w:pPr>
        <w:spacing w:before="0" w:after="80"/>
      </w:pPr>
      <w:r>
        <w:rPr>
          <w:i/>
          <w:sz w:val="20"/>
        </w:rPr>
        <w:t>EN: ICE arrests, 2015–2026: Variation in targeting, method, and geography</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74">
        <w:r>
          <w:rPr>
            <w:color w:val="1155CC"/>
            <w:u w:val="single"/>
          </w:rPr>
          <w:t>10.1073/pnas.2618096123</w:t>
        </w:r>
      </w:hyperlink>
    </w:p>
    <w:p>
      <w:pPr>
        <w:spacing w:before="0" w:after="120"/>
      </w:pPr>
      <w:r>
        <w:rPr>
          <w:b/>
        </w:rPr>
        <w:t xml:space="preserve">Notes: </w:t>
      </w:r>
      <w:r>
        <w:t>abstract_source=crossref</w:t>
      </w:r>
    </w:p>
    <w:p>
      <w:pPr>
        <w:spacing w:before="0" w:after="80" w:lineRule="auto" w:line="276"/>
      </w:pPr>
      <w:r>
        <w:rPr>
          <w:b/>
        </w:rPr>
        <w:t xml:space="preserve">摘要（ZH）: </w:t>
      </w:r>
      <w:r>
        <w:t>我们分析并分解了 2015 年 10 月至 2026 年 3 月期间美国移民和海关执法局 (ICE) 逮捕的全部 160 万人的行政数据。我们的结果显示，移民执法的现实与公众的说法截然不同，即 ICE 逮捕对于通过驱逐犯罪者来保护公共安全是必要的：尽管在特朗普两任总统任期之初逮捕人数激增，但因刑事定罪而被捕的人数比例大幅下降，尤其是在2025 年。ICE 策略的转变部分解释了这种模式，但即使以策略为条件，刑事定罪的比例也会随着逮捕人数的增加而下降。此外，我们发现，尽管刑事定罪率几乎普遍下降，但 ICE 方法存在显着的地理异质性。我们的研究结果为政策制定者、公众和研究这一时期移民政策的研究人员提供了重要证据。</w:t>
      </w:r>
    </w:p>
    <w:p>
      <w:pPr>
        <w:spacing w:before="0" w:after="200" w:lineRule="auto" w:line="276"/>
      </w:pPr>
      <w:r>
        <w:rPr>
          <w:b/>
        </w:rPr>
        <w:t xml:space="preserve">Abstract (EN): </w:t>
      </w:r>
      <w:r>
        <w:t>We analyze and decompose administrative data on all 1.6 million US Immigration and Customs Enforcement (ICE) arrests from October 2015 to March 2026. Our results reveal that the reality of immigration enforcement diverges sharply from the public narrative that ICE arrests are necessary to protect public safety by removing people who commit crimes: Although arrests spiked at the outset of both Trump presidencies, the share of arrested individuals with criminal convictions fell significantly, with especially marked declines in 2025. A shift in ICE tactics partly explains this pattern, but even conditional on tactic, the share with a criminal conviction declined as arrests rose. Moreover, we find substantial geographic heterogeneity in ICE methods, despite nearly universal declines in the criminal conviction rate. Our findings provide important evidence for policymakers, the general public, and researchers studying this period of immigration policy.</w:t>
      </w:r>
    </w:p>
    <w:p>
      <w:pPr>
        <w:spacing w:before="120" w:after="120"/>
      </w:pPr>
      <w:r>
        <w:rPr>
          <w:sz w:val="18"/>
        </w:rPr>
        <w:t>——————————————————————————————————————————————————————————————————————</w:t>
      </w:r>
    </w:p>
    <w:p>
      <w:pPr>
        <w:spacing w:before="160" w:after="40" w:line="240" w:lineRule="auto"/>
      </w:pPr>
      <w:r>
        <w:rPr>
          <w:b/>
        </w:rPr>
        <w:t xml:space="preserve">[312] </w:t>
      </w:r>
      <w:hyperlink r:id="rId975">
        <w:r>
          <w:rPr>
            <w:color w:val="1155CC"/>
            <w:u w:val="single"/>
          </w:rPr>
          <w:t>气候变暖和大气沉降共同加速南极半岛大气-冰川-陆地-海洋汞循环</w:t>
        </w:r>
      </w:hyperlink>
    </w:p>
    <w:p>
      <w:pPr>
        <w:spacing w:before="0" w:after="80"/>
      </w:pPr>
      <w:r>
        <w:rPr>
          <w:i/>
          <w:sz w:val="20"/>
        </w:rPr>
        <w:t>EN: Climate warming and atmospheric deposition jointly accelerate the Antarctic Peninsula atmosphere–glacier–land–ocean mercury loop</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76">
        <w:r>
          <w:rPr>
            <w:color w:val="1155CC"/>
            <w:u w:val="single"/>
          </w:rPr>
          <w:t>10.1073/pnas.2613472123</w:t>
        </w:r>
      </w:hyperlink>
    </w:p>
    <w:p>
      <w:pPr>
        <w:spacing w:before="0" w:after="120"/>
      </w:pPr>
      <w:r>
        <w:rPr>
          <w:b/>
        </w:rPr>
        <w:t xml:space="preserve">Notes: </w:t>
      </w:r>
      <w:r>
        <w:t>abstract_source=crossref</w:t>
      </w:r>
    </w:p>
    <w:p>
      <w:pPr>
        <w:spacing w:before="0" w:after="80" w:lineRule="auto" w:line="276"/>
      </w:pPr>
      <w:r>
        <w:rPr>
          <w:b/>
        </w:rPr>
        <w:t xml:space="preserve">摘要（ZH）: </w:t>
      </w:r>
      <w:r>
        <w:t>汞（Hg）是全球关注的有毒污染物，威胁生态系统和人类健康。人为排放和极地变暖共同重塑了它的循环，但南极系统的反应仍然受到很少的限制。在这里，我们通过将在 AP 陆架上收集的 16 个沉积岩芯的地球化学和同位素记录与开发的观测约束多媒体汞预算模型相结合，重建了南极半岛 (AP) 过去 200 年的汞源汇动态，该地区是南极洲变暖最快、冰川融化最明显的地区。我们发现，尽管远离人为排放源，现代亚太大陆架的汞累积率为 93 ± 58 µg m</w:t>
      </w:r>
      <w:r>
        <w:t xml:space="preserve"> </w:t>
      </w:r>
      <w:r>
        <w:t>−2</w:t>
      </w:r>
      <w:r>
        <w:t xml:space="preserve"> </w:t>
      </w:r>
      <w:r>
        <w:t>y</w:t>
      </w:r>
      <w:r>
        <w:t xml:space="preserve"> </w:t>
      </w:r>
      <w:r>
        <w:t>−1</w:t>
      </w:r>
      <w:r>
        <w:t xml:space="preserve"> </w:t>
      </w:r>
      <w:r>
        <w:t>，是全球货架平均水平的两倍。自工业化以来，这种富集率增加了160%，使亚太地区成为海洋汞富集的主要热点之一。该模型进一步揭示，这种加速是由两个耦合机制驱动的：1）大气沉降增强和开放水域扩大加强了大气-海洋环路中海水对大气汞的直接吸收，2）冰融化和侵蚀激活了长期被忽视的大气-冰川-陆地-海洋环路，重新激活了陆地上储存的汞。这两个循环的耦合使冰融化驱动的陆地汞释放增加了 550%，海气交换增加了 350%。因此，气候变暖正在将南极洲历史上的大型汞库变成活跃的二次污染源。</w:t>
      </w:r>
    </w:p>
    <w:p>
      <w:pPr>
        <w:spacing w:before="0" w:after="200" w:lineRule="auto" w:line="276"/>
      </w:pPr>
      <w:r>
        <w:rPr>
          <w:b/>
        </w:rPr>
        <w:t xml:space="preserve">Abstract (EN): </w:t>
      </w:r>
      <w:r>
        <w:t>Mercury (Hg) is a toxic pollutant of global concern that threatens ecosystem and human health. Its cycle is being jointly reshaped by anthropogenic emissions and polar warming, yet the response of the Antarctic system remains poorly constrained. Here, we reconstruct the past 200 y of Hg source–sink dynamics in the Antarctic Peninsula (AP), Antarctica’s fastest-warming region with the most pronounced glacier melting, by combining geochemical and isotopic records from 16 sediment cores collected across the AP shelf, with a developed observation-constrained multimedia Hg budget model. We find that despite its remoteness from anthropogenic emission sources, the modern AP shelf exhibits an Hg accumulation rate of 93 ± 58 µg m</w:t>
      </w:r>
      <w:r>
        <w:t xml:space="preserve"> </w:t>
      </w:r>
      <w:r>
        <w:t>−2</w:t>
      </w:r>
      <w:r>
        <w:t xml:space="preserve"> </w:t>
      </w:r>
      <w:r>
        <w:t>y</w:t>
      </w:r>
      <w:r>
        <w:t xml:space="preserve"> </w:t>
      </w:r>
      <w:r>
        <w:t>−1</w:t>
      </w:r>
      <w:r>
        <w:t xml:space="preserve"> </w:t>
      </w:r>
      <w:r>
        <w:t>, twice the global shelf average. Since industrialization, this accumulation rate has increased by 160%, making the AP one of the major hotspots of marine Hg enrichment. The model further reveals that this acceleration is driven by two coupled mechanisms: 1) enhanced atmospheric deposition and expanding open water strengthen the direct uptake of atmospheric Hg by seawater within the atmosphere–ocean loop, and 2) ice melt and erosion activate the long-overlooked atmosphere–glacier–land–ocean loop, remobilizing legacy Hg stored on land. The coupling of these two loops has increased ice melt-driven terrestrial Hg release by 550% and air–sea exchange by 350%. Thus, climate warming is turning the large historical Hg reservoir in Antarctica into an active secondary pollution source, amplifying polar Hg pollution risk.</w:t>
      </w:r>
    </w:p>
    <w:p>
      <w:pPr>
        <w:spacing w:before="120" w:after="120"/>
      </w:pPr>
      <w:r>
        <w:rPr>
          <w:sz w:val="18"/>
        </w:rPr>
        <w:t>——————————————————————————————————————————————————————————————————————</w:t>
      </w:r>
    </w:p>
    <w:p>
      <w:pPr>
        <w:spacing w:before="160" w:after="40" w:line="240" w:lineRule="auto"/>
      </w:pPr>
      <w:r>
        <w:rPr>
          <w:b/>
        </w:rPr>
        <w:t xml:space="preserve">[313] </w:t>
      </w:r>
      <w:hyperlink r:id="rId977">
        <w:r>
          <w:rPr>
            <w:color w:val="1155CC"/>
            <w:u w:val="single"/>
          </w:rPr>
          <w:t>从果蝇到足球：暴力果蝇为 CTE 提供了新颖的想法</w:t>
        </w:r>
      </w:hyperlink>
    </w:p>
    <w:p>
      <w:pPr>
        <w:spacing w:before="0" w:after="80"/>
      </w:pPr>
      <w:r>
        <w:rPr>
          <w:i/>
          <w:sz w:val="20"/>
        </w:rPr>
        <w:t>EN: From fruit flies to football: Violent Drosophila provide novel ideas about CTE</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78">
        <w:r>
          <w:rPr>
            <w:color w:val="1155CC"/>
            <w:u w:val="single"/>
          </w:rPr>
          <w:t>10.1073/pnas.2621064123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[314] </w:t>
      </w:r>
      <w:hyperlink r:id="rId979">
        <w:r>
          <w:rPr>
            <w:color w:val="1155CC"/>
            <w:u w:val="single"/>
          </w:rPr>
          <w:t>用于连续监测汗液左旋多巴的可穿戴贴片：帕金森病的运动和无动力药效学评估</w:t>
        </w:r>
      </w:hyperlink>
    </w:p>
    <w:p>
      <w:pPr>
        <w:spacing w:before="0" w:after="80"/>
      </w:pPr>
      <w:r>
        <w:rPr>
          <w:i/>
          <w:sz w:val="20"/>
        </w:rPr>
        <w:t>EN: A wearable patch for continuous levodopa monitoring in sweat: Towards exertion and power-free pharmacodynamic assessment in Parkinson’s disease</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80">
        <w:r>
          <w:rPr>
            <w:color w:val="1155CC"/>
            <w:u w:val="single"/>
          </w:rPr>
          <w:t>10.1073/pnas.2610453123</w:t>
        </w:r>
      </w:hyperlink>
    </w:p>
    <w:p>
      <w:pPr>
        <w:spacing w:before="0" w:after="120"/>
      </w:pPr>
      <w:r>
        <w:rPr>
          <w:b/>
        </w:rPr>
        <w:t xml:space="preserve">Notes: </w:t>
      </w:r>
      <w:r>
        <w:t>abstract_source=crossref</w:t>
      </w:r>
    </w:p>
    <w:p>
      <w:pPr>
        <w:spacing w:before="0" w:after="80" w:lineRule="auto" w:line="276"/>
      </w:pPr>
      <w:r>
        <w:rPr>
          <w:b/>
        </w:rPr>
        <w:t xml:space="preserve">摘要（ZH）: </w:t>
      </w:r>
      <w:r>
        <w:t>帕金森病 (PD) 的精准治疗需要频繁调整左旋多巴 (L-dopa) 剂量，但目前的监测依赖于主观症状报告和不频繁的血液检测。在这里，我们提出了一种柔软的、指尖安装的可穿戴平台，用于连续、无创的左旋多巴监测。通过将渗透收集的被动汗液与软水凝胶、电位传感策略和个性化校准相结合，该平台无需外部电源或离子电渗疗法即可从汗液中估计血液左旋多巴信息。在健康人群中观察到汗液与高效液相色谱 (HPLC) 测量的血液左旋多巴浓度之间存在很强的相关性。</w:t>
      </w:r>
      <w:r>
        <w:t xml:space="preserve"> </w:t>
      </w:r>
      <w:r>
        <w:t>磷</w:t>
      </w:r>
      <w:r>
        <w:t xml:space="preserve"> </w:t>
      </w:r>
      <w:r>
        <w:t>r</w:t>
      </w:r>
      <w:r>
        <w:t xml:space="preserve"> </w:t>
      </w:r>
      <w:r>
        <w:t>=</w:t>
      </w:r>
      <w:r>
        <w:t xml:space="preserve"> </w:t>
      </w:r>
      <w:r>
        <w:t>0.85</w:t>
      </w:r>
      <w:r>
        <w:t xml:space="preserve"> </w:t>
      </w:r>
      <w:r>
        <w:t>) 和 PD 科目 (</w:t>
      </w:r>
      <w:r>
        <w:t xml:space="preserve"> </w:t>
      </w:r>
      <w:r>
        <w:t>磷</w:t>
      </w:r>
      <w:r>
        <w:t xml:space="preserve"> </w:t>
      </w:r>
      <w:r>
        <w:t>r</w:t>
      </w:r>
      <w:r>
        <w:t xml:space="preserve"> </w:t>
      </w:r>
      <w:r>
        <w:t>=</w:t>
      </w:r>
      <w:r>
        <w:t xml:space="preserve"> </w:t>
      </w:r>
      <w:r>
        <w:t>0.88</w:t>
      </w:r>
      <w:r>
        <w:t xml:space="preserve"> </w:t>
      </w:r>
      <w:r>
        <w:t>）在单次速释左旋多巴/卡比多巴剂量后。低运动症状评分与左旋多巴峰值水平一致，证实了药效学相关性。尽管左旋多巴的生物利用度与健康受试者相似，但 PD 患者的清除速度更快，而记录的血流动力学反应显示两组患者都有短暂的低血压趋势。机器学习</w:t>
      </w:r>
    </w:p>
    <w:p>
      <w:pPr>
        <w:spacing w:before="0" w:after="200" w:lineRule="auto" w:line="276"/>
      </w:pPr>
      <w:r>
        <w:rPr>
          <w:b/>
        </w:rPr>
        <w:t xml:space="preserve">Abstract (EN): </w:t>
      </w:r>
      <w:r>
        <w:t>Precision management of Parkinson’s disease (PD) requires frequent levodopa (L-dopa) dose adjustments, yet current monitoring relies on subjective symptom reporting and infrequent blood testing. Here, we present a soft, fingertip-mounted wearable platform for continuous, noninvasive L-dopa monitoring. By combining osmotically harvested passive sweat with soft hydrogels, a potentiometric sensing strategy, and individualized calibration, the platform estimates blood L-dopa information from sweat without external power or iontophoresis. Strong correlations between sweat and high-performance liquid chromatography (HPLC)-measured blood L-dopa concentrations were observed in healthy (</w:t>
      </w:r>
      <w:r>
        <w:t xml:space="preserve"> </w:t>
      </w:r>
      <w:r>
        <w:t>P</w:t>
      </w:r>
      <w:r>
        <w:t xml:space="preserve"> </w:t>
      </w:r>
      <w:r>
        <w:t>r</w:t>
      </w:r>
      <w:r>
        <w:t xml:space="preserve"> </w:t>
      </w:r>
      <w:r>
        <w:t>=</w:t>
      </w:r>
      <w:r>
        <w:t xml:space="preserve"> </w:t>
      </w:r>
      <w:r>
        <w:t>0.85</w:t>
      </w:r>
      <w:r>
        <w:t xml:space="preserve"> </w:t>
      </w:r>
      <w:r>
        <w:t>) and PD subjects (</w:t>
      </w:r>
      <w:r>
        <w:t xml:space="preserve"> </w:t>
      </w:r>
      <w:r>
        <w:t>P</w:t>
      </w:r>
      <w:r>
        <w:t xml:space="preserve"> </w:t>
      </w:r>
      <w:r>
        <w:t>r</w:t>
      </w:r>
      <w:r>
        <w:t xml:space="preserve"> </w:t>
      </w:r>
      <w:r>
        <w:t>=</w:t>
      </w:r>
      <w:r>
        <w:t xml:space="preserve"> </w:t>
      </w:r>
      <w:r>
        <w:t>0.88</w:t>
      </w:r>
      <w:r>
        <w:t xml:space="preserve"> </w:t>
      </w:r>
      <w:r>
        <w:t>) following a single immediate-release L-dopa/carbidopa dose. Low motor symptom scores aligned with peak L-dopa levels, confirming pharmacodynamic relevance. L-dopa cleared faster in PD patients despite similar bioavailability to healthy subjects, while recorded hemodynamic responses showed short hypotensive trends for both groups. Machine learning identified sweat and blood pressure as key contributors toward accurate estimation of blood L-dopa levels (mean absolute error = 2.02 µM vs. ground truth). Overall, our easy-to-use, energy-efficient wearable supports real-time, stimulation-free monitoring, potentially enabling at-home dosage adjustments and paving the way for future autonomous closed-loop L-dopa therapeutic system development.</w:t>
      </w:r>
    </w:p>
    <w:p>
      <w:pPr>
        <w:spacing w:before="120" w:after="120"/>
      </w:pPr>
      <w:r>
        <w:rPr>
          <w:sz w:val="18"/>
        </w:rPr>
        <w:t>——————————————————————————————————————————————————————————————————————</w:t>
      </w:r>
    </w:p>
    <w:p>
      <w:pPr>
        <w:spacing w:before="160" w:after="40" w:line="240" w:lineRule="auto"/>
      </w:pPr>
      <w:r>
        <w:rPr>
          <w:b/>
        </w:rPr>
        <w:t xml:space="preserve">[315] </w:t>
      </w:r>
      <w:hyperlink r:id="rId981">
        <w:r>
          <w:rPr>
            <w:color w:val="1155CC"/>
            <w:u w:val="single"/>
          </w:rPr>
          <w:t>人类世加速弯曲杆菌人畜共患病</w:t>
        </w:r>
      </w:hyperlink>
    </w:p>
    <w:p>
      <w:pPr>
        <w:spacing w:before="0" w:after="80"/>
      </w:pPr>
      <w:r>
        <w:rPr>
          <w:i/>
          <w:sz w:val="20"/>
        </w:rPr>
        <w:t>EN: Accelerating Campylobacter zoonosis in the Anthropocene</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82">
        <w:r>
          <w:rPr>
            <w:color w:val="1155CC"/>
            <w:u w:val="single"/>
          </w:rPr>
          <w:t>10.1073/pnas.2609969123</w:t>
        </w:r>
      </w:hyperlink>
    </w:p>
    <w:p>
      <w:pPr>
        <w:spacing w:before="0" w:after="120"/>
      </w:pPr>
      <w:r>
        <w:rPr>
          <w:b/>
        </w:rPr>
        <w:t xml:space="preserve">Notes: </w:t>
      </w:r>
      <w:r>
        <w:t>abstract_source=crossref</w:t>
      </w:r>
    </w:p>
    <w:p>
      <w:pPr>
        <w:spacing w:before="0" w:after="80" w:lineRule="auto" w:line="276"/>
      </w:pPr>
      <w:r>
        <w:rPr>
          <w:b/>
        </w:rPr>
        <w:t xml:space="preserve">摘要（ZH）: </w:t>
      </w:r>
      <w:r>
        <w:t>集约化家禽养殖改变了全球鸟类数量，将数十亿只鸡集中到密集的工业系统中，从根本上重塑了生态空间。由于鸟类是重要的病原体储存库，这些变化可能对人畜共患疾病的传播产生重要影响，包括</w:t>
      </w:r>
      <w:r>
        <w:t xml:space="preserve"> </w:t>
      </w:r>
      <w:r>
        <w:t>空肠弯曲菌</w:t>
      </w:r>
      <w:r>
        <w:t xml:space="preserve"> </w:t>
      </w:r>
      <w:r>
        <w:t>——细菌性胃肠炎的主要原因。通过分析 2,747 个鸡和野鸟的基因组，我们发现家禽集约化已经侵蚀了历史上的宿主-品系关联，并创造了一个新的、不断扩大的生态位。系统发育重建显示，自 1900 年以来，与驯化前的水平相比，鸡向野鸟宿主的转变估计增加了 100 倍，同时 1960 年后与鸡相关的谱系急剧扩张，病原体有效种群规模不断增加。模型模拟进一步表明，不断扩大的高密度鸡群可以充当生态“病原体海绵”，吸收和放大不同的菌株，同时维持高患病率和合并感染率。全基因组关联分析表明，适应鸡生态位的菌株经常获得与氧化应激、金属稳态、运动性和抗菌素耐药性相关的基因。总之，这些发现表明，集约化家禽养殖正在重塑病原体生态，加速主要人畜共患细菌的进化和传播，对人类健康产生直接影响。</w:t>
      </w:r>
    </w:p>
    <w:p>
      <w:pPr>
        <w:spacing w:before="0" w:after="200" w:lineRule="auto" w:line="276"/>
      </w:pPr>
      <w:r>
        <w:rPr>
          <w:b/>
        </w:rPr>
        <w:t xml:space="preserve">Abstract (EN): </w:t>
      </w:r>
      <w:r>
        <w:t>Intensive poultry farming has transformed global bird populations, concentrating billions of chickens into dense industrial systems that fundamentally reshape ecological space. As birds are important pathogen reservoirs, these changes can have important consequences for the spread of zoonoses including</w:t>
      </w:r>
      <w:r>
        <w:t xml:space="preserve"> </w:t>
      </w:r>
      <w:r>
        <w:t>Campylobacter jejuni</w:t>
      </w:r>
      <w:r>
        <w:t xml:space="preserve"> </w:t>
      </w:r>
      <w:r>
        <w:t>—the leading cause of bacterial gastroenteritis. Analyzing 2,747 genomes from chickens and wild birds, we show that poultry intensification has eroded historic host–strain associations and created a new and expanding ecological niche. Phylogenetic reconstructions reveal an estimated 100-fold increase in chicken-to-wild-bird host transitions since 1900 compared to predomestication levels, alongside dramatic post-1960 expansions of chicken-associated lineages and rising pathogen effective population sizes. Model simulations further indicate that expanding, high-density chicken populations could act as ecological “pathogen sponges,” absorbing and amplifying diverse strains while sustaining high prevalence and coinfection rates. Genome-wide association analyses show that strains adapted to the chicken niche frequently acquire genes linked to oxidative stress, metal homeostasis, motility, and antimicrobial resistance. Together, these findings demonstrate that intensive poultry farming is reshaping pathogen ecology and accelerating the evolution and spread of a major zoonotic bacterium, with direct implications for human health.</w:t>
      </w:r>
    </w:p>
    <w:p>
      <w:pPr>
        <w:spacing w:before="120" w:after="120"/>
      </w:pPr>
      <w:r>
        <w:rPr>
          <w:sz w:val="18"/>
        </w:rPr>
        <w:t>——————————————————————————————————————————————————————————————————————</w:t>
      </w:r>
    </w:p>
    <w:p>
      <w:pPr>
        <w:spacing w:before="160" w:after="40" w:line="240" w:lineRule="auto"/>
      </w:pPr>
      <w:r>
        <w:rPr>
          <w:b/>
        </w:rPr>
        <w:t xml:space="preserve">[316] </w:t>
      </w:r>
      <w:hyperlink r:id="rId983">
        <w:r>
          <w:rPr>
            <w:color w:val="1155CC"/>
            <w:u w:val="single"/>
          </w:rPr>
          <w:t>增益-损失-重复下的祖先基因含量估计取决于所选的观察阈值</w:t>
        </w:r>
      </w:hyperlink>
    </w:p>
    <w:p>
      <w:pPr>
        <w:spacing w:before="0" w:after="80"/>
      </w:pPr>
      <w:r>
        <w:rPr>
          <w:i/>
          <w:sz w:val="20"/>
        </w:rPr>
        <w:t>EN: Ancestral gene content estimates under gain–loss–duplication depend on the chosen observation threshold</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84">
        <w:r>
          <w:rPr>
            <w:color w:val="1155CC"/>
            <w:u w:val="single"/>
          </w:rPr>
          <w:t>10.1073/pnas.2618431123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[317] </w:t>
      </w:r>
      <w:hyperlink r:id="rId985">
        <w:r>
          <w:rPr>
            <w:color w:val="1155CC"/>
            <w:u w:val="single"/>
          </w:rPr>
          <w:t>抗消化蛋白支持与植物性饮食相关的健康代谢特征</w:t>
        </w:r>
      </w:hyperlink>
    </w:p>
    <w:p>
      <w:pPr>
        <w:spacing w:before="0" w:after="80"/>
      </w:pPr>
      <w:r>
        <w:rPr>
          <w:i/>
          <w:sz w:val="20"/>
        </w:rPr>
        <w:t>EN: Digestion-resistant proteins support the healthy metabolite profiles associated with plant-based diets</w:t>
      </w:r>
    </w:p>
    <w:p>
      <w:pPr>
        <w:spacing w:before="0" w:after="120"/>
      </w:pPr>
      <w:r>
        <w:rPr>
          <w:b/>
        </w:rPr>
        <w:t xml:space="preserve">Source: </w:t>
      </w:r>
      <w:r>
        <w:t>Proceedings of the National Academy of Sciences: Keyword search for query</w:t>
      </w:r>
      <w:r>
        <w:t xml:space="preserve">    </w:t>
      </w:r>
      <w:r>
        <w:rPr>
          <w:b/>
        </w:rPr>
        <w:t xml:space="preserve">Pub date: </w:t>
      </w:r>
      <w:r>
        <w:t>2026-07-27 07:00:00+00:00</w:t>
      </w:r>
      <w:r>
        <w:t xml:space="preserve">    </w:t>
      </w:r>
      <w:r>
        <w:rPr>
          <w:b/>
        </w:rPr>
        <w:t xml:space="preserve">DOI: </w:t>
      </w:r>
      <w:hyperlink r:id="rId986">
        <w:r>
          <w:rPr>
            <w:color w:val="1155CC"/>
            <w:u w:val="single"/>
          </w:rPr>
          <w:t>10.1073/pnas.2605226123</w:t>
        </w:r>
      </w:hyperlink>
    </w:p>
    <w:p>
      <w:pPr>
        <w:spacing w:before="0" w:after="120"/>
      </w:pPr>
      <w:r>
        <w:rPr>
          <w:b/>
        </w:rPr>
        <w:t xml:space="preserve">Notes: </w:t>
      </w:r>
      <w:r>
        <w:t>abstract_source=crossref</w:t>
      </w:r>
    </w:p>
    <w:p>
      <w:pPr>
        <w:spacing w:before="0" w:after="80" w:lineRule="auto" w:line="276"/>
      </w:pPr>
      <w:r>
        <w:rPr>
          <w:b/>
        </w:rPr>
        <w:t xml:space="preserve">摘要（ZH）: </w:t>
      </w:r>
      <w:r>
        <w:t>以植物为基础的饮食与积极的健康结果和多样化的肠道微生物群相关。此类饮食会改变微生物群的代谢输出，包括增加与有益健康结果相关的苯丙氨酸衍生酚（马尿酸和3-苯基丙酸盐），同时减少被视为尿毒症毒素的酪氨酸衍生酚（硫酸苯酚和硫酸对甲酚）。植物饮食与这些苯酚代谢物之间的联系机制尚不清楚。植物性食物富含纤维和植物化学物质。它们还含有抵抗宿主消化的蛋白质，从而到达肠道微生物组。在这里，我们证明纤维和抗消化蛋白质协同作用，通过改变肠道微生物组的营养供应来改变苯酚的分布。通过同位素示踪研究，我们揭示宿主分泌蛋白是苯酚硫酸盐和对甲酚硫酸盐的来源，而耐消化膳食蛋白是马尿酸和3-苯基丙酸盐的来源。纤维减少细菌对宿主分泌蛋白（例如粘蛋白）的消化，从而抑制酪氨酸衍生的苯酚硫酸盐和对甲酚硫酸盐，其水平与消化粘蛋白的细菌家族相关</w:t>
      </w:r>
      <w:r>
        <w:t xml:space="preserve"> </w:t>
      </w:r>
      <w:r>
        <w:t>颤螺科。</w:t>
      </w:r>
      <w:r>
        <w:t xml:space="preserve"> </w:t>
      </w:r>
      <w:r>
        <w:t>抗消化膳食蛋白质增加细菌接触苯丙氨酸，从而增加苯丙氨酸衍生的马尿酸和3-苯丙酸。因此，抗消化植物蛋白可调节微生物代谢，并与纤维一起支持与植物性饮食相关的健康代谢特征。</w:t>
      </w:r>
    </w:p>
    <w:p>
      <w:pPr>
        <w:spacing w:before="0" w:after="200" w:lineRule="auto" w:line="276"/>
      </w:pPr>
      <w:r>
        <w:rPr>
          <w:b/>
        </w:rPr>
        <w:t xml:space="preserve">Abstract (EN): </w:t>
      </w:r>
      <w:r>
        <w:t>Plant-based diets are associated with both positive health outcomes and a diverse gut microbiome. Such diets alter the microbiome’s metabolic outputs, including increasing phenylalanine-derived phenols associated with beneficial health outcomes (hippuric acid and 3-phenylpropionate), while decreasing tyrosine-derived phenols considered uremic toxins (phenol sulfate and p-cresol sulfate). The mechanisms linking plant eating to these phenol metabolites are not known. Plant-based foods are fiber and phytochemical rich. They also contain proteins that are resistant to host digestion and thus reach the gut microbiome. Here, we show that fiber and digestion-resistant protein work in concert to shift the phenol profile by altering gut microbiome nutrient supply. Through isotope-tracing studies, we reveal that host secreted proteins are a source for phenol sulfate and p-cresol sulfate, while digestion-resistant dietary protein is the source for hippuric acid and 3-phenylpropionate. Fiber decreases bacterial digestion of host secreted proteins (e.g., mucins) and thus suppresses tyrosine-derived phenol sulfate and p-cresol sulfate, whose levels correlate with the mucin-digesting bacterial family</w:t>
      </w:r>
      <w:r>
        <w:t xml:space="preserve"> </w:t>
      </w:r>
      <w:r>
        <w:t>Oscillospiraceae.</w:t>
      </w:r>
      <w:r>
        <w:t xml:space="preserve"> </w:t>
      </w:r>
      <w:r>
        <w:t>Digestion-resistant dietary protein increases bacterial access to phenylalanine and thereby boosts phenylalanine-derived hippuric acid and 3-phenylpropionate. Thus, digestion-resistant plant protein modulates microbiome metabolism and, together with fiber, supports healthy metabolite profiles associated with plant-based diets.</w:t>
      </w:r>
    </w:p>
    <w:p>
      <w:pPr>
        <w:spacing w:before="120" w:after="120"/>
      </w:pPr>
      <w:r>
        <w:rPr>
          <w:sz w:val="18"/>
        </w:rPr>
        <w:t>——————————————————————————————————————————————————————————————————————</w:t>
      </w:r>
    </w:p>
    <w:p>
      <w:pPr>
        <w:spacing w:before="160" w:after="40" w:line="240" w:lineRule="auto"/>
      </w:pPr>
      <w:r>
        <w:rPr>
          <w:b/>
        </w:rPr>
        <w:t xml:space="preserve">[318] </w:t>
      </w:r>
      <w:hyperlink r:id="rId987">
        <w:r>
          <w:rPr>
            <w:color w:val="1155CC"/>
            <w:u w:val="single"/>
          </w:rPr>
          <w:t>通过连续微流体自动化探索脂质纳米结构设计空间</w:t>
        </w:r>
      </w:hyperlink>
    </w:p>
    <w:p>
      <w:pPr>
        <w:spacing w:before="0" w:after="80"/>
      </w:pPr>
      <w:r>
        <w:rPr>
          <w:i/>
          <w:sz w:val="20"/>
        </w:rPr>
        <w:t>EN: Navigating Lipid Nanostructure Design Space Through Continuous Microfluidic Automation</w:t>
      </w:r>
    </w:p>
    <w:p>
      <w:pPr>
        <w:spacing w:before="0" w:after="120"/>
      </w:pPr>
      <w:r>
        <w:rPr>
          <w:b/>
        </w:rPr>
        <w:t xml:space="preserve">Source: </w:t>
      </w:r>
      <w:r>
        <w:t>Wiley: Advanced Materials: Table of Contents</w:t>
      </w:r>
      <w:r>
        <w:t xml:space="preserve">    </w:t>
      </w:r>
      <w:r>
        <w:rPr>
          <w:b/>
        </w:rPr>
        <w:t xml:space="preserve">Pub date: </w:t>
      </w:r>
      <w:r>
        <w:t>2026-07-27 08:04:38+00:00</w:t>
      </w:r>
      <w:r>
        <w:t xml:space="preserve">    </w:t>
      </w:r>
      <w:r>
        <w:rPr>
          <w:b/>
        </w:rPr>
        <w:t xml:space="preserve">DOI: </w:t>
      </w:r>
      <w:hyperlink r:id="rId988">
        <w:r>
          <w:rPr>
            <w:color w:val="1155CC"/>
            <w:u w:val="single"/>
          </w:rPr>
          <w:t>10.1002/adma.74165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纳米级脂质颗粒的多功能性使其成为生物医学递送、合成膜工程和基础生物物理探索的首选支架。在这些领域中，合理的颗粒设计已成为主要瓶颈。脂质组成、化学计量、尺寸、形态、相行为和生物物理特性结合成一个巨大的高维空间，本质上难以探索，使得传统的优化方法缓慢且有限。在这个广阔的空间中识别最佳脂质成分需要基于高效低成本自动化的高通量筛选。在这里，我们介绍了一种高通量微流体平台，用于快速筛选脂质纳米颗粒，提供对成分和形态的精确、可编程控制。该系统将脂质储备的片上微流体计量与连续颗粒自组装集成在一起，然后由机器人收集到 96 孔板中。该工作流程每小时可以生成 200 多种独特的配方，相对于传统方法，吞吐量增加了几个数量级。我们应用该平台以前所未有的分辨率系统地绘制生物物理空间，验证转染效率的成分趋势，并识别具有最佳功能性能的非层状制剂。通过将可扩展合成与自动筛选相结合，我们希望该平台能够为数据驱动和人工智能集成的自组装纳米材料发现提供坚实的基础。</w:t>
      </w:r>
    </w:p>
    <w:p>
      <w:pPr>
        <w:spacing w:before="0" w:after="200" w:lineRule="auto" w:line="276"/>
      </w:pPr>
      <w:r>
        <w:rPr>
          <w:b/>
        </w:rPr>
        <w:t xml:space="preserve">Abstract (EN): </w:t>
      </w:r>
      <w:r>
        <w:t>The versatility of nanoscale lipid particles has positioned them as the scaffold of choice for biomedical delivery, synthetic membrane engineering, and fundamental biophysical exploration. Across these fields, rational particle design has become a major bottleneck. Lipid composition, stoichiometry, size, morphology, phase behavior, and biophysical properties combine into an enormous, high‑dimensional space that is inherently difficult to explore, making conventional optimization approaches slow and limited. Identifying optimal lipid compositions in this vast space necessitates high‐throughput screening based on efficient low‐cost automation. Here we introduce a high‐throughput microfluidic platform for rapid screening of lipid nanoparticles, offering precise, programmable control over composition and morphology. The system integrates on‐chip microfluidic metering of lipid stocks with continuous particle self‐assembly, followed by robotic collection into 96‐well plates. This workflow enables the generation of over 200 unique formulations per hour, delivering a several‐orders‐of‐magnitude increase in throughput relative to conventional approaches. We apply the platform to systematically map biophysical space at unprecedented resolution, validate compositional trends in transfection efficiency, and identify non‐lamellar formulations with optimal functional performance. By coupling scalable synthesis with automated screening, we expect this platform to provide a robust foundation for data‐driven and AI‐integrated discovery of self‐assembled nanomaterials including lipid, polymeric, and biomolecular assemblies.</w:t>
      </w:r>
    </w:p>
    <w:p>
      <w:pPr>
        <w:spacing w:before="120" w:after="120"/>
      </w:pPr>
      <w:r>
        <w:rPr>
          <w:sz w:val="18"/>
        </w:rPr>
        <w:t>——————————————————————————————————————————————————————————————————————</w:t>
      </w:r>
    </w:p>
    <w:p>
      <w:pPr>
        <w:spacing w:before="160" w:after="40" w:line="240" w:lineRule="auto"/>
      </w:pPr>
      <w:r>
        <w:rPr>
          <w:b/>
        </w:rPr>
        <w:t xml:space="preserve">[319] </w:t>
      </w:r>
      <w:hyperlink r:id="rId989">
        <w:r>
          <w:rPr>
            <w:color w:val="1155CC"/>
            <w:u w:val="single"/>
          </w:rPr>
          <w:t>一维并置双梯度感觉纤维用于复杂人体运动和生理学的综合传感和解码</w:t>
        </w:r>
      </w:hyperlink>
    </w:p>
    <w:p>
      <w:pPr>
        <w:spacing w:before="0" w:after="80"/>
      </w:pPr>
      <w:r>
        <w:rPr>
          <w:i/>
          <w:sz w:val="20"/>
        </w:rPr>
        <w:t>EN: 1‐D Collocated Dual‐Gradient Sensory Fibers for Comprehensive Sensing and Decoding of Complex Human Motion and Physiology</w:t>
      </w:r>
    </w:p>
    <w:p>
      <w:pPr>
        <w:spacing w:before="0" w:after="120"/>
      </w:pPr>
      <w:r>
        <w:rPr>
          <w:b/>
        </w:rPr>
        <w:t xml:space="preserve">Source: </w:t>
      </w:r>
      <w:r>
        <w:t>Wiley: Advanced Materials: Table of Contents</w:t>
      </w:r>
      <w:r>
        <w:t xml:space="preserve">    </w:t>
      </w:r>
      <w:r>
        <w:rPr>
          <w:b/>
        </w:rPr>
        <w:t xml:space="preserve">Pub date: </w:t>
      </w:r>
      <w:r>
        <w:t>2026-07-27 08:08:55+00:00</w:t>
      </w:r>
      <w:r>
        <w:t xml:space="preserve">    </w:t>
      </w:r>
      <w:r>
        <w:rPr>
          <w:b/>
        </w:rPr>
        <w:t xml:space="preserve">DOI: </w:t>
      </w:r>
      <w:hyperlink r:id="rId990">
        <w:r>
          <w:rPr>
            <w:color w:val="1155CC"/>
            <w:u w:val="single"/>
          </w:rPr>
          <w:t>10.1002/adma.74328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捕获微弱的生理波动和大的身体运动的可穿戴接口仍然难以在单根纤维中实现，因为大多数应变传感纤维都由一种主要的机电响应模式控制。因此，机械上不同的变形机制的表示不明确，限制了下游运动解释的传感范围和信息质量。在这里，我们开发了一种整体双梯度光纤，其具有通过耦合材料和工艺设计编程的互补传感机制。通过共同调节炭黑/碳纳米管填充的苯乙烯-乙烯-丁烯-苯乙烯（SEBS）复合材料的渗流行为和流变拉伸性，我们确定了两种适合在一根连续线中进行同轴共拉伸的配方。由此产生的光纤将一个用于小变形的高响应层与一个在较大应变下保持信息丰富的坚固层配对，产生同步但非冗余的信号。在低应变 (0%–10%) 下，高灵敏度层的应变系数为 51.28，是低灵敏度层 (12.42) 的四倍多，而两层分别在应变高达约 40% 和 160% 时仍保持功能。该架构保留了不同输入和叠加输入的机械显着特征，支持从脉搏和呼吸到关节运动的测量。在单纤维手套中，双灵敏度设计相对于单灵敏度控件将手势分类精度提高了 10% 以上，丰富了解码功能。</w:t>
      </w:r>
    </w:p>
    <w:p>
      <w:pPr>
        <w:spacing w:before="0" w:after="200" w:lineRule="auto" w:line="276"/>
      </w:pPr>
      <w:r>
        <w:rPr>
          <w:b/>
        </w:rPr>
        <w:t xml:space="preserve">Abstract (EN): </w:t>
      </w:r>
      <w:r>
        <w:t>Wearable interfaces that capture both weak physiological fluctuations and large body motions remain difficult to realize in a single fiber because most strain‐sensing fibers are governed by one dominant electromechanical response mode. Consequently, mechanically distinct deformation regimes are ambiguously represented, limiting sensing range and information quality for downstream motion interpretation. Here, we develop a monolithic dual‐gradient fiber with complementary sensing regimes programmed through coupled materials and process design. By jointly tuning the percolation behavior and rheological drawability of carbon black/carbon nanotube‐filled styrene–ethylene–butylene–styrene (SEBS) composites, we identified two formulations suitable for coaxial co‐drawing within one continuous strand. The resulting fiber pairs a highly responsive layer for small deformation with a robust layer that stays informative at larger strain, producing synchronized but nonredundant signals. At low strain (0%–10%), the high‐sensitivity layer exhibits a gauge factor of 51.28, over four times the low‐sensitivity layer (12.42), while the two layers remain functional up to approximately 40% and 160% strain, respectively. This architecture preserves mechanically salient features across distinct and superimposed inputs, supporting measurements from pulse and respiration to joint motion. In a single‐fiber glove, the dual‐sensitivity design improves gesture‐classification accuracy by more than 10% relative to single‐sensitivity controls, enriching features for decoding.</w:t>
      </w:r>
    </w:p>
    <w:p>
      <w:pPr>
        <w:spacing w:before="120" w:after="120"/>
      </w:pPr>
      <w:r>
        <w:rPr>
          <w:sz w:val="18"/>
        </w:rPr>
        <w:t>——————————————————————————————————————————————————————————————————————</w:t>
      </w:r>
    </w:p>
    <w:p>
      <w:pPr>
        <w:spacing w:before="160" w:after="40" w:line="240" w:lineRule="auto"/>
      </w:pPr>
      <w:r>
        <w:rPr>
          <w:b/>
        </w:rPr>
        <w:t xml:space="preserve">[320] </w:t>
      </w:r>
      <w:hyperlink r:id="rId991">
        <w:r>
          <w:rPr>
            <w:color w:val="1155CC"/>
            <w:u w:val="single"/>
          </w:rPr>
          <w:t>具有动态成分的温度演化夸克-胶子等离子体中的辐射能量损失</w:t>
        </w:r>
      </w:hyperlink>
    </w:p>
    <w:p>
      <w:pPr>
        <w:spacing w:before="0" w:after="80"/>
      </w:pPr>
      <w:r>
        <w:rPr>
          <w:i/>
          <w:sz w:val="20"/>
        </w:rPr>
        <w:t>EN: Radiative energy loss in a temperature-evolving quark-gluon plasma with dynamical constituents</w:t>
      </w:r>
    </w:p>
    <w:p>
      <w:pPr>
        <w:spacing w:before="0" w:after="120"/>
      </w:pPr>
      <w:r>
        <w:rPr>
          <w:b/>
        </w:rPr>
        <w:t xml:space="preserve">Source: </w:t>
      </w:r>
      <w:r>
        <w:t>Recent Articles in Phys. Rev. C</w:t>
      </w:r>
      <w:r>
        <w:t xml:space="preserve">    </w:t>
      </w:r>
      <w:r>
        <w:rPr>
          <w:b/>
        </w:rPr>
        <w:t xml:space="preserve">Pub date: </w:t>
      </w:r>
      <w:r>
        <w:t>2026-07-27 10:00:00+00:00</w:t>
      </w:r>
      <w:r>
        <w:t xml:space="preserve">    </w:t>
      </w:r>
      <w:r>
        <w:rPr>
          <w:b/>
        </w:rPr>
        <w:t xml:space="preserve">DOI: </w:t>
      </w:r>
      <w:hyperlink r:id="rId992">
        <w:r>
          <w:rPr>
            <w:color w:val="1155CC"/>
            <w:u w:val="single"/>
          </w:rPr>
          <w:t>10.1103/bdkf-3x4p</w:t>
        </w:r>
      </w:hyperlink>
    </w:p>
    <w:p>
      <w:pPr>
        <w:spacing w:before="0" w:after="120"/>
      </w:pPr>
      <w:r>
        <w:rPr>
          <w:b/>
        </w:rPr>
        <w:t xml:space="preserve">Notes: </w:t>
      </w:r>
      <w:r>
        <w:t>abstract_source=rss_description</w:t>
      </w:r>
    </w:p>
    <w:p>
      <w:pPr>
        <w:spacing w:before="0" w:after="80" w:lineRule="auto" w:line="276"/>
      </w:pPr>
      <w:r>
        <w:rPr>
          <w:b/>
        </w:rPr>
        <w:t xml:space="preserve">摘要（ZH）: </w:t>
      </w:r>
      <w:r>
        <w:t>作者：Bithika Karmakar 和 Magdalena Djordjevic 我们提出了一种计算一阶不透明辐射能量损失的理论形式，该形式结合了具有动态（即移动）成分的有限尺寸量子色动力学介质中夸克-胶子等离子体（QGP）的空间和时间温度演化。导出的表达式...[物理。 Rev. C 114, 014917] 2026 年 7 月 27 日星期一发布</w:t>
      </w:r>
    </w:p>
    <w:p>
      <w:pPr>
        <w:spacing w:before="0" w:after="200" w:lineRule="auto" w:line="276"/>
      </w:pPr>
      <w:r>
        <w:rPr>
          <w:b/>
        </w:rPr>
        <w:t xml:space="preserve">Abstract (EN): </w:t>
      </w:r>
      <w:r>
        <w:t>Author(s): Bithika Karmakar and Magdalena DjordjevicWe present a theoretical formalism for calculating first-order-in-opacity radiative energy loss that incorporates the spatial and temporal temperature evolution of the quark-gluon plasma (QGP) in a finite-size quantum chromodynamics medium with dynamical (i.e., moving) constituents. The derived expr…[Phys. Rev. C 114, 014917] Published Mon Jul 27, 2026</w:t>
      </w:r>
    </w:p>
    <w:p>
      <w:pPr>
        <w:spacing w:before="120" w:after="120"/>
      </w:pPr>
      <w:r>
        <w:rPr>
          <w:sz w:val="18"/>
        </w:rPr>
        <w:t>——————————————————————————————————————————————————————————————————————</w:t>
      </w:r>
    </w:p>
    <w:p>
      <w:pPr>
        <w:spacing w:before="160" w:after="40" w:line="240" w:lineRule="auto"/>
      </w:pPr>
      <w:r>
        <w:rPr>
          <w:b/>
        </w:rPr>
        <w:t xml:space="preserve">[321] </w:t>
      </w:r>
      <w:hyperlink r:id="rId993">
        <w:r>
          <w:rPr>
            <w:color w:val="1155CC"/>
            <w:u w:val="single"/>
          </w:rPr>
          <w:t>突破瓶颈：越强越慢</w:t>
        </w:r>
      </w:hyperlink>
    </w:p>
    <w:p>
      <w:pPr>
        <w:spacing w:before="0" w:after="80"/>
      </w:pPr>
      <w:r>
        <w:rPr>
          <w:i/>
          <w:sz w:val="20"/>
        </w:rPr>
        <w:t>EN: Flow through Bottlenecks: Stronger Is Slower</w:t>
      </w:r>
    </w:p>
    <w:p>
      <w:pPr>
        <w:spacing w:before="0" w:after="120"/>
      </w:pPr>
      <w:r>
        <w:rPr>
          <w:b/>
        </w:rPr>
        <w:t xml:space="preserve">Source: </w:t>
      </w:r>
      <w:r>
        <w:t>Recent Articles in Phys. Rev. Lett.</w:t>
      </w:r>
      <w:r>
        <w:t xml:space="preserve">    </w:t>
      </w:r>
      <w:r>
        <w:rPr>
          <w:b/>
        </w:rPr>
        <w:t xml:space="preserve">Pub date: </w:t>
      </w:r>
      <w:r>
        <w:t>2026-07-27 10:00:00+00:00</w:t>
      </w:r>
      <w:r>
        <w:t xml:space="preserve">    </w:t>
      </w:r>
      <w:r>
        <w:rPr>
          <w:b/>
        </w:rPr>
        <w:t xml:space="preserve">DOI: </w:t>
      </w:r>
      <w:hyperlink r:id="rId994">
        <w:r>
          <w:rPr>
            <w:color w:val="1155CC"/>
            <w:u w:val="single"/>
          </w:rPr>
          <w:t>10.1103/r9jy-hrv7</w:t>
        </w:r>
      </w:hyperlink>
    </w:p>
    <w:p>
      <w:pPr>
        <w:spacing w:before="0" w:after="120"/>
      </w:pPr>
      <w:r>
        <w:rPr>
          <w:b/>
        </w:rPr>
        <w:t xml:space="preserve">Notes: </w:t>
      </w:r>
      <w:r>
        <w:t>abstract_source=rss_description</w:t>
      </w:r>
    </w:p>
    <w:p>
      <w:pPr>
        <w:spacing w:before="0" w:after="80" w:lineRule="auto" w:line="276"/>
      </w:pPr>
      <w:r>
        <w:rPr>
          <w:b/>
        </w:rPr>
        <w:t xml:space="preserve">摘要（ZH）: </w:t>
      </w:r>
      <w:r>
        <w:t>作者：Marta Grasa、Laciel Alonso-Llanes、Angel Garcimartín 和 Iker Zuriguel 我们展示了可编程机器人通过瓶颈的流程的实验结果。有了这些代理，速度和力就可以解耦——这是一个独特的功能，使我们能够证明，在没有身体接触和从后面推动的情况下，尽管出现了木屐，但移动得更快……[Phys.莱特牧师。 137, 058301] 2026 年 7 月 27 日星期一发布</w:t>
      </w:r>
    </w:p>
    <w:p>
      <w:pPr>
        <w:spacing w:before="0" w:after="200" w:lineRule="auto" w:line="276"/>
      </w:pPr>
      <w:r>
        <w:rPr>
          <w:b/>
        </w:rPr>
        <w:t xml:space="preserve">Abstract (EN): </w:t>
      </w:r>
      <w:r>
        <w:t>Author(s): Marta Grasa, Laciel Alonso-Llanes, Angel Garcimartín, and Iker ZuriguelWe present experimental results of the flow of programmable robots through a bottleneck. With these agents, velocity and force can be decoupled—a unique feature allowing us to show that, in the absence of physical contact and pushing from behind, and despite the development of clogs, moving faster a…[Phys. Rev. Lett. 137, 058301] Published Mon Jul 27, 2026</w:t>
      </w:r>
    </w:p>
    <w:p>
      <w:pPr>
        <w:spacing w:before="120" w:after="120"/>
      </w:pPr>
      <w:r>
        <w:rPr>
          <w:sz w:val="18"/>
        </w:rPr>
        <w:t>——————————————————————————————————————————————————————————————————————</w:t>
      </w:r>
    </w:p>
    <w:p>
      <w:pPr>
        <w:spacing w:before="160" w:after="40" w:line="240" w:lineRule="auto"/>
      </w:pPr>
      <w:r>
        <w:rPr>
          <w:b/>
        </w:rPr>
        <w:t xml:space="preserve">[322] </w:t>
      </w:r>
      <w:hyperlink r:id="rId995">
        <w:r>
          <w:rPr>
            <w:color w:val="1155CC"/>
            <w:u w:val="single"/>
          </w:rPr>
          <w:t>通过 LAGEOS 和 LAGEOS II 卫星的激光跟踪测试局部洛伦兹不变性</w:t>
        </w:r>
      </w:hyperlink>
    </w:p>
    <w:p>
      <w:pPr>
        <w:spacing w:before="0" w:after="80"/>
      </w:pPr>
      <w:r>
        <w:rPr>
          <w:i/>
          <w:sz w:val="20"/>
        </w:rPr>
        <w:t>EN: Testing Local Lorentz Invariance with Laser Tracking of the LAGEOS and LAGEOS II Satellites</w:t>
      </w:r>
    </w:p>
    <w:p>
      <w:pPr>
        <w:spacing w:before="0" w:after="120"/>
      </w:pPr>
      <w:r>
        <w:rPr>
          <w:b/>
        </w:rPr>
        <w:t xml:space="preserve">Source: </w:t>
      </w:r>
      <w:r>
        <w:t>Recent Articles in Phys. Rev. Lett.</w:t>
      </w:r>
      <w:r>
        <w:t xml:space="preserve">    </w:t>
      </w:r>
      <w:r>
        <w:rPr>
          <w:b/>
        </w:rPr>
        <w:t xml:space="preserve">Pub date: </w:t>
      </w:r>
      <w:r>
        <w:t>2026-07-27 10:00:00+00:00</w:t>
      </w:r>
      <w:r>
        <w:t xml:space="preserve">    </w:t>
      </w:r>
      <w:r>
        <w:rPr>
          <w:b/>
        </w:rPr>
        <w:t xml:space="preserve">DOI: </w:t>
      </w:r>
      <w:hyperlink r:id="rId996">
        <w:r>
          <w:rPr>
            <w:color w:val="1155CC"/>
            <w:u w:val="single"/>
          </w:rPr>
          <w:t>10.1103/v88p-965w</w:t>
        </w:r>
      </w:hyperlink>
    </w:p>
    <w:p>
      <w:pPr>
        <w:spacing w:before="0" w:after="120"/>
      </w:pPr>
      <w:r>
        <w:rPr>
          <w:b/>
        </w:rPr>
        <w:t xml:space="preserve">Notes: </w:t>
      </w:r>
      <w:r>
        <w:t>abstract_source=rss_description</w:t>
      </w:r>
    </w:p>
    <w:p>
      <w:pPr>
        <w:spacing w:before="0" w:after="80" w:lineRule="auto" w:line="276"/>
      </w:pPr>
      <w:r>
        <w:rPr>
          <w:b/>
        </w:rPr>
        <w:t xml:space="preserve">摘要（ZH）: </w:t>
      </w:r>
      <w:r>
        <w:t>作者：David Lucchesi、Massimo Visco、Roberto Peron、José C. Rodriguez、Massimo Bassan、Giuseppe Pucacco、Luciano Anselmo、Graham Appleby、Marco Cinelli、Alessandro Di Marco、Marco Lucente、Carmelo Magnafico、Carmen Pardini 和 Feliciana Sapio（SaToR-G Collaboration）洛伦兹违规不变性是现代物理学的基石，它是通过量子引力理论和涉及新矢量或张量场的广义相对论的扩展来预测的。在弱场极限中，这种违反主要表现为后牛顿力学的非零值……[物理。莱特牧师。 137, 051401] 2026 年 7 月 27 日星期一发布</w:t>
      </w:r>
    </w:p>
    <w:p>
      <w:pPr>
        <w:spacing w:before="0" w:after="200" w:lineRule="auto" w:line="276"/>
      </w:pPr>
      <w:r>
        <w:rPr>
          <w:b/>
        </w:rPr>
        <w:t xml:space="preserve">Abstract (EN): </w:t>
      </w:r>
      <w:r>
        <w:t>Author(s): David Lucchesi, Massimo Visco, Roberto Peron, José C. Rodriguez, Massimo Bassan, Giuseppe Pucacco, Luciano Anselmo, Graham Appleby, Marco Cinelli, Alessandro Di Marco, Marco Lucente, Carmelo Magnafico, Carmen Pardini, and Feliciana Sapio (SaToR-G Collaboration)Violations of Lorentz invariance, a cornerstone of modern physics, are predicted by theories of quantum gravity and by extensions of general relativity involving new vector or tensor fields. In the weak-field limit, such a violation would primarily manifest as a nonzero value for the post-Newtonian …[Phys. Rev. Lett. 137, 051401] Published Mon Jul 27, 2026</w:t>
      </w:r>
    </w:p>
    <w:p>
      <w:pPr>
        <w:spacing w:before="120" w:after="120"/>
      </w:pPr>
      <w:r>
        <w:rPr>
          <w:sz w:val="18"/>
        </w:rPr>
        <w:t>——————————————————————————————————————————————————————————————————————</w:t>
      </w:r>
    </w:p>
    <w:p>
      <w:pPr>
        <w:spacing w:before="160" w:after="40" w:line="240" w:lineRule="auto"/>
      </w:pPr>
      <w:r>
        <w:rPr>
          <w:b/>
        </w:rPr>
        <w:t xml:space="preserve">[323] </w:t>
      </w:r>
      <w:hyperlink r:id="rId997">
        <w:r>
          <w:rPr>
            <w:color w:val="1155CC"/>
            <w:u w:val="single"/>
          </w:rPr>
          <w:t>通过 $γγ$ 衰减通道直接测量介质内 ${η}^{′}$ 质谱</w:t>
        </w:r>
      </w:hyperlink>
    </w:p>
    <w:p>
      <w:pPr>
        <w:spacing w:before="0" w:after="80"/>
      </w:pPr>
      <w:r>
        <w:rPr>
          <w:i/>
          <w:sz w:val="20"/>
        </w:rPr>
        <w:t>EN: Direct Measurement of the In-Medium ${η}^{′}$ Mass Spectrum through the $γγ$ Decay Channel</w:t>
      </w:r>
    </w:p>
    <w:p>
      <w:pPr>
        <w:spacing w:before="0" w:after="120"/>
      </w:pPr>
      <w:r>
        <w:rPr>
          <w:b/>
        </w:rPr>
        <w:t xml:space="preserve">Source: </w:t>
      </w:r>
      <w:r>
        <w:t>Recent Articles in Phys. Rev. Lett.</w:t>
      </w:r>
      <w:r>
        <w:t xml:space="preserve">    </w:t>
      </w:r>
      <w:r>
        <w:rPr>
          <w:b/>
        </w:rPr>
        <w:t xml:space="preserve">Pub date: </w:t>
      </w:r>
      <w:r>
        <w:t>2026-07-27 10:00:00+00:00</w:t>
      </w:r>
      <w:r>
        <w:t xml:space="preserve">    </w:t>
      </w:r>
      <w:r>
        <w:rPr>
          <w:b/>
        </w:rPr>
        <w:t xml:space="preserve">DOI: </w:t>
      </w:r>
      <w:hyperlink r:id="rId998">
        <w:r>
          <w:rPr>
            <w:color w:val="1155CC"/>
            <w:u w:val="single"/>
          </w:rPr>
          <w:t>10.1103/x414-n6g9</w:t>
        </w:r>
      </w:hyperlink>
    </w:p>
    <w:p>
      <w:pPr>
        <w:spacing w:before="0" w:after="120"/>
      </w:pPr>
      <w:r>
        <w:rPr>
          <w:b/>
        </w:rPr>
        <w:t xml:space="preserve">Notes: </w:t>
      </w:r>
      <w:r>
        <w:t>abstract_source=rss_description</w:t>
      </w:r>
    </w:p>
    <w:p>
      <w:pPr>
        <w:spacing w:before="0" w:after="80" w:lineRule="auto" w:line="276"/>
      </w:pPr>
      <w:r>
        <w:rPr>
          <w:b/>
        </w:rPr>
        <w:t xml:space="preserve">摘要（ZH）: </w:t>
      </w:r>
      <w:r>
        <w:t>作者：Y. Matsumura 等人。 （LEPS2/BGOegg 合作）我们通过 ${η}^{′}→γγ$ 衰变通道测量了 ${η}^{′}(958)$ 介子的不变质量，以寻找 ${η}^{′}$ 在核介质中可能的性质变化。通过拟合真实的光谱函数来分析测量的不变质谱。在 lo…[Phys.] 中观察到增强。莱特牧师。 137, 051901] 2026 年 7 月 27 日星期一发布</w:t>
      </w:r>
    </w:p>
    <w:p>
      <w:pPr>
        <w:spacing w:before="0" w:after="200" w:lineRule="auto" w:line="276"/>
      </w:pPr>
      <w:r>
        <w:rPr>
          <w:b/>
        </w:rPr>
        <w:t xml:space="preserve">Abstract (EN): </w:t>
      </w:r>
      <w:r>
        <w:t>Author(s): Y. Matsumura et al. (LEPS2/BGOegg Collaboration)We measured the invariant mass of the ${η}^{′}(958)$ meson through the ${η}^{′}→γγ$ decay channel to search for possible character change of ${η}^{′}$ in a nuclear medium. The measured invariant-mass spectra were analyzed by fitting realistic spectral functions. An enhancement was observed in the lo…[Phys. Rev. Lett. 137, 051901] Published Mon Jul 27, 2026</w:t>
      </w:r>
    </w:p>
    <w:p>
      <w:pPr>
        <w:spacing w:before="120" w:after="120"/>
      </w:pPr>
      <w:r>
        <w:rPr>
          <w:sz w:val="18"/>
        </w:rPr>
        <w:t>——————————————————————————————————————————————————————————————————————</w:t>
      </w:r>
    </w:p>
    <w:p>
      <w:pPr>
        <w:spacing w:before="160" w:after="40" w:line="240" w:lineRule="auto"/>
      </w:pPr>
      <w:r>
        <w:rPr>
          <w:b/>
        </w:rPr>
        <w:t xml:space="preserve">[324] </w:t>
      </w:r>
      <w:hyperlink r:id="rId999">
        <w:r>
          <w:rPr>
            <w:color w:val="1155CC"/>
            <w:u w:val="single"/>
          </w:rPr>
          <w:t>混合态的非唯一分解和确定性能量转移</w:t>
        </w:r>
      </w:hyperlink>
    </w:p>
    <w:p>
      <w:pPr>
        <w:spacing w:before="0" w:after="80"/>
      </w:pPr>
      <w:r>
        <w:rPr>
          <w:i/>
          <w:sz w:val="20"/>
        </w:rPr>
        <w:t>EN: Nonunique Decompositions of Mixed States and Deterministic Energy Transfers</w:t>
      </w:r>
    </w:p>
    <w:p>
      <w:pPr>
        <w:spacing w:before="0" w:after="120"/>
      </w:pPr>
      <w:r>
        <w:rPr>
          <w:b/>
        </w:rPr>
        <w:t xml:space="preserve">Source: </w:t>
      </w:r>
      <w:r>
        <w:t>Recent Articles in Phys. Rev. Lett.</w:t>
      </w:r>
      <w:r>
        <w:t xml:space="preserve">    </w:t>
      </w:r>
      <w:r>
        <w:rPr>
          <w:b/>
        </w:rPr>
        <w:t xml:space="preserve">Pub date: </w:t>
      </w:r>
      <w:r>
        <w:t>2026-07-27 10:00:00+00:00</w:t>
      </w:r>
      <w:r>
        <w:t xml:space="preserve">    </w:t>
      </w:r>
      <w:r>
        <w:rPr>
          <w:b/>
        </w:rPr>
        <w:t xml:space="preserve">DOI: </w:t>
      </w:r>
      <w:hyperlink r:id="rId1000">
        <w:r>
          <w:rPr>
            <w:color w:val="1155CC"/>
            <w:u w:val="single"/>
          </w:rPr>
          <w:t>10.1103/12b6-hw2h</w:t>
        </w:r>
      </w:hyperlink>
    </w:p>
    <w:p>
      <w:pPr>
        <w:spacing w:before="0" w:after="120"/>
      </w:pPr>
      <w:r>
        <w:rPr>
          <w:b/>
        </w:rPr>
        <w:t xml:space="preserve">Notes: </w:t>
      </w:r>
      <w:r>
        <w:t>abstract_source=rss_description</w:t>
      </w:r>
    </w:p>
    <w:p>
      <w:pPr>
        <w:spacing w:before="0" w:after="80" w:lineRule="auto" w:line="276"/>
      </w:pPr>
      <w:r>
        <w:rPr>
          <w:b/>
        </w:rPr>
        <w:t xml:space="preserve">摘要（ZH）: </w:t>
      </w:r>
      <w:r>
        <w:t>作者：王子涵、孟飞和 Oscar Dahlsten 我们研究了混合态非唯一分解对能量传递的影响。在量子理论中，以及根据定义，在其他非经典概率理论中，混合态通常非唯一地分解为纯态。我们认为能量转移构成确定性……[物理。莱特牧师。 137, 050201] 2026 年 7 月 27 日星期一发布</w:t>
      </w:r>
    </w:p>
    <w:p>
      <w:pPr>
        <w:spacing w:before="0" w:after="200" w:lineRule="auto" w:line="276"/>
      </w:pPr>
      <w:r>
        <w:rPr>
          <w:b/>
        </w:rPr>
        <w:t xml:space="preserve">Abstract (EN): </w:t>
      </w:r>
      <w:r>
        <w:t>Author(s): Zihan Wang, Fei Meng, and Oscar DahlstenWe investigate the impact of nonunique decompositions of mixed states on energy transfer. Mixed states generally have nonunique decompositions into pure states in quantum theory and, by definition, in other nonclassical probabilistic theories. We consider energy transfers constituting deterministic …[Phys. Rev. Lett. 137, 050201] Published Mon Jul 27, 2026</w:t>
      </w:r>
    </w:p>
    <w:p>
      <w:pPr>
        <w:spacing w:before="120" w:after="120"/>
      </w:pPr>
      <w:r>
        <w:rPr>
          <w:sz w:val="18"/>
        </w:rPr>
        <w:t>——————————————————————————————————————————————————————————————————————</w:t>
      </w:r>
    </w:p>
    <w:p>
      <w:pPr>
        <w:spacing w:before="160" w:after="40" w:line="240" w:lineRule="auto"/>
      </w:pPr>
      <w:r>
        <w:rPr>
          <w:b/>
        </w:rPr>
        <w:t xml:space="preserve">[325] </w:t>
      </w:r>
      <w:hyperlink r:id="rId1001">
        <w:r>
          <w:rPr>
            <w:color w:val="1155CC"/>
            <w:u w:val="single"/>
          </w:rPr>
          <w:t>拓扑零极点绕组的恒幅 $2π$ 相位调制</w:t>
        </w:r>
      </w:hyperlink>
    </w:p>
    <w:p>
      <w:pPr>
        <w:spacing w:before="0" w:after="80"/>
      </w:pPr>
      <w:r>
        <w:rPr>
          <w:i/>
          <w:sz w:val="20"/>
        </w:rPr>
        <w:t>EN: Constant-Amplitude $2π$ Phase Modulation from Topological Pole-Zero Winding</w:t>
      </w:r>
    </w:p>
    <w:p>
      <w:pPr>
        <w:spacing w:before="0" w:after="120"/>
      </w:pPr>
      <w:r>
        <w:rPr>
          <w:b/>
        </w:rPr>
        <w:t xml:space="preserve">Source: </w:t>
      </w:r>
      <w:r>
        <w:t>Recent Articles in Phys. Rev. Lett.</w:t>
      </w:r>
      <w:r>
        <w:t xml:space="preserve">    </w:t>
      </w:r>
      <w:r>
        <w:rPr>
          <w:b/>
        </w:rPr>
        <w:t xml:space="preserve">Pub date: </w:t>
      </w:r>
      <w:r>
        <w:t>2026-07-27 10:00:00+00:00</w:t>
      </w:r>
      <w:r>
        <w:t xml:space="preserve">    </w:t>
      </w:r>
      <w:r>
        <w:rPr>
          <w:b/>
        </w:rPr>
        <w:t xml:space="preserve">DOI: </w:t>
      </w:r>
      <w:hyperlink r:id="rId1002">
        <w:r>
          <w:rPr>
            <w:color w:val="1155CC"/>
            <w:u w:val="single"/>
          </w:rPr>
          <w:t>10.1103/xt46-rfjs</w:t>
        </w:r>
      </w:hyperlink>
    </w:p>
    <w:p>
      <w:pPr>
        <w:spacing w:before="0" w:after="120"/>
      </w:pPr>
      <w:r>
        <w:rPr>
          <w:b/>
        </w:rPr>
        <w:t xml:space="preserve">Notes: </w:t>
      </w:r>
      <w:r>
        <w:t>abstract_source=rss_description</w:t>
      </w:r>
    </w:p>
    <w:p>
      <w:pPr>
        <w:spacing w:before="0" w:after="80" w:lineRule="auto" w:line="276"/>
      </w:pPr>
      <w:r>
        <w:rPr>
          <w:b/>
        </w:rPr>
        <w:t xml:space="preserve">摘要（ZH）: </w:t>
      </w:r>
      <w:r>
        <w:t>作者：Alex Krasnok 谐振移相器应该旋转复杂的光场而不改变其幅度，但损耗和耦合通常会使谐振相位调谐也会改变强度。我们引入了一种零极点综合规则，该规则可以在选定的散射幅度下产生完整的 $2π$ 相绕组......[Phys.莱特牧师。 137, 053801] 2026 年 7 月 27 日星期一发布</w:t>
      </w:r>
    </w:p>
    <w:p>
      <w:pPr>
        <w:spacing w:before="0" w:after="200" w:lineRule="auto" w:line="276"/>
      </w:pPr>
      <w:r>
        <w:rPr>
          <w:b/>
        </w:rPr>
        <w:t xml:space="preserve">Abstract (EN): </w:t>
      </w:r>
      <w:r>
        <w:t>Author(s): Alex KrasnokA resonant phase shifter should rotate a complex optical field without changing its magnitude, but loss and coupling usually make resonant phase tuning change the intensity as well. We introduce a pole-zero synthesis rule that produces a full $2π$ phase winding at a chosen scattering magnitude for a…[Phys. Rev. Lett. 137, 053801] Published Mon Jul 27, 2026</w:t>
      </w:r>
    </w:p>
    <w:p>
      <w:pPr>
        <w:spacing w:before="120" w:after="120"/>
      </w:pPr>
      <w:r>
        <w:rPr>
          <w:sz w:val="18"/>
        </w:rPr>
        <w:t>——————————————————————————————————————————————————————————————————————</w:t>
      </w:r>
    </w:p>
    <w:p>
      <w:pPr>
        <w:spacing w:before="160" w:after="40" w:line="240" w:lineRule="auto"/>
      </w:pPr>
      <w:r>
        <w:rPr>
          <w:b/>
        </w:rPr>
        <w:t xml:space="preserve">[326] </w:t>
      </w:r>
      <w:hyperlink r:id="rId1003">
        <w:r>
          <w:rPr>
            <w:color w:val="1155CC"/>
            <w:u w:val="single"/>
          </w:rPr>
          <w:t>${\mathrm{PtBi}}_{2}$表面节点拓扑超导机制</w:t>
        </w:r>
      </w:hyperlink>
    </w:p>
    <w:p>
      <w:pPr>
        <w:spacing w:before="0" w:after="80"/>
      </w:pPr>
      <w:r>
        <w:rPr>
          <w:i/>
          <w:sz w:val="20"/>
        </w:rPr>
        <w:t>EN: Mechanism for Nodal Topological Superconductivity on ${\mathrm{PtBi}}_{2}$ Surface</w:t>
      </w:r>
    </w:p>
    <w:p>
      <w:pPr>
        <w:spacing w:before="0" w:after="120"/>
      </w:pPr>
      <w:r>
        <w:rPr>
          <w:b/>
        </w:rPr>
        <w:t xml:space="preserve">Source: </w:t>
      </w:r>
      <w:r>
        <w:t>Recent Articles in Phys. Rev. Lett.</w:t>
      </w:r>
      <w:r>
        <w:t xml:space="preserve">    </w:t>
      </w:r>
      <w:r>
        <w:rPr>
          <w:b/>
        </w:rPr>
        <w:t xml:space="preserve">Pub date: </w:t>
      </w:r>
      <w:r>
        <w:t>2026-07-27 10:00:00+00:00</w:t>
      </w:r>
      <w:r>
        <w:t xml:space="preserve">    </w:t>
      </w:r>
      <w:r>
        <w:rPr>
          <w:b/>
        </w:rPr>
        <w:t xml:space="preserve">DOI: </w:t>
      </w:r>
      <w:hyperlink r:id="rId1004">
        <w:r>
          <w:rPr>
            <w:color w:val="1155CC"/>
            <w:u w:val="single"/>
          </w:rPr>
          <w:t>10.1103/x1cy-w5zd</w:t>
        </w:r>
      </w:hyperlink>
    </w:p>
    <w:p>
      <w:pPr>
        <w:spacing w:before="0" w:after="120"/>
      </w:pPr>
      <w:r>
        <w:rPr>
          <w:b/>
        </w:rPr>
        <w:t xml:space="preserve">Notes: </w:t>
      </w:r>
      <w:r>
        <w:t>abstract_source=rss_description</w:t>
      </w:r>
    </w:p>
    <w:p>
      <w:pPr>
        <w:spacing w:before="0" w:after="80" w:lineRule="auto" w:line="276"/>
      </w:pPr>
      <w:r>
        <w:rPr>
          <w:b/>
        </w:rPr>
        <w:t xml:space="preserve">摘要（ZH）: </w:t>
      </w:r>
      <w:r>
        <w:t>作者：Kristian Mæland、Giorgio Sangiovanni 和 Björn Trauzettel 实验表明，Weyl 半金属 ${\mathrm{PtBi}}_{2}$ 在其拓扑表面态中具有非常规超导性。因此，该材料是本征拓扑超导性的候选材料。测量结果表明费米弧中心存在节点间隙。我们得出……[物理。莱特牧师。 137, 056001] 2026 年 7 月 27 日星期一发布</w:t>
      </w:r>
    </w:p>
    <w:p>
      <w:pPr>
        <w:spacing w:before="0" w:after="200" w:lineRule="auto" w:line="276"/>
      </w:pPr>
      <w:r>
        <w:rPr>
          <w:b/>
        </w:rPr>
        <w:t xml:space="preserve">Abstract (EN): </w:t>
      </w:r>
      <w:r>
        <w:t>Author(s): Kristian Mæland, Giorgio Sangiovanni, and Björn TrauzettelExperiments show that the Weyl semimetal ${\mathrm{PtBi}}_{2}$ hosts unconventional superconductivity in its topological surface states. Hence, the material is a candidate for intrinsic topological superconductivity. Measurements indicate nodal gaps in the center of the Fermi arcs. We derive that an…[Phys. Rev. Lett. 137, 056001] Published Mon Jul 27, 2026</w:t>
      </w:r>
    </w:p>
    <w:p>
      <w:pPr>
        <w:spacing w:before="120" w:after="120"/>
      </w:pPr>
      <w:r>
        <w:rPr>
          <w:sz w:val="18"/>
        </w:rPr>
        <w:t>——————————————————————————————————————————————————————————————————————</w:t>
      </w:r>
    </w:p>
    <w:p>
      <w:pPr>
        <w:spacing w:before="160" w:after="40" w:line="240" w:lineRule="auto"/>
      </w:pPr>
      <w:r>
        <w:rPr>
          <w:b/>
        </w:rPr>
        <w:t xml:space="preserve">[327] </w:t>
      </w:r>
      <w:hyperlink r:id="rId1005">
        <w:r>
          <w:rPr>
            <w:color w:val="1155CC"/>
            <w:u w:val="single"/>
          </w:rPr>
          <w:t>具有时间界面的多原子声子晶体中的模式守恒和转换</w:t>
        </w:r>
      </w:hyperlink>
    </w:p>
    <w:p>
      <w:pPr>
        <w:spacing w:before="0" w:after="80"/>
      </w:pPr>
      <w:r>
        <w:rPr>
          <w:i/>
          <w:sz w:val="20"/>
        </w:rPr>
        <w:t>EN: Mode Conservation and Conversion in Polyatomic Phononic Crystals with Temporal Interfaces</w:t>
      </w:r>
    </w:p>
    <w:p>
      <w:pPr>
        <w:spacing w:before="0" w:after="120"/>
      </w:pPr>
      <w:r>
        <w:rPr>
          <w:b/>
        </w:rPr>
        <w:t xml:space="preserve">Source: </w:t>
      </w:r>
      <w:r>
        <w:t>Recent Articles in Phys. Rev. Lett.</w:t>
      </w:r>
      <w:r>
        <w:t xml:space="preserve">    </w:t>
      </w:r>
      <w:r>
        <w:rPr>
          <w:b/>
        </w:rPr>
        <w:t xml:space="preserve">Pub date: </w:t>
      </w:r>
      <w:r>
        <w:t>2026-07-27 10:00:00+00:00</w:t>
      </w:r>
      <w:r>
        <w:t xml:space="preserve">    </w:t>
      </w:r>
      <w:r>
        <w:rPr>
          <w:b/>
        </w:rPr>
        <w:t xml:space="preserve">DOI: </w:t>
      </w:r>
      <w:hyperlink r:id="rId1006">
        <w:r>
          <w:rPr>
            <w:color w:val="1155CC"/>
            <w:u w:val="single"/>
          </w:rPr>
          <w:t>10.1103/b9r4-8sbf</w:t>
        </w:r>
      </w:hyperlink>
    </w:p>
    <w:p>
      <w:pPr>
        <w:spacing w:before="0" w:after="120"/>
      </w:pPr>
      <w:r>
        <w:rPr>
          <w:b/>
        </w:rPr>
        <w:t xml:space="preserve">Notes: </w:t>
      </w:r>
      <w:r>
        <w:t>abstract_source=rss_description</w:t>
      </w:r>
    </w:p>
    <w:p>
      <w:pPr>
        <w:spacing w:before="0" w:after="80" w:lineRule="auto" w:line="276"/>
      </w:pPr>
      <w:r>
        <w:rPr>
          <w:b/>
        </w:rPr>
        <w:t xml:space="preserve">摘要（ZH）: </w:t>
      </w:r>
      <w:r>
        <w:t>作者：Mahmoud M. Samak 和 Osama R. Bilal 材料特性的突然变化会产生一个时间界面，并迫使传播的波改变其频率，同时保留其波数。与具有单频率波数对的单原子晶格相比，多原子晶格支持每个波数的多个频率……[Phys。莱特牧师。 137, 056601] 2026 年 7 月 27 日星期一发布</w:t>
      </w:r>
    </w:p>
    <w:p>
      <w:pPr>
        <w:spacing w:before="0" w:after="200" w:lineRule="auto" w:line="276"/>
      </w:pPr>
      <w:r>
        <w:rPr>
          <w:b/>
        </w:rPr>
        <w:t xml:space="preserve">Abstract (EN): </w:t>
      </w:r>
      <w:r>
        <w:t>Author(s): Mahmoud M. Samak and Osama R. BilalA sudden change in material properties creates a temporal interface and forces a propagating wave to change its frequency while preserving its wave number. In contrast to monoatomic lattices with a single-frequency–wave-number pair, polyatomic lattices support multiple frequencies for each wave numb…[Phys. Rev. Lett. 137, 056601] Published Mon Jul 27, 2026</w:t>
      </w:r>
    </w:p>
    <w:p>
      <w:pPr>
        <w:spacing w:before="120" w:after="120"/>
      </w:pPr>
      <w:r>
        <w:rPr>
          <w:sz w:val="18"/>
        </w:rPr>
        <w:t>——————————————————————————————————————————————————————————————————————</w:t>
      </w:r>
    </w:p>
    <w:p>
      <w:pPr>
        <w:spacing w:before="160" w:after="40" w:line="240" w:lineRule="auto"/>
      </w:pPr>
      <w:r>
        <w:rPr>
          <w:b/>
        </w:rPr>
        <w:t xml:space="preserve">[328] </w:t>
      </w:r>
      <w:hyperlink r:id="rId1007">
        <w:r>
          <w:rPr>
            <w:color w:val="1155CC"/>
            <w:u w:val="single"/>
          </w:rPr>
          <w:t>通过磁振子-声子杂交实现交变磁体中的 $D$ 波声子角动量纹理</w:t>
        </w:r>
      </w:hyperlink>
    </w:p>
    <w:p>
      <w:pPr>
        <w:spacing w:before="0" w:after="80"/>
      </w:pPr>
      <w:r>
        <w:rPr>
          <w:i/>
          <w:sz w:val="20"/>
        </w:rPr>
        <w:t>EN: $D$-Wave Phonon Angular Momentum Texture in Altermagnets by Magnon-Phonon Hybridization</w:t>
      </w:r>
    </w:p>
    <w:p>
      <w:pPr>
        <w:spacing w:before="0" w:after="120"/>
      </w:pPr>
      <w:r>
        <w:rPr>
          <w:b/>
        </w:rPr>
        <w:t xml:space="preserve">Source: </w:t>
      </w:r>
      <w:r>
        <w:t>Recent Articles in Phys. Rev. Lett.</w:t>
      </w:r>
      <w:r>
        <w:t xml:space="preserve">    </w:t>
      </w:r>
      <w:r>
        <w:rPr>
          <w:b/>
        </w:rPr>
        <w:t xml:space="preserve">Pub date: </w:t>
      </w:r>
      <w:r>
        <w:t>2026-07-27 10:00:00+00:00</w:t>
      </w:r>
      <w:r>
        <w:t xml:space="preserve">    </w:t>
      </w:r>
      <w:r>
        <w:rPr>
          <w:b/>
        </w:rPr>
        <w:t xml:space="preserve">DOI: </w:t>
      </w:r>
      <w:hyperlink r:id="rId1008">
        <w:r>
          <w:rPr>
            <w:color w:val="1155CC"/>
            <w:u w:val="single"/>
          </w:rPr>
          <w:t>10.1103/r43h-ch8r</w:t>
        </w:r>
      </w:hyperlink>
    </w:p>
    <w:p>
      <w:pPr>
        <w:spacing w:before="0" w:after="120"/>
      </w:pPr>
      <w:r>
        <w:rPr>
          <w:b/>
        </w:rPr>
        <w:t xml:space="preserve">Notes: </w:t>
      </w:r>
      <w:r>
        <w:t>abstract_source=rss_description</w:t>
      </w:r>
    </w:p>
    <w:p>
      <w:pPr>
        <w:spacing w:before="0" w:after="80" w:lineRule="auto" w:line="276"/>
      </w:pPr>
      <w:r>
        <w:rPr>
          <w:b/>
        </w:rPr>
        <w:t xml:space="preserve">摘要（ZH）: </w:t>
      </w:r>
      <w:r>
        <w:t>作者：Hannah Bendin、Alexander Mook、Ingrid Mertig 和 Robin R. Neumann 在交变磁体中，磁振子带在互易空间中呈各向异性自旋分裂，没有相对论或偶极自旋-自旋相互作用。在这封信中，我们从理论上研究了二维方晶格 $d$ 波交变磁体中通过自旋晶格相互作用耦合的磁振子和声子。我们...[物理。莱特牧师。 137, 056701] 2026 年 7 月 27 日星期一发布</w:t>
      </w:r>
    </w:p>
    <w:p>
      <w:pPr>
        <w:spacing w:before="0" w:after="200" w:lineRule="auto" w:line="276"/>
      </w:pPr>
      <w:r>
        <w:rPr>
          <w:b/>
        </w:rPr>
        <w:t xml:space="preserve">Abstract (EN): </w:t>
      </w:r>
      <w:r>
        <w:t>Author(s): Hannah Bendin, Alexander Mook, Ingrid Mertig, and Robin R. NeumannIn altermagnets, the magnon bands are anisotropically spin split in reciprocal space without relativistic or dipolar spin-spin interactions. In this Letter, we theoretically study magnons and phonons coupled by spin-lattice interaction in a two-dimensional square-lattice $d$-wave altermagnet. We sho…[Phys. Rev. Lett. 137, 056701] Published Mon Jul 27, 2026</w:t>
      </w:r>
    </w:p>
    <w:p>
      <w:pPr>
        <w:spacing w:before="120" w:after="120"/>
      </w:pPr>
      <w:r>
        <w:rPr>
          <w:sz w:val="18"/>
        </w:rPr>
        <w:t>——————————————————————————————————————————————————————————————————————</w:t>
      </w:r>
    </w:p>
    <w:p>
      <w:pPr>
        <w:spacing w:before="160" w:after="40" w:line="240" w:lineRule="auto"/>
      </w:pPr>
      <w:r>
        <w:rPr>
          <w:b/>
        </w:rPr>
        <w:t xml:space="preserve">[329] </w:t>
      </w:r>
      <w:hyperlink r:id="rId1009">
        <w:r>
          <w:rPr>
            <w:color w:val="1155CC"/>
            <w:u w:val="single"/>
          </w:rPr>
          <w:t>光子频率链上的非阿贝尔电场和 Zitterbewegung</w:t>
        </w:r>
      </w:hyperlink>
    </w:p>
    <w:p>
      <w:pPr>
        <w:spacing w:before="0" w:after="80"/>
      </w:pPr>
      <w:r>
        <w:rPr>
          <w:i/>
          <w:sz w:val="20"/>
        </w:rPr>
        <w:t>EN: Non-Abelian Electric Field and Zitterbewegung on a Photonic Frequency Chain</w:t>
      </w:r>
    </w:p>
    <w:p>
      <w:pPr>
        <w:spacing w:before="0" w:after="120"/>
      </w:pPr>
      <w:r>
        <w:rPr>
          <w:b/>
        </w:rPr>
        <w:t xml:space="preserve">Source: </w:t>
      </w:r>
      <w:r>
        <w:t>Recent Articles in Phys. Rev. Lett.</w:t>
      </w:r>
      <w:r>
        <w:t xml:space="preserve">    </w:t>
      </w:r>
      <w:r>
        <w:rPr>
          <w:b/>
        </w:rPr>
        <w:t xml:space="preserve">Pub date: </w:t>
      </w:r>
      <w:r>
        <w:t>2026-07-27 10:00:00+00:00</w:t>
      </w:r>
      <w:r>
        <w:t xml:space="preserve">    </w:t>
      </w:r>
      <w:r>
        <w:rPr>
          <w:b/>
        </w:rPr>
        <w:t xml:space="preserve">DOI: </w:t>
      </w:r>
      <w:hyperlink r:id="rId1010">
        <w:r>
          <w:rPr>
            <w:color w:val="1155CC"/>
            <w:u w:val="single"/>
          </w:rPr>
          <w:t>10.1103/qy4y-171h</w:t>
        </w:r>
      </w:hyperlink>
    </w:p>
    <w:p>
      <w:pPr>
        <w:spacing w:before="0" w:after="120"/>
      </w:pPr>
      <w:r>
        <w:rPr>
          <w:b/>
        </w:rPr>
        <w:t xml:space="preserve">Notes: </w:t>
      </w:r>
      <w:r>
        <w:t>abstract_source=rss_description</w:t>
      </w:r>
    </w:p>
    <w:p>
      <w:pPr>
        <w:spacing w:before="0" w:after="80" w:lineRule="auto" w:line="276"/>
      </w:pPr>
      <w:r>
        <w:rPr>
          <w:b/>
        </w:rPr>
        <w:t xml:space="preserve">摘要（ZH）: </w:t>
      </w:r>
      <w:r>
        <w:t>作者：杨树、黄梓峻、胡金兵、杨易 光纤环可以用来承载源自高能物理领域的现象。莱特牧师。 137, 056901] 2026 年 7 月 27 日星期一发布</w:t>
      </w:r>
    </w:p>
    <w:p>
      <w:pPr>
        <w:spacing w:before="0" w:after="200" w:lineRule="auto" w:line="276"/>
      </w:pPr>
      <w:r>
        <w:rPr>
          <w:b/>
        </w:rPr>
        <w:t xml:space="preserve">Abstract (EN): </w:t>
      </w:r>
      <w:r>
        <w:t>Author(s): Shu Yang (杨树), Bengy Tsz Tsun Wong (黄梓峻), Jinbing Hu (胡金兵), and Yi Yang (杨易)A ring of optical fiber can be made to host phenomena that originated in the realm of high-energy physics.[Phys. Rev. Lett. 137, 056901] Published Mon Jul 27, 2026</w:t>
      </w:r>
    </w:p>
    <w:p>
      <w:pPr>
        <w:spacing w:before="120" w:after="120"/>
      </w:pPr>
      <w:r>
        <w:rPr>
          <w:sz w:val="18"/>
        </w:rPr>
        <w:t>——————————————————————————————————————————————————————————————————————</w:t>
      </w:r>
    </w:p>
    <w:p>
      <w:pPr>
        <w:spacing w:before="160" w:after="40" w:line="240" w:lineRule="auto"/>
      </w:pPr>
      <w:r>
        <w:rPr>
          <w:b/>
        </w:rPr>
        <w:t xml:space="preserve">[330] </w:t>
      </w:r>
      <w:hyperlink r:id="rId1011">
        <w:r>
          <w:rPr>
            <w:color w:val="1155CC"/>
            <w:u w:val="single"/>
          </w:rPr>
          <w:t>旋量玻色-爱因斯坦凝聚态中类正弦-戈登孤子的观测</w:t>
        </w:r>
      </w:hyperlink>
    </w:p>
    <w:p>
      <w:pPr>
        <w:spacing w:before="0" w:after="80"/>
      </w:pPr>
      <w:r>
        <w:rPr>
          <w:i/>
          <w:sz w:val="20"/>
        </w:rPr>
        <w:t>EN: Observation of Sine-Gordon-Like Solitons in a Spinor Bose-Einstein Condensate</w:t>
      </w:r>
    </w:p>
    <w:p>
      <w:pPr>
        <w:spacing w:before="0" w:after="120"/>
      </w:pPr>
      <w:r>
        <w:rPr>
          <w:b/>
        </w:rPr>
        <w:t xml:space="preserve">Source: </w:t>
      </w:r>
      <w:r>
        <w:t>Recent Articles in Phys. Rev. Lett.</w:t>
      </w:r>
      <w:r>
        <w:t xml:space="preserve">    </w:t>
      </w:r>
      <w:r>
        <w:rPr>
          <w:b/>
        </w:rPr>
        <w:t xml:space="preserve">Pub date: </w:t>
      </w:r>
      <w:r>
        <w:t>2026-07-27 10:00:00+00:00</w:t>
      </w:r>
      <w:r>
        <w:t xml:space="preserve">    </w:t>
      </w:r>
      <w:r>
        <w:rPr>
          <w:b/>
        </w:rPr>
        <w:t xml:space="preserve">DOI: </w:t>
      </w:r>
      <w:hyperlink r:id="rId1012">
        <w:r>
          <w:rPr>
            <w:color w:val="1155CC"/>
            <w:u w:val="single"/>
          </w:rPr>
          <w:t>10.1103/bpl2-y7ls</w:t>
        </w:r>
      </w:hyperlink>
    </w:p>
    <w:p>
      <w:pPr>
        <w:spacing w:before="0" w:after="120"/>
      </w:pPr>
      <w:r>
        <w:rPr>
          <w:b/>
        </w:rPr>
        <w:t xml:space="preserve">Notes: </w:t>
      </w:r>
      <w:r>
        <w:t>abstract_source=rss_description</w:t>
      </w:r>
    </w:p>
    <w:p>
      <w:pPr>
        <w:spacing w:before="0" w:after="80" w:lineRule="auto" w:line="276"/>
      </w:pPr>
      <w:r>
        <w:rPr>
          <w:b/>
        </w:rPr>
        <w:t xml:space="preserve">摘要（ZH）: </w:t>
      </w:r>
      <w:r>
        <w:t>作者：Yannick Deller、Alexander Schmutz、Raphael Schäfer、Alexander Flamm、Florian Schmitt、Ido Siovitz、Thomas Gasenzer、Panayotis G. Kevrekidis、Helmut Strobel 和 Markus K. Oberthaler 我们利用稳健且可重复的局部相位印记方案，在 spin-1 旋量 BEC 中实验性地生成正弦戈登式孤子。我们发现孤子速度可以通过有效的二次塞曼位移来调节。这使得能够研究受控孤子相互作用，在……[物理学。莱特牧师。 137, 053401] 2026 年 7 月 27 日星期一发布</w:t>
      </w:r>
    </w:p>
    <w:p>
      <w:pPr>
        <w:spacing w:before="0" w:after="200" w:lineRule="auto" w:line="276"/>
      </w:pPr>
      <w:r>
        <w:rPr>
          <w:b/>
        </w:rPr>
        <w:t xml:space="preserve">Abstract (EN): </w:t>
      </w:r>
      <w:r>
        <w:t>Author(s): Yannick Deller, Alexander Schmutz, Raphael Schäfer, Alexander Flamm, Florian Schmitt, Ido Siovitz, Thomas Gasenzer, Panayotis G. Kevrekidis, Helmut Strobel, and Markus K. OberthalerWe experimentally generate sine-Gordon-like solitons in a spin-1 spinor BEC utilizing a robust and reproducible local phase-imprinting scheme. We find that the soliton velocity can be tuned by the effective quadratic Zeeman shift. This enables the investigation of controlled soliton interactions, in…[Phys. Rev. Lett. 137, 053401] Published Mon Jul 27, 2026</w:t>
      </w:r>
    </w:p>
    <w:p>
      <w:pPr>
        <w:spacing w:before="120" w:after="120"/>
      </w:pPr>
      <w:r>
        <w:rPr>
          <w:sz w:val="18"/>
        </w:rPr>
        <w:t>——————————————————————————————————————————————————————————————————————</w:t>
      </w:r>
    </w:p>
    <w:p>
      <w:pPr>
        <w:spacing w:before="160" w:after="40" w:line="240" w:lineRule="auto"/>
      </w:pPr>
      <w:r>
        <w:rPr>
          <w:b/>
        </w:rPr>
        <w:t xml:space="preserve">[331] </w:t>
      </w:r>
      <w:hyperlink r:id="rId1013">
        <w:r>
          <w:rPr>
            <w:color w:val="1155CC"/>
            <w:u w:val="single"/>
          </w:rPr>
          <w:t>使用 $\mathrm{HYDJET}++$ 框架在 $\mathrm{Au}+\mathrm{Au}$ 在 $\sqrt{{s}_{NN}}=11.5−200\phantom{\rule{0.16em}{0ex}}\mathrm{GeV}$ 碰撞中产生粒子</w:t>
        </w:r>
      </w:hyperlink>
    </w:p>
    <w:p>
      <w:pPr>
        <w:spacing w:before="0" w:after="80"/>
      </w:pPr>
      <w:r>
        <w:rPr>
          <w:i/>
          <w:sz w:val="20"/>
        </w:rPr>
        <w:t>EN: Particle production in $\mathrm{Au}+\mathrm{Au}$ collisions at $\sqrt{{s}_{NN}}=11.5−200\phantom{\rule{0.16em}{0ex}}\mathrm{GeV}$ using the $\mathrm{HYDJET}++$ framework</w:t>
      </w:r>
    </w:p>
    <w:p>
      <w:pPr>
        <w:spacing w:before="0" w:after="120"/>
      </w:pPr>
      <w:r>
        <w:rPr>
          <w:b/>
        </w:rPr>
        <w:t xml:space="preserve">Source: </w:t>
      </w:r>
      <w:r>
        <w:t>Recent Articles in Phys. Rev. C</w:t>
      </w:r>
      <w:r>
        <w:t xml:space="preserve">    </w:t>
      </w:r>
      <w:r>
        <w:rPr>
          <w:b/>
        </w:rPr>
        <w:t xml:space="preserve">Pub date: </w:t>
      </w:r>
      <w:r>
        <w:t>2026-07-27 10:00:00+00:00</w:t>
      </w:r>
      <w:r>
        <w:t xml:space="preserve">    </w:t>
      </w:r>
      <w:r>
        <w:rPr>
          <w:b/>
        </w:rPr>
        <w:t xml:space="preserve">DOI: </w:t>
      </w:r>
      <w:hyperlink r:id="rId1014">
        <w:r>
          <w:rPr>
            <w:color w:val="1155CC"/>
            <w:u w:val="single"/>
          </w:rPr>
          <w:t>10.1103/5x7p-qk2l</w:t>
        </w:r>
      </w:hyperlink>
    </w:p>
    <w:p>
      <w:pPr>
        <w:spacing w:before="0" w:after="120"/>
      </w:pPr>
      <w:r>
        <w:rPr>
          <w:b/>
        </w:rPr>
        <w:t xml:space="preserve">Notes: </w:t>
      </w:r>
      <w:r>
        <w:t>abstract_source=rss_description</w:t>
      </w:r>
    </w:p>
    <w:p>
      <w:pPr>
        <w:spacing w:before="0" w:after="80" w:lineRule="auto" w:line="276"/>
      </w:pPr>
      <w:r>
        <w:rPr>
          <w:b/>
        </w:rPr>
        <w:t xml:space="preserve">摘要（ZH）: </w:t>
      </w:r>
      <w:r>
        <w:t>作者：Gauri Devi、Satya Ranjan Nayak 和 B. K. Singh 使用 $\mathrm{HYDJET}++$ 模型，我们研究了在 $\sqrt{{s}_{NN}}=$ 11.5 处 $\mathrm{Au}+\mathrm{Au}$ 碰撞中多奇异粒子 $(phi$ 和 $\mathrm{Ω})$ 的产生， 19.6、27、39 和 200 GeV 作为横向动量和中心性的函数。模型计算采用早期冻结...[物理。牧师神父。 C 114, 014916] 7 月 27 日星期一发布，</w:t>
      </w:r>
    </w:p>
    <w:p>
      <w:pPr>
        <w:spacing w:before="0" w:after="200" w:lineRule="auto" w:line="276"/>
      </w:pPr>
      <w:r>
        <w:rPr>
          <w:b/>
        </w:rPr>
        <w:t xml:space="preserve">Abstract (EN): </w:t>
      </w:r>
      <w:r>
        <w:t>Author(s): Gauri Devi, Satya Ranjan Nayak, and B. K. SinghUsing the $\mathrm{HYDJET}++$ model, we study the production of multistrange particles $(ϕ$ and $\mathrm{Ω})$ in $\mathrm{Au}+\mathrm{Au}$ collisions at $\sqrt{{s}_{NN}}=$ 11.5, 19.6, 27, 39, and 200 GeV as functions of transverse momentum and centrality. The model calculations employ earlier freeze…[Phys. Rev. C 114, 014916] Published Mon Jul 27, 2026</w:t>
      </w:r>
    </w:p>
    <w:p>
      <w:pPr>
        <w:spacing w:before="120" w:after="120"/>
      </w:pPr>
      <w:r>
        <w:rPr>
          <w:sz w:val="18"/>
        </w:rPr>
        <w:t>——————————————————————————————————————————————————————————————————————</w:t>
      </w:r>
    </w:p>
    <w:p>
      <w:pPr>
        <w:spacing w:before="160" w:after="40" w:line="240" w:lineRule="auto"/>
      </w:pPr>
      <w:r>
        <w:rPr>
          <w:b/>
        </w:rPr>
        <w:t xml:space="preserve">[332] </w:t>
      </w:r>
      <w:hyperlink r:id="rId1015">
        <w:r>
          <w:rPr>
            <w:color w:val="1155CC"/>
            <w:u w:val="single"/>
          </w:rPr>
          <w:t>各种介子态质量的温度依赖性：SU(3) 和 SU(4) 扩展线性 $σ$ 模型的比较研究</w:t>
        </w:r>
      </w:hyperlink>
    </w:p>
    <w:p>
      <w:pPr>
        <w:spacing w:before="0" w:after="80"/>
      </w:pPr>
      <w:r>
        <w:rPr>
          <w:i/>
          <w:sz w:val="20"/>
        </w:rPr>
        <w:t>EN: Temperature dependence of the masses of various meson states: A comparative study in the SU(3) and SU(4) extended linear-$σ$ models</w:t>
      </w:r>
    </w:p>
    <w:p>
      <w:pPr>
        <w:spacing w:before="0" w:after="120"/>
      </w:pPr>
      <w:r>
        <w:rPr>
          <w:b/>
        </w:rPr>
        <w:t xml:space="preserve">Source: </w:t>
      </w:r>
      <w:r>
        <w:t>Recent Articles in Phys. Rev. C</w:t>
      </w:r>
      <w:r>
        <w:t xml:space="preserve">    </w:t>
      </w:r>
      <w:r>
        <w:rPr>
          <w:b/>
        </w:rPr>
        <w:t xml:space="preserve">Pub date: </w:t>
      </w:r>
      <w:r>
        <w:t>2026-07-27 10:00:00+00:00</w:t>
      </w:r>
      <w:r>
        <w:t xml:space="preserve">    </w:t>
      </w:r>
      <w:r>
        <w:rPr>
          <w:b/>
        </w:rPr>
        <w:t xml:space="preserve">DOI: </w:t>
      </w:r>
      <w:hyperlink r:id="rId1016">
        <w:r>
          <w:rPr>
            <w:color w:val="1155CC"/>
            <w:u w:val="single"/>
          </w:rPr>
          <w:t>10.1103/ms99-5qnq</w:t>
        </w:r>
      </w:hyperlink>
    </w:p>
    <w:p>
      <w:pPr>
        <w:spacing w:before="0" w:after="120"/>
      </w:pPr>
      <w:r>
        <w:rPr>
          <w:b/>
        </w:rPr>
        <w:t xml:space="preserve">Notes: </w:t>
      </w:r>
      <w:r>
        <w:t>abstract_source=rss_description</w:t>
      </w:r>
    </w:p>
    <w:p>
      <w:pPr>
        <w:spacing w:before="0" w:after="80" w:lineRule="auto" w:line="276"/>
      </w:pPr>
      <w:r>
        <w:rPr>
          <w:b/>
        </w:rPr>
        <w:t xml:space="preserve">摘要（ZH）: </w:t>
      </w:r>
      <w:r>
        <w:t>作者：A. Friesen, Yu。 Kalinovsky、S. O. Allehabi、N. M. Rfeek、A. A. Alshehri 和 A. Tawfik 在扩展的 Linear-$σ$ 模型 (eLSM) 中，介子态的手性相结构，包括赝标量 (${J}^{pc}={0}^{−+}$)、标量 (${J}^{pc}={0}^{++}$)、向量(${J}^{pc}={1}^{−−}$) 和轴向向量 (${J}^{pc}={1}^{++}$) 通过平均场近似进行研究。系统的c...[物理。 Rev. C 114, 015207] 2026 年 7 月 27 日星期一发布</w:t>
      </w:r>
    </w:p>
    <w:p>
      <w:pPr>
        <w:spacing w:before="0" w:after="200" w:lineRule="auto" w:line="276"/>
      </w:pPr>
      <w:r>
        <w:rPr>
          <w:b/>
        </w:rPr>
        <w:t xml:space="preserve">Abstract (EN): </w:t>
      </w:r>
      <w:r>
        <w:t>Author(s): A. Friesen, Yu. Kalinovsky, S. O. Allehabi, N. M. Rfeek, A. A. Alshehri, and A. TawfikIn the extended Linear-$σ$ Model (eLSM), the chiral phase structure of meson states, including pseudoscalars (${J}^{pc}={0}^{−+}$), scalars (${J}^{pc}={0}^{++}$), vectors (${J}^{pc}={1}^{−−}$), and axial vectors (${J}^{pc}={1}^{++}$), is investigated with the mean-field approximation. A systematic c…[Phys. Rev. C 114, 015207] Published Mon Jul 27, 2026</w:t>
      </w:r>
    </w:p>
    <w:p>
      <w:pPr>
        <w:spacing w:before="120" w:after="120"/>
      </w:pPr>
      <w:r>
        <w:rPr>
          <w:sz w:val="18"/>
        </w:rPr>
        <w:t>——————————————————————————————————————————————————————————————————————</w:t>
      </w:r>
    </w:p>
    <w:p>
      <w:pPr>
        <w:spacing w:before="160" w:after="40" w:line="240" w:lineRule="auto"/>
      </w:pPr>
      <w:r>
        <w:rPr>
          <w:b/>
        </w:rPr>
        <w:t xml:space="preserve">[333] </w:t>
      </w:r>
      <w:hyperlink r:id="rId1017">
        <w:r>
          <w:rPr>
            <w:color w:val="1155CC"/>
            <w:u w:val="single"/>
          </w:rPr>
          <w:t>QCD成核中的跃迁平衡</w:t>
        </w:r>
      </w:hyperlink>
    </w:p>
    <w:p>
      <w:pPr>
        <w:spacing w:before="0" w:after="80"/>
      </w:pPr>
      <w:r>
        <w:rPr>
          <w:i/>
          <w:sz w:val="20"/>
        </w:rPr>
        <w:t>EN: Transition balance in QCD nucleation</w:t>
      </w:r>
    </w:p>
    <w:p>
      <w:pPr>
        <w:spacing w:before="0" w:after="120"/>
      </w:pPr>
      <w:r>
        <w:rPr>
          <w:b/>
        </w:rPr>
        <w:t xml:space="preserve">Source: </w:t>
      </w:r>
      <w:r>
        <w:t>Recent Articles in Phys. Rev. C</w:t>
      </w:r>
      <w:r>
        <w:t xml:space="preserve">    </w:t>
      </w:r>
      <w:r>
        <w:rPr>
          <w:b/>
        </w:rPr>
        <w:t xml:space="preserve">Pub date: </w:t>
      </w:r>
      <w:r>
        <w:t>2026-07-27 10:00:00+00:00</w:t>
      </w:r>
      <w:r>
        <w:t xml:space="preserve">    </w:t>
      </w:r>
      <w:r>
        <w:rPr>
          <w:b/>
        </w:rPr>
        <w:t xml:space="preserve">DOI: </w:t>
      </w:r>
      <w:hyperlink r:id="rId1018">
        <w:r>
          <w:rPr>
            <w:color w:val="1155CC"/>
            <w:u w:val="single"/>
          </w:rPr>
          <w:t>10.1103/gg8v-z7pn</w:t>
        </w:r>
      </w:hyperlink>
    </w:p>
    <w:p>
      <w:pPr>
        <w:spacing w:before="0" w:after="120"/>
      </w:pPr>
      <w:r>
        <w:rPr>
          <w:b/>
        </w:rPr>
        <w:t xml:space="preserve">Notes: </w:t>
      </w:r>
      <w:r>
        <w:t>abstract_source=rss_description</w:t>
      </w:r>
    </w:p>
    <w:p>
      <w:pPr>
        <w:spacing w:before="0" w:after="80" w:lineRule="auto" w:line="276"/>
      </w:pPr>
      <w:r>
        <w:rPr>
          <w:b/>
        </w:rPr>
        <w:t xml:space="preserve">摘要（ZH）: </w:t>
      </w:r>
      <w:r>
        <w:t>作者：Tianzhe Zhou、Qiuze Sun、Jin Hu、Carsten Greiner 和 Zhe Xu 作为 [Phys. Rev. C 95, 024907 (2017)]，新模型明确引入了过渡平衡，并将其表述为宏观和微观描述。过渡球的微观描述……[物理。 Rev. C 114, 014915] 2026 年 7 月 27 日星期一发布</w:t>
      </w:r>
    </w:p>
    <w:p>
      <w:pPr>
        <w:spacing w:before="0" w:after="200" w:lineRule="auto" w:line="276"/>
      </w:pPr>
      <w:r>
        <w:rPr>
          <w:b/>
        </w:rPr>
        <w:t xml:space="preserve">Abstract (EN): </w:t>
      </w:r>
      <w:r>
        <w:t>Author(s): Tianzhe Zhou, Qiuze Sun, Jin Hu, Carsten Greiner, and Zhe XuAs an extended and more complete version of the primary QCD nucleation model presented in [Phys. Rev. C 95, 024907 (2017)], the new model introduces explicitly the transition balance and formulates it in both macroscopic and microscopic descriptions. The microscopic description of the transition bal…[Phys. Rev. C 114, 014915] Published Mon Jul 27, 2026</w:t>
      </w:r>
    </w:p>
    <w:p>
      <w:pPr>
        <w:spacing w:before="120" w:after="120"/>
      </w:pPr>
      <w:r>
        <w:rPr>
          <w:sz w:val="18"/>
        </w:rPr>
        <w:t>——————————————————————————————————————————————————————————————————————</w:t>
      </w:r>
    </w:p>
    <w:p>
      <w:pPr>
        <w:spacing w:before="160" w:after="40" w:line="240" w:lineRule="auto"/>
      </w:pPr>
      <w:r>
        <w:rPr>
          <w:b/>
        </w:rPr>
        <w:t xml:space="preserve">[334] </w:t>
      </w:r>
      <w:hyperlink r:id="rId1019">
        <w:r>
          <w:rPr>
            <w:color w:val="1155CC"/>
            <w:u w:val="single"/>
          </w:rPr>
          <w:t>原子核 Hartree-Fock 模拟器：用于 $^{48,52}\mathrm{Ca}$ 电荷半径的应用</w:t>
        </w:r>
      </w:hyperlink>
    </w:p>
    <w:p>
      <w:pPr>
        <w:spacing w:before="0" w:after="80"/>
      </w:pPr>
      <w:r>
        <w:rPr>
          <w:i/>
          <w:sz w:val="20"/>
        </w:rPr>
        <w:t>EN: Hartree-Fock emulators for nuclei: Application to charge radii of $^{48,52}\mathrm{Ca}$</w:t>
      </w:r>
    </w:p>
    <w:p>
      <w:pPr>
        <w:spacing w:before="0" w:after="120"/>
      </w:pPr>
      <w:r>
        <w:rPr>
          <w:b/>
        </w:rPr>
        <w:t xml:space="preserve">Source: </w:t>
      </w:r>
      <w:r>
        <w:t>Recent Articles in Phys. Rev. C</w:t>
      </w:r>
      <w:r>
        <w:t xml:space="preserve">    </w:t>
      </w:r>
      <w:r>
        <w:rPr>
          <w:b/>
        </w:rPr>
        <w:t xml:space="preserve">Pub date: </w:t>
      </w:r>
      <w:r>
        <w:t>2026-07-27 10:00:00+00:00</w:t>
      </w:r>
      <w:r>
        <w:t xml:space="preserve">    </w:t>
      </w:r>
      <w:r>
        <w:rPr>
          <w:b/>
        </w:rPr>
        <w:t xml:space="preserve">DOI: </w:t>
      </w:r>
      <w:hyperlink r:id="rId1020">
        <w:r>
          <w:rPr>
            <w:color w:val="1155CC"/>
            <w:u w:val="single"/>
          </w:rPr>
          <w:t>10.1103/wvyf-b2m3</w:t>
        </w:r>
      </w:hyperlink>
    </w:p>
    <w:p>
      <w:pPr>
        <w:spacing w:before="0" w:after="120"/>
      </w:pPr>
      <w:r>
        <w:rPr>
          <w:b/>
        </w:rPr>
        <w:t xml:space="preserve">Notes: </w:t>
      </w:r>
      <w:r>
        <w:t>abstract_source=rss_description</w:t>
      </w:r>
    </w:p>
    <w:p>
      <w:pPr>
        <w:spacing w:before="0" w:after="80" w:lineRule="auto" w:line="276"/>
      </w:pPr>
      <w:r>
        <w:rPr>
          <w:b/>
        </w:rPr>
        <w:t xml:space="preserve">摘要（ZH）: </w:t>
      </w:r>
      <w:r>
        <w:t>作者：M. Companys Franzke、A. Tichai、K. Hebeler 和 A. Schwenk 从手性有效场理论 (EFT) 中理解原子核复杂结构的出现是一个主要挑战。 EFT 展开中的大量低能耦合 (LEC) 以及从头开始的多体计算的巨大成本使得大规模的人类敏感性研究......[Phys. Rev. C 114, 014330] 2026 年 7 月 27 日星期一发布</w:t>
      </w:r>
    </w:p>
    <w:p>
      <w:pPr>
        <w:spacing w:before="0" w:after="200" w:lineRule="auto" w:line="276"/>
      </w:pPr>
      <w:r>
        <w:rPr>
          <w:b/>
        </w:rPr>
        <w:t xml:space="preserve">Abstract (EN): </w:t>
      </w:r>
      <w:r>
        <w:t>Author(s): M. Companys Franzke, A. Tichai, K. Hebeler, and A. SchwenkUnderstanding the emergence of complex structures of nuclei from chiral effective field theory (EFT) is a central challenge. The large number of low-energy couplings (LECs) in the EFT expansion and the significant cost of ab initio many-body calculations render large-scale sensitivity studies of man…[Phys. Rev. C 114, 014330] Published Mon Jul 27, 2026</w:t>
      </w:r>
    </w:p>
    <w:p>
      <w:pPr>
        <w:spacing w:before="120" w:after="120"/>
      </w:pPr>
      <w:r>
        <w:rPr>
          <w:sz w:val="18"/>
        </w:rPr>
        <w:t>——————————————————————————————————————————————————————————————————————</w:t>
      </w:r>
    </w:p>
    <w:p>
      <w:pPr>
        <w:spacing w:before="160" w:after="40" w:line="240" w:lineRule="auto"/>
      </w:pPr>
      <w:r>
        <w:rPr>
          <w:b/>
        </w:rPr>
        <w:t xml:space="preserve">[335] </w:t>
      </w:r>
      <w:hyperlink r:id="rId1021">
        <w:r>
          <w:rPr>
            <w:color w:val="1155CC"/>
            <w:u w:val="single"/>
          </w:rPr>
          <w:t>十六极相关性对锕系元素原子核的影响</w:t>
        </w:r>
      </w:hyperlink>
    </w:p>
    <w:p>
      <w:pPr>
        <w:spacing w:before="0" w:after="80"/>
      </w:pPr>
      <w:r>
        <w:rPr>
          <w:i/>
          <w:sz w:val="20"/>
        </w:rPr>
        <w:t>EN: Impacts of hexadecapole correlations in actinide nuclei</w:t>
      </w:r>
    </w:p>
    <w:p>
      <w:pPr>
        <w:spacing w:before="0" w:after="120"/>
      </w:pPr>
      <w:r>
        <w:rPr>
          <w:b/>
        </w:rPr>
        <w:t xml:space="preserve">Source: </w:t>
      </w:r>
      <w:r>
        <w:t>Recent Articles in Phys. Rev. C</w:t>
      </w:r>
      <w:r>
        <w:t xml:space="preserve">    </w:t>
      </w:r>
      <w:r>
        <w:rPr>
          <w:b/>
        </w:rPr>
        <w:t xml:space="preserve">Pub date: </w:t>
      </w:r>
      <w:r>
        <w:t>2026-07-27 10:00:00+00:00</w:t>
      </w:r>
      <w:r>
        <w:t xml:space="preserve">    </w:t>
      </w:r>
      <w:r>
        <w:rPr>
          <w:b/>
        </w:rPr>
        <w:t xml:space="preserve">DOI: </w:t>
      </w:r>
      <w:hyperlink r:id="rId1022">
        <w:r>
          <w:rPr>
            <w:color w:val="1155CC"/>
            <w:u w:val="single"/>
          </w:rPr>
          <w:t>10.1103/n5xp-fntr</w:t>
        </w:r>
      </w:hyperlink>
    </w:p>
    <w:p>
      <w:pPr>
        <w:spacing w:before="0" w:after="120"/>
      </w:pPr>
      <w:r>
        <w:rPr>
          <w:b/>
        </w:rPr>
        <w:t xml:space="preserve">Notes: </w:t>
      </w:r>
      <w:r>
        <w:t>abstract_source=rss_description</w:t>
      </w:r>
    </w:p>
    <w:p>
      <w:pPr>
        <w:spacing w:before="0" w:after="80" w:lineRule="auto" w:line="276"/>
      </w:pPr>
      <w:r>
        <w:rPr>
          <w:b/>
        </w:rPr>
        <w:t xml:space="preserve">摘要（ZH）: </w:t>
      </w:r>
      <w:r>
        <w:t>作者：L. Lotina、K. Nomura、R. Rodríguez-Guzmán 和 L. M. Robledo 使用映射的 $sdg$-IBM 模型系统地研究了十六极相关性对质量范围 $232≤A≤240$ 内 Th、U 和 Pu 核的低能光谱特性的影响。费米子输入是通过四极-十六极约束 Hartree-Fock-Bogoliubov a…[Phys. Rev. C 114, 014331] 于 2026 年 7 月 27 日星期一发布</w:t>
      </w:r>
    </w:p>
    <w:p>
      <w:pPr>
        <w:spacing w:before="0" w:after="200" w:lineRule="auto" w:line="276"/>
      </w:pPr>
      <w:r>
        <w:rPr>
          <w:b/>
        </w:rPr>
        <w:t xml:space="preserve">Abstract (EN): </w:t>
      </w:r>
      <w:r>
        <w:t>Author(s): L. Lotina, K. Nomura, R. Rodríguez-Guzmán, and L. M. RobledoThe impact of hexadecapole correlations on the low-energy spectroscopic properties of Th, U, and Pu nuclei, within the mass range $232≤A≤240$, is studied systematically using the mapped $sdg$-IBM model. Fermionic input is obtained via the quadrupole-hexadecapole constrained Hartree-Fock-Bogoliubov a…[Phys. Rev. C 114, 014331] Published Mon Jul 27, 2026</w:t>
      </w:r>
    </w:p>
    <w:p>
      <w:pPr>
        <w:spacing w:before="120" w:after="120"/>
      </w:pPr>
      <w:r>
        <w:rPr>
          <w:sz w:val="18"/>
        </w:rPr>
        <w:t>——————————————————————————————————————————————————————————————————————</w:t>
      </w:r>
    </w:p>
    <w:p>
      <w:pPr>
        <w:spacing w:before="160" w:after="40" w:line="240" w:lineRule="auto"/>
      </w:pPr>
      <w:r>
        <w:rPr>
          <w:b/>
        </w:rPr>
        <w:t xml:space="preserve">[336] </w:t>
      </w:r>
      <w:hyperlink r:id="rId1023">
        <w:r>
          <w:rPr>
            <w:color w:val="1155CC"/>
            <w:u w:val="single"/>
          </w:rPr>
          <w:t>使用机器学习回归的双 $α$ 衰变半衰期的系统学</w:t>
        </w:r>
      </w:hyperlink>
    </w:p>
    <w:p>
      <w:pPr>
        <w:spacing w:before="0" w:after="80"/>
      </w:pPr>
      <w:r>
        <w:rPr>
          <w:i/>
          <w:sz w:val="20"/>
        </w:rPr>
        <w:t>EN: Systematics of double-$α$-decay half-lives using machine-learning regression</w:t>
      </w:r>
    </w:p>
    <w:p>
      <w:pPr>
        <w:spacing w:before="0" w:after="120"/>
      </w:pPr>
      <w:r>
        <w:rPr>
          <w:b/>
        </w:rPr>
        <w:t xml:space="preserve">Source: </w:t>
      </w:r>
      <w:r>
        <w:t>Recent Articles in Phys. Rev. C</w:t>
      </w:r>
      <w:r>
        <w:t xml:space="preserve">    </w:t>
      </w:r>
      <w:r>
        <w:rPr>
          <w:b/>
        </w:rPr>
        <w:t xml:space="preserve">Pub date: </w:t>
      </w:r>
      <w:r>
        <w:t>2026-07-27 10:00:00+00:00</w:t>
      </w:r>
      <w:r>
        <w:t xml:space="preserve">    </w:t>
      </w:r>
      <w:r>
        <w:rPr>
          <w:b/>
        </w:rPr>
        <w:t xml:space="preserve">DOI: </w:t>
      </w:r>
      <w:hyperlink r:id="rId1024">
        <w:r>
          <w:rPr>
            <w:color w:val="1155CC"/>
            <w:u w:val="single"/>
          </w:rPr>
          <w:t>10.1103/m1f6-pp39</w:t>
        </w:r>
      </w:hyperlink>
    </w:p>
    <w:p>
      <w:pPr>
        <w:spacing w:before="0" w:after="120"/>
      </w:pPr>
      <w:r>
        <w:rPr>
          <w:b/>
        </w:rPr>
        <w:t xml:space="preserve">Notes: </w:t>
      </w:r>
      <w:r>
        <w:t>abstract_source=rss_description</w:t>
      </w:r>
    </w:p>
    <w:p>
      <w:pPr>
        <w:spacing w:before="0" w:after="80" w:lineRule="auto" w:line="276"/>
      </w:pPr>
      <w:r>
        <w:rPr>
          <w:b/>
        </w:rPr>
        <w:t xml:space="preserve">摘要（ZH）: </w:t>
      </w:r>
      <w:r>
        <w:t>作者：Nishu Jain、M. Bhuyan、Deepika Jain 和 Raj Kumar 背景：双 $α$ 衰变是一种奇异的核衰变模式，它为中重核和重核中的量子隧道、核团簇和势垒穿透现象提供了灵敏的探测。尽管在能量上允许很大一部分原子核，但这种衰变模式仍然是……[物理学。 Rev. C 114, 014332] 2026 年 7 月 27 日星期一发布</w:t>
      </w:r>
    </w:p>
    <w:p>
      <w:pPr>
        <w:spacing w:before="0" w:after="200" w:lineRule="auto" w:line="276"/>
      </w:pPr>
      <w:r>
        <w:rPr>
          <w:b/>
        </w:rPr>
        <w:t xml:space="preserve">Abstract (EN): </w:t>
      </w:r>
      <w:r>
        <w:t>Author(s): Nishu Jain, M. Bhuyan, Deepika Jain, and Raj KumarBackground: double-$α$ decay is an exotic nuclear decay mode that offers a sensitive probe of quantum tunneling, nuclear clustering, and barrier penetration phenomena in medium-heavy and heavy nuclei. Despite being energetically allowed for a significant fraction of nuclei, this decay mode remains e…[Phys. Rev. C 114, 014332] Published Mon Jul 27, 2026</w:t>
      </w:r>
    </w:p>
    <w:p>
      <w:pPr>
        <w:spacing w:before="120" w:after="120"/>
      </w:pPr>
      <w:r>
        <w:rPr>
          <w:sz w:val="18"/>
        </w:rPr>
        <w:t>——————————————————————————————————————————————————————————————————————</w:t>
      </w:r>
    </w:p>
    <w:p>
      <w:pPr>
        <w:spacing w:before="160" w:after="40" w:line="240" w:lineRule="auto"/>
      </w:pPr>
      <w:r>
        <w:rPr>
          <w:b/>
        </w:rPr>
        <w:t xml:space="preserve">[337] </w:t>
      </w:r>
      <w:hyperlink r:id="rId1025">
        <w:r>
          <w:rPr>
            <w:color w:val="1155CC"/>
            <w:u w:val="single"/>
          </w:rPr>
          <w:t>使用径向基函数方法从结合能中提取核电荷半径</w:t>
        </w:r>
      </w:hyperlink>
    </w:p>
    <w:p>
      <w:pPr>
        <w:spacing w:before="0" w:after="80"/>
      </w:pPr>
      <w:r>
        <w:rPr>
          <w:i/>
          <w:sz w:val="20"/>
        </w:rPr>
        <w:t>EN: Extractions of nuclear charge radii from binding energies with the radial basis function approach</w:t>
      </w:r>
    </w:p>
    <w:p>
      <w:pPr>
        <w:spacing w:before="0" w:after="120"/>
      </w:pPr>
      <w:r>
        <w:rPr>
          <w:b/>
        </w:rPr>
        <w:t xml:space="preserve">Source: </w:t>
      </w:r>
      <w:r>
        <w:t>Recent Articles in Phys. Rev. C</w:t>
      </w:r>
      <w:r>
        <w:t xml:space="preserve">    </w:t>
      </w:r>
      <w:r>
        <w:rPr>
          <w:b/>
        </w:rPr>
        <w:t xml:space="preserve">Pub date: </w:t>
      </w:r>
      <w:r>
        <w:t>2026-07-27 10:00:00+00:00</w:t>
      </w:r>
      <w:r>
        <w:t xml:space="preserve">    </w:t>
      </w:r>
      <w:r>
        <w:rPr>
          <w:b/>
        </w:rPr>
        <w:t xml:space="preserve">DOI: </w:t>
      </w:r>
      <w:hyperlink r:id="rId1026">
        <w:r>
          <w:rPr>
            <w:color w:val="1155CC"/>
            <w:u w:val="single"/>
          </w:rPr>
          <w:t>10.1103/84jt-xhtl</w:t>
        </w:r>
      </w:hyperlink>
    </w:p>
    <w:p>
      <w:pPr>
        <w:spacing w:before="0" w:after="120"/>
      </w:pPr>
      <w:r>
        <w:rPr>
          <w:b/>
        </w:rPr>
        <w:t xml:space="preserve">Notes: </w:t>
      </w:r>
      <w:r>
        <w:t>abstract_source=rss_description</w:t>
      </w:r>
    </w:p>
    <w:p>
      <w:pPr>
        <w:spacing w:before="0" w:after="80" w:lineRule="auto" w:line="276"/>
      </w:pPr>
      <w:r>
        <w:rPr>
          <w:b/>
        </w:rPr>
        <w:t xml:space="preserve">摘要（ZH）: </w:t>
      </w:r>
      <w:r>
        <w:t>作者：李涛、刘敏、王宁根据两者的实验数据，对核结合能与电荷半径的比值进行了系统分析。在原子核 $(Z,N)$ 的比率与 $(Z,N−2)$ 的比率之间观察到线性关系。与这种线性关系一起，核电荷半径可以是……[物理。 Rev. C 114, 014333] 2026 年 7 月 27 日星期一发布</w:t>
      </w:r>
    </w:p>
    <w:p>
      <w:pPr>
        <w:spacing w:before="0" w:after="200" w:lineRule="auto" w:line="276"/>
      </w:pPr>
      <w:r>
        <w:rPr>
          <w:b/>
        </w:rPr>
        <w:t xml:space="preserve">Abstract (EN): </w:t>
      </w:r>
      <w:r>
        <w:t>Author(s): Tao Li, Min Liu, and Ning WangThe ratio of the nuclear binding energy to the charge radius is systematically analyzed based on the experimental data of both. The linear relationship is observed between the ratios for nuclei $(Z,N)$ and those for $(Z,N−2)$. Together with this linear relationship, the nuclear charge radius can be …[Phys. Rev. C 114, 014333] Published Mon Jul 27, 2026</w:t>
      </w:r>
    </w:p>
    <w:p>
      <w:pPr>
        <w:spacing w:before="120" w:after="120"/>
      </w:pPr>
      <w:r>
        <w:rPr>
          <w:sz w:val="18"/>
        </w:rPr>
        <w:t>——————————————————————————————————————————————————————————————————————</w:t>
      </w:r>
    </w:p>
    <w:p>
      <w:pPr>
        <w:spacing w:before="160" w:after="40" w:line="240" w:lineRule="auto"/>
      </w:pPr>
      <w:r>
        <w:rPr>
          <w:b/>
        </w:rPr>
        <w:t xml:space="preserve">[338] </w:t>
      </w:r>
      <w:hyperlink r:id="rId1027">
        <w:r>
          <w:rPr>
            <w:color w:val="1155CC"/>
            <w:u w:val="single"/>
          </w:rPr>
          <w:t>超子内的夸克自旋相关性</w:t>
        </w:r>
      </w:hyperlink>
    </w:p>
    <w:p>
      <w:pPr>
        <w:spacing w:before="0" w:after="80"/>
      </w:pPr>
      <w:r>
        <w:rPr>
          <w:i/>
          <w:sz w:val="20"/>
        </w:rPr>
        <w:t>EN: Quark spin correlation inside hyperons</w:t>
      </w:r>
    </w:p>
    <w:p>
      <w:pPr>
        <w:spacing w:before="0" w:after="120"/>
      </w:pPr>
      <w:r>
        <w:rPr>
          <w:b/>
        </w:rPr>
        <w:t xml:space="preserve">Source: </w:t>
      </w:r>
      <w:r>
        <w:t>Recent Articles in Phys. Rev. C</w:t>
      </w:r>
      <w:r>
        <w:t xml:space="preserve">    </w:t>
      </w:r>
      <w:r>
        <w:rPr>
          <w:b/>
        </w:rPr>
        <w:t xml:space="preserve">Pub date: </w:t>
      </w:r>
      <w:r>
        <w:t>2026-07-27 10:00:00+00:00</w:t>
      </w:r>
      <w:r>
        <w:t xml:space="preserve">    </w:t>
      </w:r>
      <w:r>
        <w:rPr>
          <w:b/>
        </w:rPr>
        <w:t xml:space="preserve">DOI: </w:t>
      </w:r>
      <w:hyperlink r:id="rId1028">
        <w:r>
          <w:rPr>
            <w:color w:val="1155CC"/>
            <w:u w:val="single"/>
          </w:rPr>
          <w:t>10.1103/h88t-phwj</w:t>
        </w:r>
      </w:hyperlink>
    </w:p>
    <w:p>
      <w:pPr>
        <w:spacing w:before="0" w:after="120"/>
      </w:pPr>
      <w:r>
        <w:rPr>
          <w:b/>
        </w:rPr>
        <w:t xml:space="preserve">Notes: </w:t>
      </w:r>
      <w:r>
        <w:t>abstract_source=rss_description</w:t>
      </w:r>
    </w:p>
    <w:p>
      <w:pPr>
        <w:spacing w:before="0" w:after="80" w:lineRule="auto" w:line="276"/>
      </w:pPr>
      <w:r>
        <w:rPr>
          <w:b/>
        </w:rPr>
        <w:t xml:space="preserve">摘要（ZH）: </w:t>
      </w:r>
      <w:r>
        <w:t>作者：Lucia Oliva、王群和王新年通过纳入超子组成夸克之间的自旋相关效应，研究了重离子碰撞中超子的整体自旋极化。关于超子的全局自旋极化和矢量介子的自旋排列的可用数据提供了对相空间函数的约束……[物理。 Rev. C 114, 014914] 2026 年 7 月 27 日星期一发布</w:t>
      </w:r>
    </w:p>
    <w:p>
      <w:pPr>
        <w:spacing w:before="0" w:after="200" w:lineRule="auto" w:line="276"/>
      </w:pPr>
      <w:r>
        <w:rPr>
          <w:b/>
        </w:rPr>
        <w:t xml:space="preserve">Abstract (EN): </w:t>
      </w:r>
      <w:r>
        <w:t>Author(s): Lucia Oliva, Qun Wang, and Xin-Nian WangThe global spin polarization of hyperons in heavy-ion collisions have been investigated by including spin-correlation effects among their constituent quarks. The available data on global spin polarizations of hyperons and spin alignments of vector mesons provide constraints on phase-space functions …[Phys. Rev. C 114, 014914] Published Mon Jul 27, 2026</w:t>
      </w:r>
    </w:p>
    <w:p>
      <w:pPr>
        <w:spacing w:before="120" w:after="120"/>
      </w:pPr>
      <w:r>
        <w:rPr>
          <w:sz w:val="18"/>
        </w:rPr>
        <w:t>——————————————————————————————————————————————————————————————————————</w:t>
      </w:r>
    </w:p>
    <w:p>
      <w:pPr>
        <w:spacing w:before="160" w:after="40" w:line="240" w:lineRule="auto"/>
      </w:pPr>
      <w:r>
        <w:rPr>
          <w:b/>
        </w:rPr>
        <w:t xml:space="preserve">[339] </w:t>
      </w:r>
      <w:hyperlink r:id="rId1029">
        <w:r>
          <w:rPr>
            <w:color w:val="1155CC"/>
            <w:u w:val="single"/>
          </w:rPr>
          <w:t>一个分子平台，三个不同的窄带有机硼 TADF 发射器：从绿色到红色的不同一锅策略</w:t>
        </w:r>
      </w:hyperlink>
    </w:p>
    <w:p>
      <w:pPr>
        <w:spacing w:before="0" w:after="80"/>
      </w:pPr>
      <w:r>
        <w:rPr>
          <w:i/>
          <w:sz w:val="20"/>
        </w:rPr>
        <w:t>EN: One Molecular Platform, Three Distinct Narrowband Organoboron TADF Emitters: A Divergent One‐Pot Strategy From Green to Red</w:t>
      </w:r>
    </w:p>
    <w:p>
      <w:pPr>
        <w:spacing w:before="0" w:after="120"/>
      </w:pPr>
      <w:r>
        <w:rPr>
          <w:b/>
        </w:rPr>
        <w:t xml:space="preserve">Source: </w:t>
      </w:r>
      <w:r>
        <w:t>Wiley: Angewandte Chemie International Edition: Table of Contents</w:t>
      </w:r>
      <w:r>
        <w:t xml:space="preserve">    </w:t>
      </w:r>
      <w:r>
        <w:rPr>
          <w:b/>
        </w:rPr>
        <w:t xml:space="preserve">Pub date: </w:t>
      </w:r>
      <w:r>
        <w:t>2026-07-27 11:58:19+00:00</w:t>
      </w:r>
      <w:r>
        <w:t xml:space="preserve">    </w:t>
      </w:r>
      <w:r>
        <w:rPr>
          <w:b/>
        </w:rPr>
        <w:t xml:space="preserve">DOI: </w:t>
      </w:r>
      <w:hyperlink r:id="rId1030">
        <w:r>
          <w:rPr>
            <w:color w:val="1155CC"/>
            <w:u w:val="single"/>
          </w:rPr>
          <w:t>10.1002/anie.6875427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多共振热激活延迟荧光 (MR-TADF) 发射器可在有机发光二极管 (OLED) 中实现具有出色色纯度的窄带电致发光。然而，将发射扩展到更长的波长，特别是红色区域，同时保持光谱清晰度仍然具有挑战性。在这里，我们报告了一种不同的一锅硼化策略，该策略可以转化单个 5,11-二氢吲哚[3,2-</w:t>
      </w:r>
      <w:r>
        <w:t>乙</w:t>
      </w:r>
      <w:r>
        <w:t xml:space="preserve"> </w:t>
      </w:r>
      <w:r>
        <w:t>]咔唑平台形成三个结构不同的有机硼 MR-TADF 发射器，跨越绿色到红色。这种方法利用在反应条件下共存的竞争性单硼化和双硼化途径，在一次操作中产生多个发射体。由此产生的 MR-TADF 发射器（</w:t>
      </w:r>
      <w:r>
        <w:t xml:space="preserve"> </w:t>
      </w:r>
      <w:r>
        <w:t>BN-G</w:t>
      </w:r>
      <w:r>
        <w:t xml:space="preserve"> </w:t>
      </w:r>
      <w:r>
        <w:t>,</w:t>
      </w:r>
      <w:r>
        <w:t xml:space="preserve"> </w:t>
      </w:r>
      <w:r>
        <w:t>BN-Y</w:t>
      </w:r>
      <w:r>
        <w:t xml:space="preserve"> </w:t>
      </w:r>
      <w:r>
        <w:t>, 和</w:t>
      </w:r>
      <w:r>
        <w:t xml:space="preserve"> </w:t>
      </w:r>
      <w:r>
        <w:t>BN-R</w:t>
      </w:r>
      <w:r>
        <w:t xml:space="preserve"> </w:t>
      </w:r>
      <w:r>
        <w:t>）在掺杂薄膜中表现出超窄的绿色、黄色和红色光致发光，半峰全宽低于 25 nm，量子产率接近一致 (96%–100%)。基于这些发射器的 OLED 的最大外量子效率高达 35.3%，最大发射波长范围为 516–601 nm。这项研究建立了一个统一的设计策略，用于从单个前驱体生成多个高性能 MR-TADF 发射器，为开发颜色可调窄带光电材料提供了一个多功能平台。</w:t>
      </w:r>
    </w:p>
    <w:p>
      <w:pPr>
        <w:spacing w:before="0" w:after="200" w:lineRule="auto" w:line="276"/>
      </w:pPr>
      <w:r>
        <w:rPr>
          <w:b/>
        </w:rPr>
        <w:t xml:space="preserve">Abstract (EN): </w:t>
      </w:r>
      <w:r>
        <w:t>Multi‐resonance thermally activated delayed fluorescence (MR‐TADF) emitters enable narrowband electroluminescence with exceptional color purity in organic light‐emitting diodes (OLEDs). However, extending emission to longer wavelengths, particularly into the red region, while preserving spectral sharpness remains challenging. Here, we report a divergent one‐pot borylation strategy that transforms a single 5,11‐dihydroindolo[3,2‐</w:t>
      </w:r>
      <w:r>
        <w:t xml:space="preserve"> </w:t>
      </w:r>
      <w:r>
        <w:t>b</w:t>
      </w:r>
      <w:r>
        <w:t xml:space="preserve"> </w:t>
      </w:r>
      <w:r>
        <w:t>]carbazole platform into three structurally distinct organoboron MR‐TADF emitters spanning green to red. This approach harnesses competing mono‐ and double‐borylation pathways that coexist under the reaction conditions to generate multiple emitters in a single operation. The resulting MR‐TADF emitters (</w:t>
      </w:r>
      <w:r>
        <w:t xml:space="preserve"> </w:t>
      </w:r>
      <w:r>
        <w:t>BN‐G</w:t>
      </w:r>
      <w:r>
        <w:t xml:space="preserve"> </w:t>
      </w:r>
      <w:r>
        <w:t>,</w:t>
      </w:r>
      <w:r>
        <w:t xml:space="preserve"> </w:t>
      </w:r>
      <w:r>
        <w:t>BN‐Y</w:t>
      </w:r>
      <w:r>
        <w:t xml:space="preserve"> </w:t>
      </w:r>
      <w:r>
        <w:t>, and</w:t>
      </w:r>
      <w:r>
        <w:t xml:space="preserve"> </w:t>
      </w:r>
      <w:r>
        <w:t>BN‐R</w:t>
      </w:r>
      <w:r>
        <w:t xml:space="preserve"> </w:t>
      </w:r>
      <w:r>
        <w:t>) exhibit ultranarrow green, yellow, and red photoluminescence with full widths at half maximum below 25 nm and near‐unity quantum yields (96%–100%) in doped films. OLEDs based on these emitters achieve maximum external quantum efficiencies of up to 35.3%, with emission maxima spanning 516–601 nm. This study establishes a unified design strategy for generating multiple high‐performance MR‐TADF emitters from a single precursor, providing a versatile platform for the development of color‐tunable narrowband optoelectronic materials.</w:t>
      </w:r>
    </w:p>
    <w:p>
      <w:pPr>
        <w:spacing w:before="120" w:after="120"/>
      </w:pPr>
      <w:r>
        <w:rPr>
          <w:sz w:val="18"/>
        </w:rPr>
        <w:t>——————————————————————————————————————————————————————————————————————</w:t>
      </w:r>
    </w:p>
    <w:p>
      <w:pPr>
        <w:spacing w:before="160" w:after="40" w:line="240" w:lineRule="auto"/>
      </w:pPr>
      <w:r>
        <w:rPr>
          <w:b/>
        </w:rPr>
        <w:t xml:space="preserve">[340] </w:t>
      </w:r>
      <w:hyperlink r:id="rId1031">
        <w:r>
          <w:rPr>
            <w:color w:val="1155CC"/>
            <w:u w:val="single"/>
          </w:rPr>
          <w:t>钴催化 1,3-烯炔的还原不对称二聚：快速合成对映体富集的跳跃 1,3,6-三烯</w:t>
        </w:r>
      </w:hyperlink>
    </w:p>
    <w:p>
      <w:pPr>
        <w:spacing w:before="0" w:after="80"/>
      </w:pPr>
      <w:r>
        <w:rPr>
          <w:i/>
          <w:sz w:val="20"/>
        </w:rPr>
        <w:t>EN: Cobalt‐Catalyzed Reductive Asymmetric Dimerization of 1,3‐Enynes: Rapid Synthesis of Enantioenriched Skipped 1,3,6‐Trienes</w:t>
      </w:r>
    </w:p>
    <w:p>
      <w:pPr>
        <w:spacing w:before="0" w:after="120"/>
      </w:pPr>
      <w:r>
        <w:rPr>
          <w:b/>
        </w:rPr>
        <w:t xml:space="preserve">Source: </w:t>
      </w:r>
      <w:r>
        <w:t>Wiley: Angewandte Chemie International Edition: Table of Contents</w:t>
      </w:r>
      <w:r>
        <w:t xml:space="preserve">    </w:t>
      </w:r>
      <w:r>
        <w:rPr>
          <w:b/>
        </w:rPr>
        <w:t xml:space="preserve">Pub date: </w:t>
      </w:r>
      <w:r>
        <w:t>2026-07-27 11:59:38+00:00</w:t>
      </w:r>
      <w:r>
        <w:t xml:space="preserve">    </w:t>
      </w:r>
      <w:r>
        <w:rPr>
          <w:b/>
        </w:rPr>
        <w:t xml:space="preserve">DOI: </w:t>
      </w:r>
      <w:hyperlink r:id="rId1032">
        <w:r>
          <w:rPr>
            <w:color w:val="1155CC"/>
            <w:u w:val="single"/>
          </w:rPr>
          <w:t>10.1002/anie.7785903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映体富集的跳跃多烯是天然产物和生物活性分子的重要组成部分。因此，开发合成对映体富集的跳跃多烯的有效方法非常重要，但具有挑战性。迄今为止，还没有开发出从简单且容易获得的起始材料直接获得具有受控立体化学的跳跃多烯的例子。在此，开发了一种钴催化的 1,3-烯炔还原不对称交叉二聚反应，首次从容易获得的简单起始材料中快速获得对映体富集的跳过的 1,3,6-三烯。此外，该方案适合通过 1,3-烯炔与炔烃的不对称还原交叉加氢二聚来富集对映体跳跃二烯。机理研究揭示了多米诺骨牌过程，通过化学选择性和非区域选择性将1,3-烯炔半还原为1,3-二烯，然后进行化学、区域和对映选择性1,3-二烯与1,3-烯炔的交叉加氢二聚。值得注意的是，烯炔的不对称还原加氢二聚代表了从非手性起始原料合成对映体富集的1,3,6-三烯、1,3,5,8,10-戊烯、1,4-二烯的第一个例子。</w:t>
      </w:r>
    </w:p>
    <w:p>
      <w:pPr>
        <w:spacing w:before="0" w:after="200" w:lineRule="auto" w:line="276"/>
      </w:pPr>
      <w:r>
        <w:rPr>
          <w:b/>
        </w:rPr>
        <w:t xml:space="preserve">Abstract (EN): </w:t>
      </w:r>
      <w:r>
        <w:t>Enantioenriched skipped polyenes represent an important building block in natural products and bioactive molecules. Thus, it is of great importance for developing efficient methods for the synthesis of enantioenriched skipped polyenes yet challenging. To date, no example for direct access to skipped polyenes with controlled stereochemistry from simple and readily available starting materials has been developed. Herein, a cobalt‐catalyzed reductive asymmetric cross‐dimerization of 1,3‐enynes has been developed, affording the first rapid access to enantioenriched skipped 1,3,6‐trienes from readily available simple starting materials. Moreover, this protocol is amenable to enantioenriched skipped dienes by asymmetric reductive cross‐hydrodimerization of 1,3‐enynes with alkynes. Mechanistic investigations revealed a domino process by a chemoselective and non‐regioselective semi‐reduction of 1,3‐enynes to 1,3‐dienes followed by a chemo‐, regio‐, and enantioselective cross‐hydrodimerization of 1,3‐dienes with 1,3‐enynes. Notably, asymmetric reductive hydrodimerization of enynes represents the first example of synthesizing enantioenriched 1,3,6‐trienes, 1,3,5,8,10‐pentaenes, 1,4‐dienes from achiral starting materials.</w:t>
      </w:r>
    </w:p>
    <w:p>
      <w:pPr>
        <w:spacing w:before="120" w:after="120"/>
      </w:pPr>
      <w:r>
        <w:rPr>
          <w:sz w:val="18"/>
        </w:rPr>
        <w:t>——————————————————————————————————————————————————————————————————————</w:t>
      </w:r>
    </w:p>
    <w:p>
      <w:pPr>
        <w:spacing w:before="160" w:after="40" w:line="240" w:lineRule="auto"/>
      </w:pPr>
      <w:r>
        <w:rPr>
          <w:b/>
        </w:rPr>
        <w:t xml:space="preserve">[341] </w:t>
      </w:r>
      <w:hyperlink r:id="rId1033">
        <w:r>
          <w:rPr>
            <w:color w:val="1155CC"/>
            <w:u w:val="single"/>
          </w:rPr>
          <w:t>使用合成聚糖研究抗聚糖抗体并探索其医学潜力</w:t>
        </w:r>
      </w:hyperlink>
    </w:p>
    <w:p>
      <w:pPr>
        <w:spacing w:before="0" w:after="80"/>
      </w:pPr>
      <w:r>
        <w:rPr>
          <w:i/>
          <w:sz w:val="20"/>
        </w:rPr>
        <w:t>EN: Using Synthetic Glycans to Investigate Anti‐Glycan Antibodies and Explore Their Medical Potential</w:t>
      </w:r>
    </w:p>
    <w:p>
      <w:pPr>
        <w:spacing w:before="0" w:after="120"/>
      </w:pPr>
      <w:r>
        <w:rPr>
          <w:b/>
        </w:rPr>
        <w:t xml:space="preserve">Source: </w:t>
      </w:r>
      <w:r>
        <w:t>Wiley: Angewandte Chemie International Edition: Table of Contents</w:t>
      </w:r>
      <w:r>
        <w:t xml:space="preserve">    </w:t>
      </w:r>
      <w:r>
        <w:rPr>
          <w:b/>
        </w:rPr>
        <w:t xml:space="preserve">Pub date: </w:t>
      </w:r>
      <w:r>
        <w:t>2026-07-27 12:03:01+00:00</w:t>
      </w:r>
      <w:r>
        <w:t xml:space="preserve">    </w:t>
      </w:r>
      <w:r>
        <w:rPr>
          <w:b/>
        </w:rPr>
        <w:t xml:space="preserve">DOI: </w:t>
      </w:r>
      <w:hyperlink r:id="rId1034">
        <w:r>
          <w:rPr>
            <w:color w:val="1155CC"/>
            <w:u w:val="single"/>
          </w:rPr>
          <w:t>10.1002/anie.7795967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围绕人类和微生物细胞的动态聚糖层在免疫系统维持免疫耐受和平衡、对抗病原体和癌症的能力中发挥着重要作用。内源性抗聚糖抗体是免疫监视不可或缺的一部分，可识别异常的微生物聚糖、病毒糖蛋白和改变的肿瘤相关碳水化合物抗原。这些聚糖反过来又成为一系列人类疾病被动和主动免疫策略的有吸引力的靶点。聚糖的巨大复杂性和结构多样性使得释放其全部生物医学潜力变得非常困难。聚糖合成的最新进展，包括自动化固相组装、化学酶策略和一锅法，使得前所未有地获得明确的均质结构成为可能。因此，结构复杂性不断增加的合成聚糖为一系列应用铺平了道路，从分析内源抗体库以发现生物标志物到治疗性抗体开发和疫苗设计。在这里，我们总结了利用合成聚糖进行抗体开发的策略及其在基础研究和转化医学中的应用。我们概述了如何将抗聚糖抗体用于诊断和治疗目的，同时强调合成聚糖的力量并强调其在个性化医疗中的潜力。</w:t>
      </w:r>
    </w:p>
    <w:p>
      <w:pPr>
        <w:spacing w:before="0" w:after="200" w:lineRule="auto" w:line="276"/>
      </w:pPr>
      <w:r>
        <w:rPr>
          <w:b/>
        </w:rPr>
        <w:t xml:space="preserve">Abstract (EN): </w:t>
      </w:r>
      <w:r>
        <w:t>The dynamic glycan layer that surrounds human and microbial cells plays an essential role in the immune system's capacity to maintain immune tolerance and equilibrium, fight pathogens and cancer. Endogenous anti‐glycan antibodies are an indispensable part of immune surveillance, identifying abnormal microbial glycans, viral glycoproteins, and altered tumor‐associated carbohydrate antigens. These glycans serve in turn as attractive targets for passive and active immunization strategies in a range of human diseases. The enormous complexity and structural diversity of glycans has made it very difficult to unlock their full biomedical potential. Recent advances in glycan synthesis, including automated solid‐phase assembly, chemoenzymatic strategies, and one‐pot approaches, enabled unprecedented access to well‐defined, homogenous structures. Hence, synthetic glycans of increasing structural complexity pave the way for a range of applications, from profiling endogenous antibody repertoires for biomarker discovery to therapeutic antibody development and vaccine design. Here, we summarize the strategies to utilize synthetic glycans for antibody development and their application in basic research and translational medicine. We outline how anti‐glycan antibodies are utilized for diagnostic and therapeutic purposes, while emphasizing the power of synthetic glycans and highlighting their potential in personalized medicine.</w:t>
      </w:r>
    </w:p>
    <w:p>
      <w:pPr>
        <w:spacing w:before="120" w:after="120"/>
      </w:pPr>
      <w:r>
        <w:rPr>
          <w:sz w:val="18"/>
        </w:rPr>
        <w:t>——————————————————————————————————————————————————————————————————————</w:t>
      </w:r>
    </w:p>
    <w:p>
      <w:pPr>
        <w:spacing w:before="160" w:after="40" w:line="240" w:lineRule="auto"/>
      </w:pPr>
      <w:r>
        <w:rPr>
          <w:b/>
        </w:rPr>
        <w:t xml:space="preserve">[342] </w:t>
      </w:r>
      <w:hyperlink r:id="rId1035">
        <w:r>
          <w:rPr>
            <w:color w:val="1155CC"/>
            <w:u w:val="single"/>
          </w:rPr>
          <w:t>用甲基转移酶对寡核苷酸进行后期（放射性）同位素标记的酶平台</w:t>
        </w:r>
      </w:hyperlink>
    </w:p>
    <w:p>
      <w:pPr>
        <w:spacing w:before="0" w:after="80"/>
      </w:pPr>
      <w:r>
        <w:rPr>
          <w:i/>
          <w:sz w:val="20"/>
        </w:rPr>
        <w:t>EN: An Enzymatic Platform for Late‐Stage (Radio)isotope Labelling of Oligonucleotides With Methyltransferases</w:t>
      </w:r>
    </w:p>
    <w:p>
      <w:pPr>
        <w:spacing w:before="0" w:after="120"/>
      </w:pPr>
      <w:r>
        <w:rPr>
          <w:b/>
        </w:rPr>
        <w:t xml:space="preserve">Source: </w:t>
      </w:r>
      <w:r>
        <w:t>Wiley: Angewandte Chemie International Edition: Table of Contents</w:t>
      </w:r>
      <w:r>
        <w:t xml:space="preserve">    </w:t>
      </w:r>
      <w:r>
        <w:rPr>
          <w:b/>
        </w:rPr>
        <w:t xml:space="preserve">Pub date: </w:t>
      </w:r>
      <w:r>
        <w:t>2026-07-27 12:03:04+00:00</w:t>
      </w:r>
      <w:r>
        <w:t xml:space="preserve">    </w:t>
      </w:r>
      <w:r>
        <w:rPr>
          <w:b/>
        </w:rPr>
        <w:t xml:space="preserve">DOI: </w:t>
      </w:r>
      <w:hyperlink r:id="rId1036">
        <w:r>
          <w:rPr>
            <w:color w:val="1155CC"/>
            <w:u w:val="single"/>
          </w:rPr>
          <w:t>10.1002/anie.8706793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治疗性核酸的开发已成为现代药物发现的基石。为了支持这些模式的临床转化，放射性标记类似物对于吸收、分布、代谢和排泄 (ADME) 研究，特别是定量全身放射自显影 (QWBA) 至关重要。由于制备无线电探针的既定方法有限，因此获得此类无线电探针的机会有限。</w:t>
      </w:r>
      <w:r>
        <w:rPr>
          <w:vertAlign w:val="subscript"/>
        </w:rPr>
        <w:t>3</w:t>
      </w:r>
      <w:r>
        <w:t>H标记寡核苷酸的特点是成本高、交货时间长、比活性低以及产生大量放射性废物。为了解决这些限制，我们开发了一个用于后期的生物催化平台</w:t>
      </w:r>
      <w:r>
        <w:rPr>
          <w:vertAlign w:val="subscript"/>
        </w:rPr>
        <w:t>3</w:t>
      </w:r>
      <w:r>
        <w:t>使用甲基转移酶对寡核苷酸进行氢放射性标记，将前体成本和放射性废物降低几个数量级。我们证明DNA-胞嘧啶-5-甲基转移酶可以在制备规模上以高区域选择性甲基化寡核苷酸，产生稳定的放射性同位素标记的（</w:t>
      </w:r>
      <w:r>
        <w:rPr>
          <w:vertAlign w:val="subscript"/>
        </w:rPr>
        <w:t>2</w:t>
      </w:r>
      <w:r>
        <w:t>H 和</w:t>
      </w:r>
      <w:r>
        <w:rPr>
          <w:vertAlign w:val="subscript"/>
        </w:rPr>
        <w:t>3</w:t>
      </w:r>
      <w:r>
        <w:t>H) 样品的摩尔活性高达 3 TBq mmol</w:t>
      </w:r>
      <w:r>
        <w:t xml:space="preserve"> </w:t>
      </w:r>
      <w:r>
        <w:t>−1</w:t>
      </w:r>
      <w:r>
        <w:t xml:space="preserve"> </w:t>
      </w:r>
      <w:r>
        <w:t>（81 Ci 毫摩尔</w:t>
      </w:r>
      <w:r>
        <w:t xml:space="preserve"> </w:t>
      </w:r>
      <w:r>
        <w:t>−1</w:t>
      </w:r>
      <w:r>
        <w:t xml:space="preserve"> </w:t>
      </w:r>
      <w:r>
        <w:t>）。鉴于甲基转移酶介导的放射性标记的精确度和效率，我们预计类似的方法将促进其他药物模式的 QWBA 研究。</w:t>
      </w:r>
    </w:p>
    <w:p>
      <w:pPr>
        <w:spacing w:before="0" w:after="200" w:lineRule="auto" w:line="276"/>
      </w:pPr>
      <w:r>
        <w:rPr>
          <w:b/>
        </w:rPr>
        <w:t xml:space="preserve">Abstract (EN): </w:t>
      </w:r>
      <w:r>
        <w:t>The development of therapeutic nucleic acids has become a cornerstone of modern drug discovery. To support the clinical translation of these modalities, radiolabelled analogues are vital for absorption, distribution, metabolism and excretion (ADME) studies, particularly for quantitative whole‐body autoradiography (QWBA). Access to such radio probes is limited because established methods for the preparation of</w:t>
      </w:r>
      <w:r>
        <w:rPr>
          <w:vertAlign w:val="subscript"/>
        </w:rPr>
        <w:t>3</w:t>
      </w:r>
      <w:r>
        <w:t>H‐labelled oligonucleotides are characterised by high costs, extensive lead times, low specific activity and the generation of substantial radioactive waste. To address these limitations, we developed a biocatalytic platform for late‐stage</w:t>
      </w:r>
      <w:r>
        <w:rPr>
          <w:vertAlign w:val="subscript"/>
        </w:rPr>
        <w:t>3</w:t>
      </w:r>
      <w:r>
        <w:t>H‐radiolabelling of oligonucleotides using methyltransferases, reducing precursor costs and radioactive waste by orders of magnitude. We demonstrate that DNA‐cytosine‐5‐methyltransferases can methylate oligonucleotides with high regioselectivity at a preparative scale, yielding stable‐ and radioisotope‐labelled (</w:t>
      </w:r>
      <w:r>
        <w:rPr>
          <w:vertAlign w:val="subscript"/>
        </w:rPr>
        <w:t>2</w:t>
      </w:r>
      <w:r>
        <w:t>H and</w:t>
      </w:r>
      <w:r>
        <w:rPr>
          <w:vertAlign w:val="subscript"/>
        </w:rPr>
        <w:t>3</w:t>
      </w:r>
      <w:r>
        <w:t>H) samples with an unprecedented molar activity up to 3 TBq mmol</w:t>
      </w:r>
      <w:r>
        <w:t xml:space="preserve"> </w:t>
      </w:r>
      <w:r>
        <w:t>−1</w:t>
      </w:r>
      <w:r>
        <w:t xml:space="preserve"> </w:t>
      </w:r>
      <w:r>
        <w:t>(81 Ci mmol</w:t>
      </w:r>
      <w:r>
        <w:t xml:space="preserve"> </w:t>
      </w:r>
      <w:r>
        <w:t>−1</w:t>
      </w:r>
      <w:r>
        <w:t xml:space="preserve"> </w:t>
      </w:r>
      <w:r>
        <w:t>). In view of the precision and efficiency of methyltransferase‐mediated radiolabelling, we anticipate that similar approaches will facilitate QWBA studies with other drug modalities.</w:t>
      </w:r>
    </w:p>
    <w:p>
      <w:pPr>
        <w:spacing w:before="120" w:after="120"/>
      </w:pPr>
      <w:r>
        <w:rPr>
          <w:sz w:val="18"/>
        </w:rPr>
        <w:t>——————————————————————————————————————————————————————————————————————</w:t>
      </w:r>
    </w:p>
    <w:p>
      <w:pPr>
        <w:spacing w:before="160" w:after="40" w:line="240" w:lineRule="auto"/>
      </w:pPr>
      <w:r>
        <w:rPr>
          <w:b/>
        </w:rPr>
        <w:t xml:space="preserve">[343] </w:t>
      </w:r>
      <w:hyperlink r:id="rId1037">
        <w:r>
          <w:rPr>
            <w:color w:val="1155CC"/>
            <w:u w:val="single"/>
          </w:rPr>
          <w:t>F-中心介导的氟化物纳米闪烁体中铕价态工程实现多样化光学传感</w:t>
        </w:r>
      </w:hyperlink>
    </w:p>
    <w:p>
      <w:pPr>
        <w:spacing w:before="0" w:after="80"/>
      </w:pPr>
      <w:r>
        <w:rPr>
          <w:i/>
          <w:sz w:val="20"/>
        </w:rPr>
        <w:t>EN: F‐Center‐Mediated Valence Engineering of Europium in Fluoride Nanoscintillators Toward Diverse Optical Sensing</w:t>
      </w:r>
    </w:p>
    <w:p>
      <w:pPr>
        <w:spacing w:before="0" w:after="120"/>
      </w:pPr>
      <w:r>
        <w:rPr>
          <w:b/>
        </w:rPr>
        <w:t xml:space="preserve">Source: </w:t>
      </w:r>
      <w:r>
        <w:t>Wiley: Angewandte Chemie International Edition: Table of Contents</w:t>
      </w:r>
      <w:r>
        <w:t xml:space="preserve">    </w:t>
      </w:r>
      <w:r>
        <w:rPr>
          <w:b/>
        </w:rPr>
        <w:t xml:space="preserve">Pub date: </w:t>
      </w:r>
      <w:r>
        <w:t>2026-07-27 12:03:06+00:00</w:t>
      </w:r>
      <w:r>
        <w:t xml:space="preserve">    </w:t>
      </w:r>
      <w:r>
        <w:rPr>
          <w:b/>
        </w:rPr>
        <w:t xml:space="preserve">DOI: </w:t>
      </w:r>
      <w:hyperlink r:id="rId1038">
        <w:r>
          <w:rPr>
            <w:color w:val="1155CC"/>
            <w:u w:val="single"/>
          </w:rPr>
          <w:t>10.1002/anie.2910318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稀土掺杂氟化物纳米闪烁体（NSs）由于其高环境稳定性、可控纳米结构和可调谐多色发射而成为 X 射线成像的有希望的候选者。然而，它们的性能通常受到三价镧系元素激活剂中宇称禁止的 4f-4f 跃迁本质上较低的辐射效率的限制，并且控制氟化物 NS 中镧系元素价态的有效策略仍然难以捉摸。在这里，开发了一种F中心介导的价态工程策略来实现Eu的受控转化</w:t>
      </w:r>
      <w:r>
        <w:t xml:space="preserve"> </w:t>
      </w:r>
      <w:r>
        <w:t>3+</w:t>
      </w:r>
      <w:r>
        <w:t xml:space="preserve"> </w:t>
      </w:r>
      <w:r>
        <w:t>至欧盟</w:t>
      </w:r>
      <w:r>
        <w:t xml:space="preserve"> </w:t>
      </w:r>
      <w:r>
        <w:t>2+</w:t>
      </w:r>
      <w:r>
        <w:t xml:space="preserve"> </w:t>
      </w:r>
      <w:r>
        <w:t>含氟 NS。密度泛函理论计算表明，Eu</w:t>
      </w:r>
      <w:r>
        <w:t xml:space="preserve"> </w:t>
      </w:r>
      <w:r>
        <w:t>2+</w:t>
      </w:r>
      <w:r>
        <w:t xml:space="preserve"> </w:t>
      </w:r>
      <w:r>
        <w:t>在混合阴离子主体（SrFCl 和 SrFBr）中比在 SrF 中热力学更稳定</w:t>
      </w:r>
      <w:r>
        <w:rPr>
          <w:vertAlign w:val="subscript"/>
        </w:rPr>
        <w:t>2</w:t>
      </w:r>
      <w:r>
        <w:t>。在 SrF 的阴离子交换过程中</w:t>
      </w:r>
      <w:r>
        <w:rPr>
          <w:vertAlign w:val="subscript"/>
        </w:rPr>
        <w:t>2</w:t>
      </w:r>
      <w:r>
        <w:t>种子，产生高密度的F中心，它们充当电子库来驱动Eu的还原</w:t>
      </w:r>
      <w:r>
        <w:t xml:space="preserve"> </w:t>
      </w:r>
      <w:r>
        <w:t>3+</w:t>
      </w:r>
      <w:r>
        <w:t xml:space="preserve"> </w:t>
      </w:r>
      <w:r>
        <w:t>至欧盟</w:t>
      </w:r>
      <w:r>
        <w:t xml:space="preserve"> </w:t>
      </w:r>
      <w:r>
        <w:t>2+</w:t>
      </w:r>
      <w:r>
        <w:t xml:space="preserve"> </w:t>
      </w:r>
      <w:r>
        <w:t>。结果，SrF</w:t>
      </w:r>
      <w:r>
        <w:rPr>
          <w:vertAlign w:val="subscript"/>
        </w:rPr>
        <w:t>2</w:t>
      </w:r>
      <w:r>
        <w:t>：欧盟仅展出欧盟</w:t>
      </w:r>
      <w:r>
        <w:t xml:space="preserve"> </w:t>
      </w:r>
      <w:r>
        <w:t>3+</w:t>
      </w:r>
      <w:r>
        <w:t xml:space="preserve"> </w:t>
      </w:r>
      <w:r>
        <w:t>发射，SrFCl:Eu 显示共存的 Eu</w:t>
      </w:r>
      <w:r>
        <w:t xml:space="preserve"> </w:t>
      </w:r>
      <w:r>
        <w:t>2+</w:t>
      </w:r>
      <w:r>
        <w:t xml:space="preserve"> </w:t>
      </w:r>
      <w:r>
        <w:t>/欧盟</w:t>
      </w:r>
      <w:r>
        <w:t xml:space="preserve"> </w:t>
      </w:r>
      <w:r>
        <w:t>3+</w:t>
      </w:r>
      <w:r>
        <w:t xml:space="preserve"> </w:t>
      </w:r>
      <w:r>
        <w:t>排放，SrFBr:Eu 显示主导 Eu</w:t>
      </w:r>
      <w:r>
        <w:t xml:space="preserve"> </w:t>
      </w:r>
      <w:r>
        <w:t>2+</w:t>
      </w:r>
      <w:r>
        <w:t xml:space="preserve"> </w:t>
      </w:r>
      <w:r>
        <w:t>排放量</w:t>
      </w:r>
    </w:p>
    <w:p>
      <w:pPr>
        <w:spacing w:before="0" w:after="200" w:lineRule="auto" w:line="276"/>
      </w:pPr>
      <w:r>
        <w:rPr>
          <w:b/>
        </w:rPr>
        <w:t xml:space="preserve">Abstract (EN): </w:t>
      </w:r>
      <w:r>
        <w:t>Lanthanide‐doped fluoride nanoscintillators (NSs) are promising candidates for x‐ray imaging, owing to their high environmental stability, controllable nanostructures, and tunable multicolor emissions. However, their performance is typically limited by the intrinsically low radiative efficiency of parity‐forbidden 4f–4f transitions in trivalent lanthanide activators, and effective strategies for controlling lanthanide valence in fluoride NSs remain elusive. Here, an F‐center‐mediated valence engineering strategy is developed to enable the controlled transformation of Eu</w:t>
      </w:r>
      <w:r>
        <w:t xml:space="preserve"> </w:t>
      </w:r>
      <w:r>
        <w:t>3+</w:t>
      </w:r>
      <w:r>
        <w:t xml:space="preserve"> </w:t>
      </w:r>
      <w:r>
        <w:t>to Eu</w:t>
      </w:r>
      <w:r>
        <w:t xml:space="preserve"> </w:t>
      </w:r>
      <w:r>
        <w:t>2+</w:t>
      </w:r>
      <w:r>
        <w:t xml:space="preserve"> </w:t>
      </w:r>
      <w:r>
        <w:t>in fluoride NSs. Density functional theory calculations reveal that Eu</w:t>
      </w:r>
      <w:r>
        <w:t xml:space="preserve"> </w:t>
      </w:r>
      <w:r>
        <w:t>2+</w:t>
      </w:r>
      <w:r>
        <w:t xml:space="preserve"> </w:t>
      </w:r>
      <w:r>
        <w:t>is thermodynamically more stable in mixed‐anion hosts (SrFCl and SrFBr) than in SrF</w:t>
      </w:r>
      <w:r>
        <w:rPr>
          <w:vertAlign w:val="subscript"/>
        </w:rPr>
        <w:t>2</w:t>
      </w:r>
      <w:r>
        <w:t>. During the anion‐exchange process from SrF</w:t>
      </w:r>
      <w:r>
        <w:rPr>
          <w:vertAlign w:val="subscript"/>
        </w:rPr>
        <w:t>2</w:t>
      </w:r>
      <w:r>
        <w:t>seeds, a high density of F‐centers is generated, which act as electron reservoirs to drive the reduction of Eu</w:t>
      </w:r>
      <w:r>
        <w:t xml:space="preserve"> </w:t>
      </w:r>
      <w:r>
        <w:t>3+</w:t>
      </w:r>
      <w:r>
        <w:t xml:space="preserve"> </w:t>
      </w:r>
      <w:r>
        <w:t>to Eu</w:t>
      </w:r>
      <w:r>
        <w:t xml:space="preserve"> </w:t>
      </w:r>
      <w:r>
        <w:t>2+</w:t>
      </w:r>
      <w:r>
        <w:t xml:space="preserve"> </w:t>
      </w:r>
      <w:r>
        <w:t>. As a result, SrF</w:t>
      </w:r>
      <w:r>
        <w:rPr>
          <w:vertAlign w:val="subscript"/>
        </w:rPr>
        <w:t>2</w:t>
      </w:r>
      <w:r>
        <w:t>:Eu exhibits only Eu</w:t>
      </w:r>
      <w:r>
        <w:t xml:space="preserve"> </w:t>
      </w:r>
      <w:r>
        <w:t>3+</w:t>
      </w:r>
      <w:r>
        <w:t xml:space="preserve"> </w:t>
      </w:r>
      <w:r>
        <w:t>emission, SrFCl:Eu shows coexisting Eu</w:t>
      </w:r>
      <w:r>
        <w:t xml:space="preserve"> </w:t>
      </w:r>
      <w:r>
        <w:t>2+</w:t>
      </w:r>
      <w:r>
        <w:t xml:space="preserve"> </w:t>
      </w:r>
      <w:r>
        <w:t>/Eu</w:t>
      </w:r>
      <w:r>
        <w:t xml:space="preserve"> </w:t>
      </w:r>
      <w:r>
        <w:t>3+</w:t>
      </w:r>
      <w:r>
        <w:t xml:space="preserve"> </w:t>
      </w:r>
      <w:r>
        <w:t>emissions, and SrFBr:Eu displays dominant Eu</w:t>
      </w:r>
      <w:r>
        <w:t xml:space="preserve"> </w:t>
      </w:r>
      <w:r>
        <w:t>2+</w:t>
      </w:r>
      <w:r>
        <w:t xml:space="preserve"> </w:t>
      </w:r>
      <w:r>
        <w:t>emission with significantly enhanced scintillation intensity. This valence tunability not only improves x‐ray imaging performance but also enables ratiometric temperature sensing based on dual‐emission characteristics. This work establishes a general F‐center‐mediated strategy for lanthanide valence control, providing new opportunities for designing high‐performance NSs toward diverse optical sensing applications.</w:t>
      </w:r>
    </w:p>
    <w:p>
      <w:pPr>
        <w:spacing w:before="120" w:after="120"/>
      </w:pPr>
      <w:r>
        <w:rPr>
          <w:sz w:val="18"/>
        </w:rPr>
        <w:t>——————————————————————————————————————————————————————————————————————</w:t>
      </w:r>
    </w:p>
    <w:p>
      <w:pPr>
        <w:spacing w:before="160" w:after="40" w:line="240" w:lineRule="auto"/>
      </w:pPr>
      <w:r>
        <w:rPr>
          <w:b/>
        </w:rPr>
        <w:t xml:space="preserve">[344] </w:t>
      </w:r>
      <w:hyperlink r:id="rId1039">
        <w:r>
          <w:rPr>
            <w:color w:val="1155CC"/>
            <w:u w:val="single"/>
          </w:rPr>
          <w:t>用于精密乙炔-乙烯分离的多孔有机笼的工程挫败填料</w:t>
        </w:r>
      </w:hyperlink>
    </w:p>
    <w:p>
      <w:pPr>
        <w:spacing w:before="0" w:after="80"/>
      </w:pPr>
      <w:r>
        <w:rPr>
          <w:i/>
          <w:sz w:val="20"/>
        </w:rPr>
        <w:t>EN: Engineering Frustrated Packing of Porous Organic Cages for Precision Acetylene–Ethylene Separation</w:t>
      </w:r>
    </w:p>
    <w:p>
      <w:pPr>
        <w:spacing w:before="0" w:after="120"/>
      </w:pPr>
      <w:r>
        <w:rPr>
          <w:b/>
        </w:rPr>
        <w:t xml:space="preserve">Source: </w:t>
      </w:r>
      <w:r>
        <w:t>Wiley: Angewandte Chemie International Edition: Table of Contents</w:t>
      </w:r>
      <w:r>
        <w:t xml:space="preserve">    </w:t>
      </w:r>
      <w:r>
        <w:rPr>
          <w:b/>
        </w:rPr>
        <w:t xml:space="preserve">Pub date: </w:t>
      </w:r>
      <w:r>
        <w:t>2026-07-27 12:05:15+00:00</w:t>
      </w:r>
      <w:r>
        <w:t xml:space="preserve">    </w:t>
      </w:r>
      <w:r>
        <w:rPr>
          <w:b/>
        </w:rPr>
        <w:t xml:space="preserve">DOI: </w:t>
      </w:r>
      <w:hyperlink r:id="rId1040">
        <w:r>
          <w:rPr>
            <w:color w:val="1155CC"/>
            <w:u w:val="single"/>
          </w:rPr>
          <w:t>10.1002/anie.3036478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多孔有机笼（POC）是新兴的多孔分子材料，具有可调的孔隙率和溶液加工性。除了单个笼分子内的内在孔隙之外，分子间堆积产生的外在孔隙在定义 POC 的孔隙率和分离性能方面发挥着关键作用。这些填充衍生的孔可以连接离散的笼腔，施加尺寸选择性约束，并创建定制的吸附微环境。然而，它们的系统设计和利用仍然不发达，因为当前的合成和合成后改性策略主要集中在内在孔隙工程上。在这项研究中，我们报告了一种基于四嗪基 POC 结构修饰的外源孔隙工程策略。通过调整笼形状和外围空间位阻，我们精确调节受挫堆积以实现高度选择性的乙炔吸收。优化的保持架，</w:t>
      </w:r>
      <w:r>
        <w:t xml:space="preserve"> </w:t>
      </w:r>
      <w:r>
        <w:t>米</w:t>
      </w:r>
      <w:r>
        <w:t xml:space="preserve"> </w:t>
      </w:r>
      <w:r>
        <w:t>‐4N-笼</w:t>
      </w:r>
      <w:r>
        <w:t xml:space="preserve"> </w:t>
      </w:r>
      <w:r>
        <w:t>，在吸附和突破实验中表现出优异的乙炔/乙烯分离性能，可与性能最好的多孔分子有机材料相媲美。原位单晶衍射分析表明，乙炔分子被选择性地吸附在定制的外在孔内。这项工作强调了外在孔作为目标分离的可调设计元素，并建立了一个用于控制分子中受挫堆积的模型平台</w:t>
      </w:r>
    </w:p>
    <w:p>
      <w:pPr>
        <w:spacing w:before="0" w:after="200" w:lineRule="auto" w:line="276"/>
      </w:pPr>
      <w:r>
        <w:rPr>
          <w:b/>
        </w:rPr>
        <w:t xml:space="preserve">Abstract (EN): </w:t>
      </w:r>
      <w:r>
        <w:t>Porous organic cages (POCs) are emerging porous molecular materials with their tunable porosity and solution processability. Beyond the intrinsic pores within individual cage molecules, extrinsic pores generated by intermolecular packing play a critical role in defining the porosity and separation performance of POCs. These packing‐derived pores can connect discrete cage cavities, impose size‐selective constraints, and create tailored adsorption microenvironments. However, their systematic design and utilization remain underdeveloped, as current synthetic and post‐synthetic modification strategies largely focus on intrinsic‐pore engineering. In this study, we report an extrinsic pores engineering strategy based on the structural modification of tetrazine‐based POCs. By tuning cage shape and peripheral steric hindrance, we precisely modulate frustrated packing to achieve highly selective acetylene uptake. The optimized cage,</w:t>
      </w:r>
      <w:r>
        <w:t xml:space="preserve"> </w:t>
      </w:r>
      <w:r>
        <w:t>m</w:t>
      </w:r>
      <w:r>
        <w:t xml:space="preserve"> </w:t>
      </w:r>
      <w:r>
        <w:t>‐4N‐cage</w:t>
      </w:r>
      <w:r>
        <w:t xml:space="preserve"> </w:t>
      </w:r>
      <w:r>
        <w:t>, exhibits excellent acetylene/ethylene separation performance in adsorption and breakthrough experiments, comparable to that of the best‐performing porous molecular organic materials. In situ single‐crystal diffraction analysis reveals that acetylene molecules are selectively adsorbed within the tailored extrinsic pores. This work highlights extrinsic pores as a tunable design element for targeted separations and establishes as a model platform for controlling frustrated packing in molecular crystal engineering.</w:t>
      </w:r>
    </w:p>
    <w:p>
      <w:pPr>
        <w:spacing w:before="120" w:after="120"/>
      </w:pPr>
      <w:r>
        <w:rPr>
          <w:sz w:val="18"/>
        </w:rPr>
        <w:t>——————————————————————————————————————————————————————————————————————</w:t>
      </w:r>
    </w:p>
    <w:p>
      <w:pPr>
        <w:spacing w:before="160" w:after="40" w:line="240" w:lineRule="auto"/>
      </w:pPr>
      <w:r>
        <w:rPr>
          <w:b/>
        </w:rPr>
        <w:t xml:space="preserve">[345] </w:t>
      </w:r>
      <w:hyperlink r:id="rId1041">
        <w:r>
          <w:rPr>
            <w:color w:val="1155CC"/>
            <w:u w:val="single"/>
          </w:rPr>
          <w:t>共价有机框架中的多态性调节 H2O2 光合作用的激发动力学以及生物质增值</w:t>
        </w:r>
      </w:hyperlink>
    </w:p>
    <w:p>
      <w:pPr>
        <w:spacing w:before="0" w:after="80"/>
      </w:pPr>
      <w:r>
        <w:rPr>
          <w:i/>
          <w:sz w:val="20"/>
        </w:rPr>
        <w:t>EN: Polymorphism in Covalent Organic Frameworks Regulates Excited Dynamics for H2O2 Photosynthesis Coupled With Biomass Valorization</w:t>
      </w:r>
    </w:p>
    <w:p>
      <w:pPr>
        <w:spacing w:before="0" w:after="120"/>
      </w:pPr>
      <w:r>
        <w:rPr>
          <w:b/>
        </w:rPr>
        <w:t xml:space="preserve">Source: </w:t>
      </w:r>
      <w:r>
        <w:t>Wiley: Angewandte Chemie International Edition: Table of Contents</w:t>
      </w:r>
      <w:r>
        <w:t xml:space="preserve">    </w:t>
      </w:r>
      <w:r>
        <w:rPr>
          <w:b/>
        </w:rPr>
        <w:t xml:space="preserve">Pub date: </w:t>
      </w:r>
      <w:r>
        <w:t>2026-07-27 12:08:05+00:00</w:t>
      </w:r>
      <w:r>
        <w:t xml:space="preserve">    </w:t>
      </w:r>
      <w:r>
        <w:rPr>
          <w:b/>
        </w:rPr>
        <w:t xml:space="preserve">DOI: </w:t>
      </w:r>
      <w:hyperlink r:id="rId1042">
        <w:r>
          <w:rPr>
            <w:color w:val="1155CC"/>
            <w:u w:val="single"/>
          </w:rPr>
          <w:t>10.1002/anie.3123120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共价有机框架（COF）中的多态性为破译结构-性质关系提供了一个独特的平台，但其对激发态动力学的影响仍有待探索。在此，我们构建了两种化学上相同但拓扑上不同的一维和二维COF多晶型物，以将框架结构与光催化性能相关联。令人印象深刻的是，在H</w:t>
      </w:r>
      <w:r>
        <w:rPr>
          <w:vertAlign w:val="subscript"/>
        </w:rPr>
        <w:t>2</w:t>
      </w:r>
      <w:r>
        <w:t>氧</w:t>
      </w:r>
      <w:r>
        <w:rPr>
          <w:vertAlign w:val="subscript"/>
        </w:rPr>
        <w:t>2</w:t>
      </w:r>
      <w:r>
        <w:t>光合作用与糠醇增值相结合，1D-TBPP-COF 显示出优异的 H</w:t>
      </w:r>
      <w:r>
        <w:rPr>
          <w:vertAlign w:val="subscript"/>
        </w:rPr>
        <w:t>2</w:t>
      </w:r>
      <w:r>
        <w:t>氧</w:t>
      </w:r>
      <w:r>
        <w:rPr>
          <w:vertAlign w:val="subscript"/>
        </w:rPr>
        <w:t>2</w:t>
      </w:r>
      <w:r>
        <w:t>生成率（18.75 mmol g</w:t>
      </w:r>
      <w:r>
        <w:t xml:space="preserve"> </w:t>
      </w:r>
      <w:r>
        <w:t>−1</w:t>
      </w:r>
      <w:r>
        <w:t xml:space="preserve"> </w:t>
      </w:r>
      <w:r>
        <w:t>小时</w:t>
      </w:r>
      <w:r>
        <w:t xml:space="preserve"> </w:t>
      </w:r>
      <w:r>
        <w:t>−1</w:t>
      </w:r>
      <w:r>
        <w:t xml:space="preserve"> </w:t>
      </w:r>
      <w:r>
        <w:t>）并选择性氧化糠醇生成高价值的6-羟基-2H-吡喃-3(6H)-酮(PN)，PN形成率为28.14 mmol·g</w:t>
      </w:r>
      <w:r>
        <w:t xml:space="preserve"> </w:t>
      </w:r>
      <w:r>
        <w:t>−1</w:t>
      </w:r>
      <w:r>
        <w:t xml:space="preserve"> </w:t>
      </w:r>
      <w:r>
        <w:t>·小时</w:t>
      </w:r>
      <w:r>
        <w:t xml:space="preserve"> </w:t>
      </w:r>
      <w:r>
        <w:t>−1</w:t>
      </w:r>
      <w:r>
        <w:t xml:space="preserve"> </w:t>
      </w:r>
      <w:r>
        <w:t>，大大优于 2D-TBPP-COF 对应物。机理研究表明，1D-TBPP-COF中插入的双链边缘对芳环旋转施加空间约束，有效抑制振动弛豫损失并延长电荷转移态寿命。相比之下，构象灵活的 2D-TBPP-COF 允许更大的旋转自由度，从而导致非辐射能量耗散。这项工作将多态性工程确立为一种强大的策略来操纵COF中的激发态动力学以用于光催化</w:t>
      </w:r>
    </w:p>
    <w:p>
      <w:pPr>
        <w:spacing w:before="0" w:after="200" w:lineRule="auto" w:line="276"/>
      </w:pPr>
      <w:r>
        <w:rPr>
          <w:b/>
        </w:rPr>
        <w:t xml:space="preserve">Abstract (EN): </w:t>
      </w:r>
      <w:r>
        <w:t>Polymorphism in covalent organic frameworks (COFs) offers a unique platform to decipher structure–property relationships, yet its impact on excited‐state dynamics remains unexplored. Herein, we construct two chemically identical but topologically distinct 1D and 2D COF polymorphs to correlate framework architecture with photocatalytic performance. Impressively, in H</w:t>
      </w:r>
      <w:r>
        <w:rPr>
          <w:vertAlign w:val="subscript"/>
        </w:rPr>
        <w:t>2</w:t>
      </w:r>
      <w:r>
        <w:t>O</w:t>
      </w:r>
      <w:r>
        <w:rPr>
          <w:vertAlign w:val="subscript"/>
        </w:rPr>
        <w:t>2</w:t>
      </w:r>
      <w:r>
        <w:t>photosynthesis coupled with furfuryl alcohol valorization, the 1D‐TBPP‐COF showed an exceptional H</w:t>
      </w:r>
      <w:r>
        <w:rPr>
          <w:vertAlign w:val="subscript"/>
        </w:rPr>
        <w:t>2</w:t>
      </w:r>
      <w:r>
        <w:t>O</w:t>
      </w:r>
      <w:r>
        <w:rPr>
          <w:vertAlign w:val="subscript"/>
        </w:rPr>
        <w:t>2</w:t>
      </w:r>
      <w:r>
        <w:t>generation rate (18.75 mmol g</w:t>
      </w:r>
      <w:r>
        <w:t xml:space="preserve"> </w:t>
      </w:r>
      <w:r>
        <w:t>−1</w:t>
      </w:r>
      <w:r>
        <w:t xml:space="preserve"> </w:t>
      </w:r>
      <w:r>
        <w:t>h</w:t>
      </w:r>
      <w:r>
        <w:t xml:space="preserve"> </w:t>
      </w:r>
      <w:r>
        <w:t>−1</w:t>
      </w:r>
      <w:r>
        <w:t xml:space="preserve"> </w:t>
      </w:r>
      <w:r>
        <w:t>) and selective oxidation of furfuryl alcohol to high‐value 6‐hydroxy‐2H‐pyran‐3(6H)‐one (PN) with PN formation rate of 28.14 mmol·g</w:t>
      </w:r>
      <w:r>
        <w:t xml:space="preserve"> </w:t>
      </w:r>
      <w:r>
        <w:t>−1</w:t>
      </w:r>
      <w:r>
        <w:t xml:space="preserve"> </w:t>
      </w:r>
      <w:r>
        <w:t>·h</w:t>
      </w:r>
      <w:r>
        <w:t xml:space="preserve"> </w:t>
      </w:r>
      <w:r>
        <w:t>−1</w:t>
      </w:r>
      <w:r>
        <w:t xml:space="preserve"> </w:t>
      </w:r>
      <w:r>
        <w:t>, substantially outperforming the 2D‐TBPP‐COF counterpart. Mechanistic investigations revealed that the intercalated dual‐chain edges in 1D‐TBPP‐COF impose steric constraints on aromatic ring rotation, effectively suppressing vibrational relaxation losses and prolonging the charge‐transfer state lifetime. In contrast, the conformationally flexible 2D‐TBPP‐COF permits greater rotational freedom, leading to non‐radiative energy dissipation. This work establishes polymorphism engineering as a powerful strategy to manipulate excited‐state dynamics in COFs for photocatalysis.</w:t>
      </w:r>
    </w:p>
    <w:p>
      <w:pPr>
        <w:spacing w:before="120" w:after="120"/>
      </w:pPr>
      <w:r>
        <w:rPr>
          <w:sz w:val="18"/>
        </w:rPr>
        <w:t>——————————————————————————————————————————————————————————————————————</w:t>
      </w:r>
    </w:p>
    <w:p>
      <w:pPr>
        <w:spacing w:before="160" w:after="40" w:line="240" w:lineRule="auto"/>
      </w:pPr>
      <w:r>
        <w:rPr>
          <w:b/>
        </w:rPr>
        <w:t xml:space="preserve">[346] </w:t>
      </w:r>
      <w:hyperlink r:id="rId1043">
        <w:r>
          <w:rPr>
            <w:color w:val="1155CC"/>
            <w:u w:val="single"/>
          </w:rPr>
          <w:t>通过主链 P─C 键结合实现火焰触发驱动的本质阻燃液晶弹性体</w:t>
        </w:r>
      </w:hyperlink>
    </w:p>
    <w:p>
      <w:pPr>
        <w:spacing w:before="0" w:after="80"/>
      </w:pPr>
      <w:r>
        <w:rPr>
          <w:i/>
          <w:sz w:val="20"/>
        </w:rPr>
        <w:t>EN: Intrinsically Flame‐Retardant Liquid Crystal Elastomers With Flame‐Triggered Actuation Enabled by Main‐Chain P─C Bond Incorporation</w:t>
      </w:r>
    </w:p>
    <w:p>
      <w:pPr>
        <w:spacing w:before="0" w:after="120"/>
      </w:pPr>
      <w:r>
        <w:rPr>
          <w:b/>
        </w:rPr>
        <w:t xml:space="preserve">Source: </w:t>
      </w:r>
      <w:r>
        <w:t>Wiley: Angewandte Chemie International Edition: Table of Contents</w:t>
      </w:r>
      <w:r>
        <w:t xml:space="preserve">    </w:t>
      </w:r>
      <w:r>
        <w:rPr>
          <w:b/>
        </w:rPr>
        <w:t xml:space="preserve">Pub date: </w:t>
      </w:r>
      <w:r>
        <w:t>2026-07-27 12:10:16+00:00</w:t>
      </w:r>
      <w:r>
        <w:t xml:space="preserve">    </w:t>
      </w:r>
      <w:r>
        <w:rPr>
          <w:b/>
        </w:rPr>
        <w:t xml:space="preserve">DOI: </w:t>
      </w:r>
      <w:hyperlink r:id="rId1044">
        <w:r>
          <w:rPr>
            <w:color w:val="1155CC"/>
            <w:u w:val="single"/>
          </w:rPr>
          <w:t>10.1002/anie.5197516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液晶弹性体（LCE）是一种很有前途的软执行器，但其实际应用受到消防安全和可逆驱动之间的不兼容的限制。外在阻燃策略会破坏变形所需的液晶组织和网络完整性，而现有的含磷液晶聚合物（LCP）主要是刚性的芳香族热塑性塑料，设计用于结构耐热性而不是驱动。在这里，我们报告了一种使用次磷酸和二烯封端介晶单体的自由基介导的P─H/烯逐步增长聚合策略，用于本质阻燃的有机磷LCP和LCE。这种主链 P─C 键形成策略避免了刚性芳香族磷单元，并提供了具有降低的相变温度以及高达 6.8 wt.% 的高磷含量的含磷液晶体系。所得的 LCE 保留了热致液晶行为，表现出可逆的热致动，并表现出显着的阻燃性，其特征是减少热量释放、自熄行为和磷促进的成炭。值得注意的是，这些有机磷 LCE 还能够在仅 0.4 秒内实现火焰触发驱动，同时在暴露于火焰后保持结构完整性和可逆功能。这项工作为适用于恶劣热环境的本质阻燃 LCE 执行器建立了一条实用的分子设计路线。</w:t>
      </w:r>
    </w:p>
    <w:p>
      <w:pPr>
        <w:spacing w:before="0" w:after="200" w:lineRule="auto" w:line="276"/>
      </w:pPr>
      <w:r>
        <w:rPr>
          <w:b/>
        </w:rPr>
        <w:t xml:space="preserve">Abstract (EN): </w:t>
      </w:r>
      <w:r>
        <w:t>Liquid crystal elastomers (LCEs) are promising soft actuators, but their practical use is constrained by the incompatibility between fire safety and reversible actuation. Extrinsic flame‐retardant strategies can disrupt the liquid‐crystal organization and network integrity required for deformation, whereas existing phosphorus‐containing liquid crystal polymers (LCPs) are mainly rigid, aromatic thermoplastics designed for structural heat resistance rather than actuation. Here, we report a radical‐mediated P─H/ene step‐growth polymerization strategy for intrinsically flame‐retardant organophosphorus LCPs and LCEs using hypophosphorous acid and diene‐terminated mesogenic monomers. This main‐chain P─C bond‐forming strategy avoids rigid aromatic phosphorus units and affords phosphorus‐containing liquid‐crystalline systems with reduced phase‐transition temperatures together with a high phosphorus content of up to 6.8 wt.%. The resulting LCEs retain thermotropic liquid‐crystalline behavior, exhibit reversible thermoactuation, and show pronounced flame retardancy characterized by reduced heat release, self‐extinguishing behavior, and phosphorus‐promoted char formation. Notably, these organophosphorus LCEs also enable flame‐triggered actuation within only 0.4 s while preserving structural integrity and reversible function after flame exposure. This work establishes a practical molecular design route toward intrinsically flame‐retardant LCE actuators for thermally harsh environments.</w:t>
      </w:r>
    </w:p>
    <w:p>
      <w:pPr>
        <w:spacing w:before="120" w:after="120"/>
      </w:pPr>
      <w:r>
        <w:rPr>
          <w:sz w:val="18"/>
        </w:rPr>
        <w:t>——————————————————————————————————————————————————————————————————————</w:t>
      </w:r>
    </w:p>
    <w:p>
      <w:pPr>
        <w:spacing w:before="160" w:after="40" w:line="240" w:lineRule="auto"/>
      </w:pPr>
      <w:r>
        <w:rPr>
          <w:b/>
        </w:rPr>
        <w:t xml:space="preserve">[347] </w:t>
      </w:r>
      <w:hyperlink r:id="rId1045">
        <w:r>
          <w:rPr>
            <w:color w:val="1155CC"/>
            <w:u w:val="single"/>
          </w:rPr>
          <w:t>芳香相互作用驱动的大环单分子氯离子通道自适应转化为纳米孔</w:t>
        </w:r>
      </w:hyperlink>
    </w:p>
    <w:p>
      <w:pPr>
        <w:spacing w:before="0" w:after="80"/>
      </w:pPr>
      <w:r>
        <w:rPr>
          <w:i/>
          <w:sz w:val="20"/>
        </w:rPr>
        <w:t>EN: Aromatic Interaction‐Driven Adaptive Transformation of Macrocyclic Unimolecular Chloride Channels Into Nanopores</w:t>
      </w:r>
    </w:p>
    <w:p>
      <w:pPr>
        <w:spacing w:before="0" w:after="120"/>
      </w:pPr>
      <w:r>
        <w:rPr>
          <w:b/>
        </w:rPr>
        <w:t xml:space="preserve">Source: </w:t>
      </w:r>
      <w:r>
        <w:t>Wiley: Angewandte Chemie International Edition: Table of Contents</w:t>
      </w:r>
      <w:r>
        <w:t xml:space="preserve">    </w:t>
      </w:r>
      <w:r>
        <w:rPr>
          <w:b/>
        </w:rPr>
        <w:t xml:space="preserve">Pub date: </w:t>
      </w:r>
      <w:r>
        <w:t>2026-07-27 12:11:54+00:00</w:t>
      </w:r>
      <w:r>
        <w:t xml:space="preserve">    </w:t>
      </w:r>
      <w:r>
        <w:rPr>
          <w:b/>
        </w:rPr>
        <w:t xml:space="preserve">DOI: </w:t>
      </w:r>
      <w:hyperlink r:id="rId1046">
        <w:r>
          <w:rPr>
            <w:color w:val="1155CC"/>
            <w:u w:val="single"/>
          </w:rPr>
          <w:t>10.1002/anie.7110390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离子通道和孔经常表现出动态的、浓度依赖性的自适应组装，但忠实复制这种有趣行为的合成系统仍然很少。在这项研究中，我们提出了一类新型的附加三肽的大环离子通道，它们经历芳香族相互作用驱动的从单分子氯离子通道到高阶纳米孔的适应性转变。在低浓度下，芳香族三肽功能化大环化合物的类似物（</w:t>
      </w:r>
      <w:r>
        <w:t xml:space="preserve"> </w:t>
      </w:r>
      <w:r>
        <w:t>MC-F</w:t>
      </w:r>
      <w:r>
        <w:t xml:space="preserve"> </w:t>
      </w:r>
      <w:r>
        <w:t>和</w:t>
      </w:r>
      <w:r>
        <w:t xml:space="preserve"> </w:t>
      </w:r>
      <w:r>
        <w:t>MC-W</w:t>
      </w:r>
      <w:r>
        <w:t xml:space="preserve"> </w:t>
      </w:r>
      <w:r>
        <w:t>）作为离散且有效的氯离子通道发挥作用。浓度增加后，三肽侧链之间的芳香族相互作用促进其横向自组装成稳定的纳米孔，从而实现小分子（包括羧基荧光素和葡萄糖）的有效跨膜运输。相反，脂肪族类似物（</w:t>
      </w:r>
      <w:r>
        <w:t xml:space="preserve"> </w:t>
      </w:r>
      <w:r>
        <w:t>MC-A</w:t>
      </w:r>
      <w:r>
        <w:t xml:space="preserve"> </w:t>
      </w:r>
      <w:r>
        <w:t>,</w:t>
      </w:r>
      <w:r>
        <w:t xml:space="preserve"> </w:t>
      </w:r>
      <w:r>
        <w:t>MC-L</w:t>
      </w:r>
      <w:r>
        <w:t xml:space="preserve"> </w:t>
      </w:r>
      <w:r>
        <w:t>, 和</w:t>
      </w:r>
      <w:r>
        <w:t xml:space="preserve"> </w:t>
      </w:r>
      <w:r>
        <w:t>MC-I</w:t>
      </w:r>
      <w:r>
        <w:t xml:space="preserve"> </w:t>
      </w:r>
      <w:r>
        <w:t>）仍然仅限于单分子氯离子通道。单通道测量与理论计算相结合进一步证实了脂质双层内四聚体和五聚体组装体的结构稳定性和能量偏好。总的来说，这项工作将芳香族相互作用相互作用建立为一种通用且稳健的设计原理，用于工程自适应人工通道，从而缩小了两者之间的功能差距。</w:t>
      </w:r>
    </w:p>
    <w:p>
      <w:pPr>
        <w:spacing w:before="0" w:after="200" w:lineRule="auto" w:line="276"/>
      </w:pPr>
      <w:r>
        <w:rPr>
          <w:b/>
        </w:rPr>
        <w:t xml:space="preserve">Abstract (EN): </w:t>
      </w:r>
      <w:r>
        <w:t>Biological ion channels and pores frequently exhibit dynamic, concentration‐dependent adaptive assembly, yet synthetic systems that faithfully replicate this intriguing behavior remain rare. In this study, we present a novel class of tripeptide‐appended macrocyclic ion channels that undergo aromatic interaction‐driven adaptive transformation from unimolecular chloride channels into higher‐order nanopores. At low concentrations, analogues with aromatic tripeptide‐functionalized macrocycles (</w:t>
      </w:r>
      <w:r>
        <w:t xml:space="preserve"> </w:t>
      </w:r>
      <w:r>
        <w:t>MC‐F</w:t>
      </w:r>
      <w:r>
        <w:t xml:space="preserve"> </w:t>
      </w:r>
      <w:r>
        <w:t>and</w:t>
      </w:r>
      <w:r>
        <w:t xml:space="preserve"> </w:t>
      </w:r>
      <w:r>
        <w:t>MC‐W</w:t>
      </w:r>
      <w:r>
        <w:t xml:space="preserve"> </w:t>
      </w:r>
      <w:r>
        <w:t>) function as discrete and efficient chloride channels. Upon increasing the concentration, cooperative aromatic interactions among the tripeptide side chains promote their lateral self‐assembly into stable nanopores, enabling efficient transmembrane transport of small molecules, including carboxyfluorescein and glucose. In contrast, the aliphatic analogues (</w:t>
      </w:r>
      <w:r>
        <w:t xml:space="preserve"> </w:t>
      </w:r>
      <w:r>
        <w:t>MC‐A</w:t>
      </w:r>
      <w:r>
        <w:t xml:space="preserve"> </w:t>
      </w:r>
      <w:r>
        <w:t>,</w:t>
      </w:r>
      <w:r>
        <w:t xml:space="preserve"> </w:t>
      </w:r>
      <w:r>
        <w:t>MC‐L</w:t>
      </w:r>
      <w:r>
        <w:t xml:space="preserve"> </w:t>
      </w:r>
      <w:r>
        <w:t>, and</w:t>
      </w:r>
      <w:r>
        <w:t xml:space="preserve"> </w:t>
      </w:r>
      <w:r>
        <w:t>MC‐I</w:t>
      </w:r>
      <w:r>
        <w:t xml:space="preserve"> </w:t>
      </w:r>
      <w:r>
        <w:t>) remain restricted to unimolecular chloride channels. Single‐channel measurements combined with theoretical calculations further substantiate the structural stability and energetic preference of tetrameric and pentameric assemblies within lipid bilayers. Collectively, this work establishes cooperative aromatic interactions as a versatile and robust design principle for engineering adaptive artificial channels, thereby narrowing the functional gap between synthetic systems and the dynamic regulatory behavior of natural channels.</w:t>
      </w:r>
    </w:p>
    <w:p>
      <w:pPr>
        <w:spacing w:before="120" w:after="120"/>
      </w:pPr>
      <w:r>
        <w:rPr>
          <w:sz w:val="18"/>
        </w:rPr>
        <w:t>——————————————————————————————————————————————————————————————————————</w:t>
      </w:r>
    </w:p>
    <w:p>
      <w:pPr>
        <w:spacing w:before="160" w:after="40" w:line="240" w:lineRule="auto"/>
      </w:pPr>
      <w:r>
        <w:rPr>
          <w:b/>
        </w:rPr>
        <w:t xml:space="preserve">[348] </w:t>
      </w:r>
      <w:hyperlink r:id="rId1047">
        <w:r>
          <w:rPr>
            <w:color w:val="1155CC"/>
            <w:u w:val="single"/>
          </w:rPr>
          <w:t>用于光诱导翻译后期激活的圆形光笼 mRNA</w:t>
        </w:r>
      </w:hyperlink>
    </w:p>
    <w:p>
      <w:pPr>
        <w:spacing w:before="0" w:after="80"/>
      </w:pPr>
      <w:r>
        <w:rPr>
          <w:i/>
          <w:sz w:val="20"/>
        </w:rPr>
        <w:t>EN: Circular Photocaged mRNA for Light‐induced Late‐stage Activation of Translation</w:t>
      </w:r>
    </w:p>
    <w:p>
      <w:pPr>
        <w:spacing w:before="0" w:after="120"/>
      </w:pPr>
      <w:r>
        <w:rPr>
          <w:b/>
        </w:rPr>
        <w:t xml:space="preserve">Source: </w:t>
      </w:r>
      <w:r>
        <w:t>Wiley: Angewandte Chemie International Edition: Table of Contents</w:t>
      </w:r>
      <w:r>
        <w:t xml:space="preserve">    </w:t>
      </w:r>
      <w:r>
        <w:rPr>
          <w:b/>
        </w:rPr>
        <w:t xml:space="preserve">Pub date: </w:t>
      </w:r>
      <w:r>
        <w:t>2026-07-27 12:14:27+00:00</w:t>
      </w:r>
      <w:r>
        <w:t xml:space="preserve">    </w:t>
      </w:r>
      <w:r>
        <w:rPr>
          <w:b/>
        </w:rPr>
        <w:t xml:space="preserve">DOI: </w:t>
      </w:r>
      <w:hyperlink r:id="rId1048">
        <w:r>
          <w:rPr>
            <w:color w:val="1155CC"/>
            <w:u w:val="single"/>
          </w:rPr>
          <w:t>10.1002/anie.8731921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mRNA 是一种新的疫苗医疗方式，并带来了成为蛋白质替代剂的希望。尽管在制造、稳定性和修饰方面取得了显着进步，但其短半衰期仍然是一个主要限制。环状 RNA 有可能解决这个问题，因为 mRNA 的降解主要从 5' 和 3' 端进行。然而，环状 RNA 通常缺乏 5' 帽，翻译效率较低。我们提出了一种通过点击化学共价环化 mRNA 的策略，通过使用生物正交官能团修饰 5' 帽和 3' Poly(A) 尾。由此产生的含有环状点击帽的 mRNA (CyCliCap-mRNA) 通过可光裂解的保护基团进行翻译沉默。光照射后，可光裂解的保护基团被去除，相应的线性 Cap0-mRNA 被释放。我们表明，CyCliCap-mRNA 可以在 HeLa 细胞中的后期时间点（转染后 24-48 小时）被激活以进行有效翻译，而这对于相应的线性 mRNA 来说是不可能的。光介导的开放释放带有天然 Cap0 的线性 mRNA，从而克服了环状 RNA 翻译效率低下的问题。</w:t>
      </w:r>
    </w:p>
    <w:p>
      <w:pPr>
        <w:spacing w:before="0" w:after="200" w:lineRule="auto" w:line="276"/>
      </w:pPr>
      <w:r>
        <w:rPr>
          <w:b/>
        </w:rPr>
        <w:t xml:space="preserve">Abstract (EN): </w:t>
      </w:r>
      <w:r>
        <w:t>mRNA is a new medical modality as vaccine and raises hopes to become a protein replacement agent. Despite notable advances in manufacturing, stabilization and modification, its short half‐life remains a major limitation. Circular RNA bears potential to solve this issue, as degradation of mRNA proceeds primarily from the 5′ and 3′ ends. However, circular RNAs normally lack a 5′ cap and are less efficiently translated. We present a strategy to circularize mRNA covalently via click chemistry by modifying the 5′ cap and the 3′ poly(A) tail with bioorthogonal functional groups. The resulting Cyclic Click Cap‐containing mRNA (CyCliCap‐mRNA) is translationally muted by a photocleavable protecting group. Upon irradiation by light, the photocleavable protecting group is removed and the respective linear Cap0‐mRNA released. We show that CyCliCap‐mRNA can be activated for efficient translation at late timepoints (24‐48 h post transfection) in HeLa cells, which is not possible with the respective linear mRNA. The light‐mediated opening releases linear mRNA with a native Cap0 and thus overcomes the problem of inefficient translation of circular RNAs.</w:t>
      </w:r>
    </w:p>
    <w:p>
      <w:pPr>
        <w:spacing w:before="120" w:after="120"/>
      </w:pPr>
      <w:r>
        <w:rPr>
          <w:sz w:val="18"/>
        </w:rPr>
        <w:t>——————————————————————————————————————————————————————————————————————</w:t>
      </w:r>
    </w:p>
    <w:p>
      <w:pPr>
        <w:spacing w:before="160" w:after="40" w:line="240" w:lineRule="auto"/>
      </w:pPr>
      <w:r>
        <w:rPr>
          <w:b/>
        </w:rPr>
        <w:t xml:space="preserve">[349] </w:t>
      </w:r>
      <w:hyperlink r:id="rId1049">
        <w:r>
          <w:rPr>
            <w:color w:val="1155CC"/>
            <w:u w:val="single"/>
          </w:rPr>
          <w:t>为什么有些羊毛是波浪形的</w:t>
        </w:r>
      </w:hyperlink>
    </w:p>
    <w:p>
      <w:pPr>
        <w:spacing w:before="0" w:after="80"/>
      </w:pPr>
      <w:r>
        <w:rPr>
          <w:i/>
          <w:sz w:val="20"/>
        </w:rPr>
        <w:t>EN: Why some wool is wavy</w:t>
      </w:r>
    </w:p>
    <w:p>
      <w:pPr>
        <w:spacing w:before="0" w:after="120"/>
      </w:pPr>
      <w:r>
        <w:rPr>
          <w:b/>
        </w:rPr>
        <w:t xml:space="preserve">Source: </w:t>
      </w:r>
      <w:r>
        <w:t>Nature</w:t>
      </w:r>
      <w:r>
        <w:t xml:space="preserve">    </w:t>
      </w:r>
      <w:r>
        <w:rPr>
          <w:b/>
        </w:rPr>
        <w:t xml:space="preserve">Pub date: </w:t>
      </w:r>
      <w:r>
        <w:t>2026-07-28 00:00:00+00:00</w:t>
      </w:r>
      <w:r>
        <w:t xml:space="preserve">    </w:t>
      </w:r>
      <w:r>
        <w:rPr>
          <w:b/>
        </w:rPr>
        <w:t xml:space="preserve">DOI: </w:t>
      </w:r>
      <w:hyperlink r:id="rId1050">
        <w:r>
          <w:rPr>
            <w:color w:val="1155CC"/>
            <w:u w:val="single"/>
          </w:rPr>
          <w:t>10.1038/d41586-026-02104-4</w:t>
        </w:r>
      </w:hyperlink>
    </w:p>
    <w:p>
      <w:pPr>
        <w:spacing w:before="0" w:after="120"/>
      </w:pPr>
      <w:r>
        <w:rPr>
          <w:b/>
        </w:rPr>
        <w:t xml:space="preserve">Notes: </w:t>
      </w:r>
      <w:r>
        <w:t>abstract_source=rss_nature</w:t>
      </w:r>
    </w:p>
    <w:p>
      <w:pPr>
        <w:spacing w:before="0" w:after="80" w:lineRule="auto" w:line="276"/>
      </w:pPr>
      <w:r>
        <w:rPr>
          <w:b/>
        </w:rPr>
        <w:t xml:space="preserve">摘要（ZH）: </w:t>
      </w:r>
      <w:r>
        <w:t>羊皮上的卷曲是如何形成的，以及“电离层”这个词的历史，本周摘自《自然》档案。</w:t>
      </w:r>
    </w:p>
    <w:p>
      <w:pPr>
        <w:spacing w:before="0" w:after="200" w:lineRule="auto" w:line="276"/>
      </w:pPr>
      <w:r>
        <w:rPr>
          <w:b/>
        </w:rPr>
        <w:t xml:space="preserve">Abstract (EN): </w:t>
      </w:r>
      <w:r>
        <w:t>How crimps form in the coats of sheep, and the history of the word ‘ionosphere’, in this week’s pick from the Nature archive.</w:t>
      </w:r>
    </w:p>
    <w:p>
      <w:pPr>
        <w:spacing w:before="120" w:after="120"/>
      </w:pPr>
      <w:r>
        <w:rPr>
          <w:sz w:val="18"/>
        </w:rPr>
        <w:t>——————————————————————————————————————————————————————————————————————</w:t>
      </w:r>
    </w:p>
    <w:p>
      <w:pPr>
        <w:spacing w:before="160" w:after="40" w:line="240" w:lineRule="auto"/>
      </w:pPr>
      <w:r>
        <w:rPr>
          <w:b/>
        </w:rPr>
        <w:t xml:space="preserve">[350] </w:t>
      </w:r>
      <w:hyperlink r:id="rId1051">
        <w:r>
          <w:rPr>
            <w:color w:val="1155CC"/>
            <w:u w:val="single"/>
          </w:rPr>
          <w:t>三叠纪末期，野火横扫欧洲</w:t>
        </w:r>
      </w:hyperlink>
    </w:p>
    <w:p>
      <w:pPr>
        <w:spacing w:before="0" w:after="80"/>
      </w:pPr>
      <w:r>
        <w:rPr>
          <w:i/>
          <w:sz w:val="20"/>
        </w:rPr>
        <w:t>EN: Wildfires rampaged across Europe in the dying days of the Triassic</w:t>
      </w:r>
    </w:p>
    <w:p>
      <w:pPr>
        <w:spacing w:before="0" w:after="120"/>
      </w:pPr>
      <w:r>
        <w:rPr>
          <w:b/>
        </w:rPr>
        <w:t xml:space="preserve">Source: </w:t>
      </w:r>
      <w:r>
        <w:t>Nature</w:t>
      </w:r>
      <w:r>
        <w:t xml:space="preserve">    </w:t>
      </w:r>
      <w:r>
        <w:rPr>
          <w:b/>
        </w:rPr>
        <w:t xml:space="preserve">Pub date: </w:t>
      </w:r>
      <w:r>
        <w:t>2026-07-28 00:00:00+00:00</w:t>
      </w:r>
      <w:r>
        <w:t xml:space="preserve">    </w:t>
      </w:r>
      <w:r>
        <w:rPr>
          <w:b/>
        </w:rPr>
        <w:t xml:space="preserve">DOI: </w:t>
      </w:r>
      <w:hyperlink r:id="rId1052">
        <w:r>
          <w:rPr>
            <w:color w:val="1155CC"/>
            <w:u w:val="single"/>
          </w:rPr>
          <w:t>10.1038/d41586-026-02333-7</w:t>
        </w:r>
      </w:hyperlink>
    </w:p>
    <w:p>
      <w:pPr>
        <w:spacing w:before="0" w:after="120"/>
      </w:pPr>
      <w:r>
        <w:rPr>
          <w:b/>
        </w:rPr>
        <w:t xml:space="preserve">Notes: </w:t>
      </w:r>
      <w:r>
        <w:t>abstract_source=rss_nature</w:t>
      </w:r>
    </w:p>
    <w:p>
      <w:pPr>
        <w:spacing w:before="0" w:after="80" w:lineRule="auto" w:line="276"/>
      </w:pPr>
      <w:r>
        <w:rPr>
          <w:b/>
        </w:rPr>
        <w:t xml:space="preserve">摘要（ZH）: </w:t>
      </w:r>
      <w:r>
        <w:t>在陆地和海洋动物大规模灭绝期间，地狱肆虐了大陆上大片的蕨类植物。</w:t>
      </w:r>
    </w:p>
    <w:p>
      <w:pPr>
        <w:spacing w:before="0" w:after="200" w:lineRule="auto" w:line="276"/>
      </w:pPr>
      <w:r>
        <w:rPr>
          <w:b/>
        </w:rPr>
        <w:t xml:space="preserve">Abstract (EN): </w:t>
      </w:r>
      <w:r>
        <w:t>Infernos ravaged continental expanses of ferns during mass extinction of land and sea animals.</w:t>
      </w:r>
    </w:p>
    <w:p>
      <w:pPr>
        <w:spacing w:before="120" w:after="120"/>
      </w:pPr>
      <w:r>
        <w:rPr>
          <w:sz w:val="18"/>
        </w:rPr>
        <w:t>——————————————————————————————————————————————————————————————————————</w:t>
      </w:r>
    </w:p>
    <w:p>
      <w:pPr>
        <w:spacing w:before="160" w:after="40" w:line="240" w:lineRule="auto"/>
      </w:pPr>
      <w:r>
        <w:rPr>
          <w:b/>
        </w:rPr>
        <w:t xml:space="preserve">[351] </w:t>
      </w:r>
      <w:hyperlink r:id="rId1053">
        <w:r>
          <w:rPr>
            <w:color w:val="1155CC"/>
            <w:u w:val="single"/>
          </w:rPr>
          <w:t>对话式人工智能：将商业激励与公共利益结合起来</w:t>
        </w:r>
      </w:hyperlink>
    </w:p>
    <w:p>
      <w:pPr>
        <w:spacing w:before="0" w:after="80"/>
      </w:pPr>
      <w:r>
        <w:rPr>
          <w:i/>
          <w:sz w:val="20"/>
        </w:rPr>
        <w:t>EN: Conversational AI: align commercial incentives with public interests</w:t>
      </w:r>
    </w:p>
    <w:p>
      <w:pPr>
        <w:spacing w:before="0" w:after="120"/>
      </w:pPr>
      <w:r>
        <w:rPr>
          <w:b/>
        </w:rPr>
        <w:t xml:space="preserve">Source: </w:t>
      </w:r>
      <w:r>
        <w:t>Nature</w:t>
      </w:r>
      <w:r>
        <w:t xml:space="preserve">    </w:t>
      </w:r>
      <w:r>
        <w:rPr>
          <w:b/>
        </w:rPr>
        <w:t xml:space="preserve">Pub date: </w:t>
      </w:r>
      <w:r>
        <w:t>2026-07-28 00:00:00+00:00</w:t>
      </w:r>
      <w:r>
        <w:t xml:space="preserve">    </w:t>
      </w:r>
      <w:r>
        <w:rPr>
          <w:b/>
        </w:rPr>
        <w:t xml:space="preserve">DOI: </w:t>
      </w:r>
      <w:hyperlink r:id="rId1054">
        <w:r>
          <w:rPr>
            <w:color w:val="1155CC"/>
            <w:u w:val="single"/>
          </w:rPr>
          <w:t>10.1038/d41586-026-02348-0</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[352] </w:t>
      </w:r>
      <w:hyperlink r:id="rId1055">
        <w:r>
          <w:rPr>
            <w:color w:val="1155CC"/>
            <w:u w:val="single"/>
          </w:rPr>
          <w:t>生育诊所正在通过有争议的生育技术提供年轻线粒体</w:t>
        </w:r>
      </w:hyperlink>
    </w:p>
    <w:p>
      <w:pPr>
        <w:spacing w:before="0" w:after="80"/>
      </w:pPr>
      <w:r>
        <w:rPr>
          <w:i/>
          <w:sz w:val="20"/>
        </w:rPr>
        <w:t>EN: Fertility clinics are offering young mitochondria in controversial fertility technique</w:t>
      </w:r>
    </w:p>
    <w:p>
      <w:pPr>
        <w:spacing w:before="0" w:after="120"/>
      </w:pPr>
      <w:r>
        <w:rPr>
          <w:b/>
        </w:rPr>
        <w:t xml:space="preserve">Source: </w:t>
      </w:r>
      <w:r>
        <w:t>Nature</w:t>
      </w:r>
      <w:r>
        <w:t xml:space="preserve">    </w:t>
      </w:r>
      <w:r>
        <w:rPr>
          <w:b/>
        </w:rPr>
        <w:t xml:space="preserve">Pub date: </w:t>
      </w:r>
      <w:r>
        <w:t>2026-07-28 00:00:00+00:00</w:t>
      </w:r>
      <w:r>
        <w:t xml:space="preserve">    </w:t>
      </w:r>
      <w:r>
        <w:rPr>
          <w:b/>
        </w:rPr>
        <w:t xml:space="preserve">DOI: </w:t>
      </w:r>
      <w:hyperlink r:id="rId1056">
        <w:r>
          <w:rPr>
            <w:color w:val="1155CC"/>
            <w:u w:val="single"/>
          </w:rPr>
          <w:t>10.1038/d41586-026-01935-5</w:t>
        </w:r>
      </w:hyperlink>
    </w:p>
    <w:p>
      <w:pPr>
        <w:spacing w:before="0" w:after="120"/>
      </w:pPr>
      <w:r>
        <w:rPr>
          <w:b/>
        </w:rPr>
        <w:t xml:space="preserve">Notes: </w:t>
      </w:r>
      <w:r>
        <w:t>abstract_source=rss_nature</w:t>
      </w:r>
    </w:p>
    <w:p>
      <w:pPr>
        <w:spacing w:before="0" w:after="80" w:lineRule="auto" w:line="276"/>
      </w:pPr>
      <w:r>
        <w:rPr>
          <w:b/>
        </w:rPr>
        <w:t xml:space="preserve">摘要（ZH）: </w:t>
      </w:r>
      <w:r>
        <w:t>研究人员感到震惊的是，世界各地的诊所都在宣传这种未经严格研究的手术。</w:t>
      </w:r>
    </w:p>
    <w:p>
      <w:pPr>
        <w:spacing w:before="0" w:after="200" w:lineRule="auto" w:line="276"/>
      </w:pPr>
      <w:r>
        <w:rPr>
          <w:b/>
        </w:rPr>
        <w:t xml:space="preserve">Abstract (EN): </w:t>
      </w:r>
      <w:r>
        <w:t>Researchers are alarmed that the procedure, which has not been rigorously studied, is being advertised by clinics around the world.</w:t>
      </w:r>
    </w:p>
    <w:p>
      <w:pPr>
        <w:spacing w:before="120" w:after="120"/>
      </w:pPr>
      <w:r>
        <w:rPr>
          <w:sz w:val="18"/>
        </w:rPr>
        <w:t>——————————————————————————————————————————————————————————————————————</w:t>
      </w:r>
    </w:p>
    <w:p>
      <w:pPr>
        <w:spacing w:before="160" w:after="40" w:line="240" w:lineRule="auto"/>
      </w:pPr>
      <w:r>
        <w:rPr>
          <w:b/>
        </w:rPr>
        <w:t xml:space="preserve">[353] </w:t>
      </w:r>
      <w:hyperlink r:id="rId1057">
        <w:r>
          <w:rPr>
            <w:color w:val="1155CC"/>
            <w:u w:val="single"/>
          </w:rPr>
          <w:t>皮肤癌在淡水湖中的鲶鱼之间传播</w:t>
        </w:r>
      </w:hyperlink>
    </w:p>
    <w:p>
      <w:pPr>
        <w:spacing w:before="0" w:after="80"/>
      </w:pPr>
      <w:r>
        <w:rPr>
          <w:i/>
          <w:sz w:val="20"/>
        </w:rPr>
        <w:t>EN: Skin cancer spreads between catfish in a freshwater lake</w:t>
      </w:r>
    </w:p>
    <w:p>
      <w:pPr>
        <w:spacing w:before="0" w:after="120"/>
      </w:pPr>
      <w:r>
        <w:rPr>
          <w:b/>
        </w:rPr>
        <w:t xml:space="preserve">Source: </w:t>
      </w:r>
      <w:r>
        <w:t>Nature</w:t>
      </w:r>
      <w:r>
        <w:t xml:space="preserve">    </w:t>
      </w:r>
      <w:r>
        <w:rPr>
          <w:b/>
        </w:rPr>
        <w:t xml:space="preserve">Pub date: </w:t>
      </w:r>
      <w:r>
        <w:t>2026-07-28 00:00:00+00:00</w:t>
      </w:r>
      <w:r>
        <w:t xml:space="preserve">    </w:t>
      </w:r>
      <w:r>
        <w:rPr>
          <w:b/>
        </w:rPr>
        <w:t xml:space="preserve">DOI: </w:t>
      </w:r>
      <w:hyperlink r:id="rId1058">
        <w:r>
          <w:rPr>
            <w:color w:val="1155CC"/>
            <w:u w:val="single"/>
          </w:rPr>
          <w:t>10.1038/d41586-026-02287-w</w:t>
        </w:r>
      </w:hyperlink>
    </w:p>
    <w:p>
      <w:pPr>
        <w:spacing w:before="0" w:after="120"/>
      </w:pPr>
      <w:r>
        <w:rPr>
          <w:b/>
        </w:rPr>
        <w:t xml:space="preserve">Notes: </w:t>
      </w:r>
      <w:r>
        <w:t>abstract_source=rss_nature</w:t>
      </w:r>
    </w:p>
    <w:p>
      <w:pPr>
        <w:spacing w:before="0" w:after="80" w:lineRule="auto" w:line="276"/>
      </w:pPr>
      <w:r>
        <w:rPr>
          <w:b/>
        </w:rPr>
        <w:t xml:space="preserve">摘要（ZH）: </w:t>
      </w:r>
      <w:r>
        <w:t>在淡水鲶鱼中发现传染性黑色素瘤，引发了人们对该疾病的起源、传播方式以及对该物种更广泛影响的疑问。</w:t>
      </w:r>
    </w:p>
    <w:p>
      <w:pPr>
        <w:spacing w:before="0" w:after="200" w:lineRule="auto" w:line="276"/>
      </w:pPr>
      <w:r>
        <w:rPr>
          <w:b/>
        </w:rPr>
        <w:t xml:space="preserve">Abstract (EN): </w:t>
      </w:r>
      <w:r>
        <w:t>The discovery of a transmissible melanoma in a freshwater catfish raises questions about the disease’s origin, mode of transmission and broader impact on the species.</w:t>
      </w:r>
    </w:p>
    <w:p>
      <w:pPr>
        <w:spacing w:before="120" w:after="120"/>
      </w:pPr>
      <w:r>
        <w:rPr>
          <w:sz w:val="18"/>
        </w:rPr>
        <w:t>——————————————————————————————————————————————————————————————————————</w:t>
      </w:r>
    </w:p>
    <w:p>
      <w:pPr>
        <w:spacing w:before="160" w:after="40" w:line="240" w:lineRule="auto"/>
      </w:pPr>
      <w:r>
        <w:rPr>
          <w:b/>
        </w:rPr>
        <w:t xml:space="preserve">[354] </w:t>
      </w:r>
      <w:hyperlink r:id="rId1059">
        <w:r>
          <w:rPr>
            <w:color w:val="1155CC"/>
            <w:u w:val="single"/>
          </w:rPr>
          <w:t>首次飞越巨大“火云”的任务即将起飞</w:t>
        </w:r>
      </w:hyperlink>
    </w:p>
    <w:p>
      <w:pPr>
        <w:spacing w:before="0" w:after="80"/>
      </w:pPr>
      <w:r>
        <w:rPr>
          <w:i/>
          <w:sz w:val="20"/>
        </w:rPr>
        <w:t>EN: First mission to fly through monstrous ‘fire clouds’ is about to take off</w:t>
      </w:r>
    </w:p>
    <w:p>
      <w:pPr>
        <w:spacing w:before="0" w:after="120"/>
      </w:pPr>
      <w:r>
        <w:rPr>
          <w:b/>
        </w:rPr>
        <w:t xml:space="preserve">Source: </w:t>
      </w:r>
      <w:r>
        <w:t>Nature</w:t>
      </w:r>
      <w:r>
        <w:t xml:space="preserve">    </w:t>
      </w:r>
      <w:r>
        <w:rPr>
          <w:b/>
        </w:rPr>
        <w:t xml:space="preserve">Pub date: </w:t>
      </w:r>
      <w:r>
        <w:t>2026-07-28 00:00:00+00:00</w:t>
      </w:r>
      <w:r>
        <w:t xml:space="preserve">    </w:t>
      </w:r>
      <w:r>
        <w:rPr>
          <w:b/>
        </w:rPr>
        <w:t xml:space="preserve">DOI: </w:t>
      </w:r>
      <w:hyperlink r:id="rId1060">
        <w:r>
          <w:rPr>
            <w:color w:val="1155CC"/>
            <w:u w:val="single"/>
          </w:rPr>
          <w:t>10.1038/d41586-026-02351-5</w:t>
        </w:r>
      </w:hyperlink>
    </w:p>
    <w:p>
      <w:pPr>
        <w:spacing w:before="0" w:after="120"/>
      </w:pPr>
      <w:r>
        <w:rPr>
          <w:b/>
        </w:rPr>
        <w:t xml:space="preserve">Notes: </w:t>
      </w:r>
      <w:r>
        <w:t>abstract_source=rss_nature</w:t>
      </w:r>
    </w:p>
    <w:p>
      <w:pPr>
        <w:spacing w:before="0" w:after="80" w:lineRule="auto" w:line="276"/>
      </w:pPr>
      <w:r>
        <w:rPr>
          <w:b/>
        </w:rPr>
        <w:t xml:space="preserve">摘要（ZH）: </w:t>
      </w:r>
      <w:r>
        <w:t>法国和俄勒冈州严重野火上空出现的高耸山火，烟雾如此之高，对全球造成了影响。</w:t>
      </w:r>
    </w:p>
    <w:p>
      <w:pPr>
        <w:spacing w:before="0" w:after="200" w:lineRule="auto" w:line="276"/>
      </w:pPr>
      <w:r>
        <w:rPr>
          <w:b/>
        </w:rPr>
        <w:t xml:space="preserve">Abstract (EN): </w:t>
      </w:r>
      <w:r>
        <w:t>The towering formations appearing over severe wildfires in France and Oregon loft smoke so high they have global consequences.</w:t>
      </w:r>
    </w:p>
    <w:p>
      <w:pPr>
        <w:spacing w:before="120" w:after="120"/>
      </w:pPr>
      <w:r>
        <w:rPr>
          <w:sz w:val="18"/>
        </w:rPr>
        <w:t>——————————————————————————————————————————————————————————————————————</w:t>
      </w:r>
    </w:p>
    <w:p>
      <w:pPr>
        <w:spacing w:before="160" w:after="40" w:line="240" w:lineRule="auto"/>
      </w:pPr>
      <w:r>
        <w:rPr>
          <w:b/>
        </w:rPr>
        <w:t xml:space="preserve">[355] </w:t>
      </w:r>
      <w:hyperlink r:id="rId1061">
        <w:r>
          <w:rPr>
            <w:color w:val="1155CC"/>
            <w:u w:val="single"/>
          </w:rPr>
          <w:t>第一位志愿者接种埃博拉疫苗——疫情爆发三个月后</w:t>
        </w:r>
      </w:hyperlink>
    </w:p>
    <w:p>
      <w:pPr>
        <w:spacing w:before="0" w:after="80"/>
      </w:pPr>
      <w:r>
        <w:rPr>
          <w:i/>
          <w:sz w:val="20"/>
        </w:rPr>
        <w:t>EN: First volunteer gets Ebola vaccine — three months after the outbreak began</w:t>
      </w:r>
    </w:p>
    <w:p>
      <w:pPr>
        <w:spacing w:before="0" w:after="120"/>
      </w:pPr>
      <w:r>
        <w:rPr>
          <w:b/>
        </w:rPr>
        <w:t xml:space="preserve">Source: </w:t>
      </w:r>
      <w:r>
        <w:t>Nature</w:t>
      </w:r>
      <w:r>
        <w:t xml:space="preserve">    </w:t>
      </w:r>
      <w:r>
        <w:rPr>
          <w:b/>
        </w:rPr>
        <w:t xml:space="preserve">Pub date: </w:t>
      </w:r>
      <w:r>
        <w:t>2026-07-28 00:00:00+00:00</w:t>
      </w:r>
      <w:r>
        <w:t xml:space="preserve">    </w:t>
      </w:r>
      <w:r>
        <w:rPr>
          <w:b/>
        </w:rPr>
        <w:t xml:space="preserve">DOI: </w:t>
      </w:r>
      <w:hyperlink r:id="rId1062">
        <w:r>
          <w:rPr>
            <w:color w:val="1155CC"/>
            <w:u w:val="single"/>
          </w:rPr>
          <w:t>10.1038/d41586-026-02278-x</w:t>
        </w:r>
      </w:hyperlink>
    </w:p>
    <w:p>
      <w:pPr>
        <w:spacing w:before="0" w:after="120"/>
      </w:pPr>
      <w:r>
        <w:rPr>
          <w:b/>
        </w:rPr>
        <w:t xml:space="preserve">Notes: </w:t>
      </w:r>
      <w:r>
        <w:t>abstract_source=rss_nature</w:t>
      </w:r>
    </w:p>
    <w:p>
      <w:pPr>
        <w:spacing w:before="0" w:after="80" w:lineRule="auto" w:line="276"/>
      </w:pPr>
      <w:r>
        <w:rPr>
          <w:b/>
        </w:rPr>
        <w:t xml:space="preserve">摘要（ZH）: </w:t>
      </w:r>
      <w:r>
        <w:t>牛津大学已经为其第一位临床试验参与者接种了疫苗。该研究的首席科学家特雷莎·兰贝 (Teresa Lambe) 向《自然》杂志讲述了该团队为何能够进展得如此之快。</w:t>
      </w:r>
    </w:p>
    <w:p>
      <w:pPr>
        <w:spacing w:before="0" w:after="200" w:lineRule="auto" w:line="276"/>
      </w:pPr>
      <w:r>
        <w:rPr>
          <w:b/>
        </w:rPr>
        <w:t xml:space="preserve">Abstract (EN): </w:t>
      </w:r>
      <w:r>
        <w:t>The University of Oxford has already vaccinated its first clinical-trial participant. The study’s lead scientist, Teresa Lambe, tells Nature how the team was able to move so fast.</w:t>
      </w:r>
    </w:p>
    <w:p>
      <w:pPr>
        <w:spacing w:before="120" w:after="120"/>
      </w:pPr>
      <w:r>
        <w:rPr>
          <w:sz w:val="18"/>
        </w:rPr>
        <w:t>——————————————————————————————————————————————————————————————————————</w:t>
      </w:r>
    </w:p>
    <w:p>
      <w:pPr>
        <w:spacing w:before="160" w:after="40" w:line="240" w:lineRule="auto"/>
      </w:pPr>
      <w:r>
        <w:rPr>
          <w:b/>
        </w:rPr>
        <w:t xml:space="preserve">[356] </w:t>
      </w:r>
      <w:hyperlink r:id="rId1063">
        <w:r>
          <w:rPr>
            <w:color w:val="1155CC"/>
            <w:u w:val="single"/>
          </w:rPr>
          <w:t>每日简报：为什么所有活细胞都会发出微弱的光芒</w:t>
        </w:r>
      </w:hyperlink>
    </w:p>
    <w:p>
      <w:pPr>
        <w:spacing w:before="0" w:after="80"/>
      </w:pPr>
      <w:r>
        <w:rPr>
          <w:i/>
          <w:sz w:val="20"/>
        </w:rPr>
        <w:t>EN: Daily briefing: Why all living cells emit a faint glow</w:t>
      </w:r>
    </w:p>
    <w:p>
      <w:pPr>
        <w:spacing w:before="0" w:after="120"/>
      </w:pPr>
      <w:r>
        <w:rPr>
          <w:b/>
        </w:rPr>
        <w:t xml:space="preserve">Source: </w:t>
      </w:r>
      <w:r>
        <w:t>Nature</w:t>
      </w:r>
      <w:r>
        <w:t xml:space="preserve">    </w:t>
      </w:r>
      <w:r>
        <w:rPr>
          <w:b/>
        </w:rPr>
        <w:t xml:space="preserve">Pub date: </w:t>
      </w:r>
      <w:r>
        <w:t>2026-07-28 00:00:00+00:00</w:t>
      </w:r>
      <w:r>
        <w:t xml:space="preserve">    </w:t>
      </w:r>
      <w:r>
        <w:rPr>
          <w:b/>
        </w:rPr>
        <w:t xml:space="preserve">DOI: </w:t>
      </w:r>
      <w:hyperlink r:id="rId1064">
        <w:r>
          <w:rPr>
            <w:color w:val="1155CC"/>
            <w:u w:val="single"/>
          </w:rPr>
          <w:t>10.1038/d41586-026-02363-1</w:t>
        </w:r>
      </w:hyperlink>
    </w:p>
    <w:p>
      <w:pPr>
        <w:spacing w:before="0" w:after="120"/>
      </w:pPr>
      <w:r>
        <w:rPr>
          <w:b/>
        </w:rPr>
        <w:t xml:space="preserve">Notes: </w:t>
      </w:r>
      <w:r>
        <w:t>abstract_source=rss_nature</w:t>
      </w:r>
    </w:p>
    <w:p>
      <w:pPr>
        <w:spacing w:before="0" w:after="80" w:lineRule="auto" w:line="276"/>
      </w:pPr>
      <w:r>
        <w:rPr>
          <w:b/>
        </w:rPr>
        <w:t xml:space="preserve">摘要（ZH）: </w:t>
      </w:r>
      <w:r>
        <w:t>“生物光子”的发射可能是细胞与其邻居进行交流的方式。另外，大脑中的一个“计时器”可以跟踪睡眠，以及当医生和人工智能一起工作时谁负责。</w:t>
      </w:r>
    </w:p>
    <w:p>
      <w:pPr>
        <w:spacing w:before="0" w:after="200" w:lineRule="auto" w:line="276"/>
      </w:pPr>
      <w:r>
        <w:rPr>
          <w:b/>
        </w:rPr>
        <w:t xml:space="preserve">Abstract (EN): </w:t>
      </w:r>
      <w:r>
        <w:t>The emission of ‘biophotons’ could be a cell’s way of communicating with its neighbours. Plus, a ‘timer’ in the brain that tracks sleep and who is accountable when physicians and AI work together.</w:t>
      </w:r>
    </w:p>
    <w:p>
      <w:pPr>
        <w:spacing w:before="120" w:after="120"/>
      </w:pPr>
      <w:r>
        <w:rPr>
          <w:sz w:val="18"/>
        </w:rPr>
        <w:t>——————————————————————————————————————————————————————————————————————</w:t>
      </w:r>
    </w:p>
    <w:p>
      <w:pPr>
        <w:spacing w:before="160" w:after="40" w:line="240" w:lineRule="auto"/>
      </w:pPr>
      <w:r>
        <w:rPr>
          <w:b/>
        </w:rPr>
        <w:t xml:space="preserve">[357] </w:t>
      </w:r>
      <w:hyperlink r:id="rId1065">
        <w:r>
          <w:rPr>
            <w:color w:val="1155CC"/>
            <w:u w:val="single"/>
          </w:rPr>
          <w:t>使用人工智能，但不要掩盖它</w:t>
        </w:r>
      </w:hyperlink>
    </w:p>
    <w:p>
      <w:pPr>
        <w:spacing w:before="0" w:after="80"/>
      </w:pPr>
      <w:r>
        <w:rPr>
          <w:i/>
          <w:sz w:val="20"/>
        </w:rPr>
        <w:t>EN: Use AI, but don’t mask it</w:t>
      </w:r>
    </w:p>
    <w:p>
      <w:pPr>
        <w:spacing w:before="0" w:after="120"/>
      </w:pPr>
      <w:r>
        <w:rPr>
          <w:b/>
        </w:rPr>
        <w:t xml:space="preserve">Source: </w:t>
      </w:r>
      <w:r>
        <w:t>Nature</w:t>
      </w:r>
      <w:r>
        <w:t xml:space="preserve">    </w:t>
      </w:r>
      <w:r>
        <w:rPr>
          <w:b/>
        </w:rPr>
        <w:t xml:space="preserve">Pub date: </w:t>
      </w:r>
      <w:r>
        <w:t>2026-07-28 00:00:00+00:00</w:t>
      </w:r>
      <w:r>
        <w:t xml:space="preserve">    </w:t>
      </w:r>
      <w:r>
        <w:rPr>
          <w:b/>
        </w:rPr>
        <w:t xml:space="preserve">DOI: </w:t>
      </w:r>
      <w:hyperlink r:id="rId1066">
        <w:r>
          <w:rPr>
            <w:color w:val="1155CC"/>
            <w:u w:val="single"/>
          </w:rPr>
          <w:t>10.1038/d41586-026-02347-1</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[358] </w:t>
      </w:r>
      <w:hyperlink r:id="rId1067">
        <w:r>
          <w:rPr>
            <w:color w:val="1155CC"/>
            <w:u w:val="single"/>
          </w:rPr>
          <w:t>医疗人工智能存在测量问题</w:t>
        </w:r>
      </w:hyperlink>
    </w:p>
    <w:p>
      <w:pPr>
        <w:spacing w:before="0" w:after="80"/>
      </w:pPr>
      <w:r>
        <w:rPr>
          <w:i/>
          <w:sz w:val="20"/>
        </w:rPr>
        <w:t>EN: Medical AI has a measurement problem</w:t>
      </w:r>
    </w:p>
    <w:p>
      <w:pPr>
        <w:spacing w:before="0" w:after="120"/>
      </w:pPr>
      <w:r>
        <w:rPr>
          <w:b/>
        </w:rPr>
        <w:t xml:space="preserve">Source: </w:t>
      </w:r>
      <w:r>
        <w:t>Nature</w:t>
      </w:r>
      <w:r>
        <w:t xml:space="preserve">    </w:t>
      </w:r>
      <w:r>
        <w:rPr>
          <w:b/>
        </w:rPr>
        <w:t xml:space="preserve">Pub date: </w:t>
      </w:r>
      <w:r>
        <w:t>2026-07-28 00:00:00+00:00</w:t>
      </w:r>
      <w:r>
        <w:t xml:space="preserve">    </w:t>
      </w:r>
      <w:r>
        <w:rPr>
          <w:b/>
        </w:rPr>
        <w:t xml:space="preserve">DOI: </w:t>
      </w:r>
      <w:hyperlink r:id="rId1068">
        <w:r>
          <w:rPr>
            <w:color w:val="1155CC"/>
            <w:u w:val="single"/>
          </w:rPr>
          <w:t>10.1038/d41586-026-02125-z</w:t>
        </w:r>
      </w:hyperlink>
    </w:p>
    <w:p>
      <w:pPr>
        <w:spacing w:before="0" w:after="120"/>
      </w:pPr>
      <w:r>
        <w:rPr>
          <w:b/>
        </w:rPr>
        <w:t xml:space="preserve">Notes: </w:t>
      </w:r>
      <w:r>
        <w:t>abstract_source=rss_nature</w:t>
      </w:r>
    </w:p>
    <w:p>
      <w:pPr>
        <w:spacing w:before="0" w:after="80" w:lineRule="auto" w:line="276"/>
      </w:pPr>
      <w:r>
        <w:rPr>
          <w:b/>
        </w:rPr>
        <w:t xml:space="preserve">摘要（ZH）: </w:t>
      </w:r>
      <w:r>
        <w:t>两名医疗人工智能助手的开发凸显了一个令人不安的挑战：随着技术的飞速发展，评估有效方法的最佳方法是什么？</w:t>
      </w:r>
    </w:p>
    <w:p>
      <w:pPr>
        <w:spacing w:before="0" w:after="200" w:lineRule="auto" w:line="276"/>
      </w:pPr>
      <w:r>
        <w:rPr>
          <w:b/>
        </w:rPr>
        <w:t xml:space="preserve">Abstract (EN): </w:t>
      </w:r>
      <w:r>
        <w:t>The development of two medical AI assistants highlights an unnerving challenge: as the technology races ahead, what is the best way to evaluate what works?</w:t>
      </w:r>
    </w:p>
    <w:p>
      <w:pPr>
        <w:spacing w:before="120" w:after="120"/>
      </w:pPr>
      <w:r>
        <w:rPr>
          <w:sz w:val="18"/>
        </w:rPr>
        <w:t>——————————————————————————————————————————————————————————————————————</w:t>
      </w:r>
    </w:p>
    <w:p>
      <w:pPr>
        <w:spacing w:before="160" w:after="40" w:line="240" w:lineRule="auto"/>
      </w:pPr>
      <w:r>
        <w:rPr>
          <w:b/>
        </w:rPr>
        <w:t xml:space="preserve">[359] </w:t>
      </w:r>
      <w:hyperlink r:id="rId1069">
        <w:r>
          <w:rPr>
            <w:color w:val="1155CC"/>
            <w:u w:val="single"/>
          </w:rPr>
          <w:t>所有生物都发出微弱的光芒。这灯有用吗？</w:t>
        </w:r>
      </w:hyperlink>
    </w:p>
    <w:p>
      <w:pPr>
        <w:spacing w:before="0" w:after="80"/>
      </w:pPr>
      <w:r>
        <w:rPr>
          <w:i/>
          <w:sz w:val="20"/>
        </w:rPr>
        <w:t>EN: All living things emit a faint glow. Could this light be useful?</w:t>
      </w:r>
    </w:p>
    <w:p>
      <w:pPr>
        <w:spacing w:before="0" w:after="120"/>
      </w:pPr>
      <w:r>
        <w:rPr>
          <w:b/>
        </w:rPr>
        <w:t xml:space="preserve">Source: </w:t>
      </w:r>
      <w:r>
        <w:t>Nature</w:t>
      </w:r>
      <w:r>
        <w:t xml:space="preserve">    </w:t>
      </w:r>
      <w:r>
        <w:rPr>
          <w:b/>
        </w:rPr>
        <w:t xml:space="preserve">Pub date: </w:t>
      </w:r>
      <w:r>
        <w:t>2026-07-28 00:00:00+00:00</w:t>
      </w:r>
      <w:r>
        <w:t xml:space="preserve">    </w:t>
      </w:r>
      <w:r>
        <w:rPr>
          <w:b/>
        </w:rPr>
        <w:t xml:space="preserve">DOI: </w:t>
      </w:r>
      <w:hyperlink r:id="rId1070">
        <w:r>
          <w:rPr>
            <w:color w:val="1155CC"/>
            <w:u w:val="single"/>
          </w:rPr>
          <w:t>10.1038/d41586-026-02311-z</w:t>
        </w:r>
      </w:hyperlink>
    </w:p>
    <w:p>
      <w:pPr>
        <w:spacing w:before="0" w:after="120"/>
      </w:pPr>
      <w:r>
        <w:rPr>
          <w:b/>
        </w:rPr>
        <w:t xml:space="preserve">Notes: </w:t>
      </w:r>
      <w:r>
        <w:t>abstract_source=rss_nature</w:t>
      </w:r>
    </w:p>
    <w:p>
      <w:pPr>
        <w:spacing w:before="0" w:after="80" w:lineRule="auto" w:line="276"/>
      </w:pPr>
      <w:r>
        <w:rPr>
          <w:b/>
        </w:rPr>
        <w:t xml:space="preserve">摘要（ZH）: </w:t>
      </w:r>
      <w:r>
        <w:t>超弱的“生物光子”可以用来诊断疾病，甚至可以代表细胞中的一种新的信号机制。</w:t>
      </w:r>
    </w:p>
    <w:p>
      <w:pPr>
        <w:spacing w:before="0" w:after="200" w:lineRule="auto" w:line="276"/>
      </w:pPr>
      <w:r>
        <w:rPr>
          <w:b/>
        </w:rPr>
        <w:t xml:space="preserve">Abstract (EN): </w:t>
      </w:r>
      <w:r>
        <w:t>Ultra-weak ‘biophotons’ might be used to diagnose disease, or could even represent a new signalling mechanism in cells.</w:t>
      </w:r>
    </w:p>
    <w:p>
      <w:pPr>
        <w:spacing w:before="120" w:after="120"/>
      </w:pPr>
      <w:r>
        <w:rPr>
          <w:sz w:val="18"/>
        </w:rPr>
        <w:t>——————————————————————————————————————————————————————————————————————</w:t>
      </w:r>
    </w:p>
    <w:p>
      <w:pPr>
        <w:spacing w:before="160" w:after="40" w:line="240" w:lineRule="auto"/>
      </w:pPr>
      <w:r>
        <w:rPr>
          <w:b/>
        </w:rPr>
        <w:t xml:space="preserve">[360] </w:t>
      </w:r>
      <w:hyperlink r:id="rId1071">
        <w:r>
          <w:rPr>
            <w:color w:val="1155CC"/>
            <w:u w:val="single"/>
          </w:rPr>
          <w:t>当医生和人工智能一起工作时，谁该负责？医疗责任如何认定</w:t>
        </w:r>
      </w:hyperlink>
    </w:p>
    <w:p>
      <w:pPr>
        <w:spacing w:before="0" w:after="80"/>
      </w:pPr>
      <w:r>
        <w:rPr>
          <w:i/>
          <w:sz w:val="20"/>
        </w:rPr>
        <w:t>EN: When physicians and AI work together, who is accountable? How to lay out medical liability</w:t>
      </w:r>
    </w:p>
    <w:p>
      <w:pPr>
        <w:spacing w:before="0" w:after="120"/>
      </w:pPr>
      <w:r>
        <w:rPr>
          <w:b/>
        </w:rPr>
        <w:t xml:space="preserve">Source: </w:t>
      </w:r>
      <w:r>
        <w:t>Nature</w:t>
      </w:r>
      <w:r>
        <w:t xml:space="preserve">    </w:t>
      </w:r>
      <w:r>
        <w:rPr>
          <w:b/>
        </w:rPr>
        <w:t xml:space="preserve">Pub date: </w:t>
      </w:r>
      <w:r>
        <w:t>2026-07-28 00:00:00+00:00</w:t>
      </w:r>
      <w:r>
        <w:t xml:space="preserve">    </w:t>
      </w:r>
      <w:r>
        <w:rPr>
          <w:b/>
        </w:rPr>
        <w:t xml:space="preserve">DOI: </w:t>
      </w:r>
      <w:hyperlink r:id="rId1072">
        <w:r>
          <w:rPr>
            <w:color w:val="1155CC"/>
            <w:u w:val="single"/>
          </w:rPr>
          <w:t>10.1038/d41586-026-02315-9</w:t>
        </w:r>
      </w:hyperlink>
    </w:p>
    <w:p>
      <w:pPr>
        <w:spacing w:before="0" w:after="120"/>
      </w:pPr>
      <w:r>
        <w:rPr>
          <w:b/>
        </w:rPr>
        <w:t xml:space="preserve">Notes: </w:t>
      </w:r>
      <w:r>
        <w:t>abstract_source=rss_nature</w:t>
      </w:r>
    </w:p>
    <w:p>
      <w:pPr>
        <w:spacing w:before="0" w:after="80" w:lineRule="auto" w:line="276"/>
      </w:pPr>
      <w:r>
        <w:rPr>
          <w:b/>
        </w:rPr>
        <w:t xml:space="preserve">摘要（ZH）: </w:t>
      </w:r>
      <w:r>
        <w:t>基于人工智能在患者护理中的作用大小的分期系统可以帮助确定在护理失败的情况下谁应该负责。</w:t>
      </w:r>
    </w:p>
    <w:p>
      <w:pPr>
        <w:spacing w:before="0" w:after="200" w:lineRule="auto" w:line="276"/>
      </w:pPr>
      <w:r>
        <w:rPr>
          <w:b/>
        </w:rPr>
        <w:t xml:space="preserve">Abstract (EN): </w:t>
      </w:r>
      <w:r>
        <w:t>A staging system based on how big a role AI has in patient care can help to identify who is responsible in cases in which care fails.</w:t>
      </w:r>
    </w:p>
    <w:p>
      <w:pPr>
        <w:spacing w:before="120" w:after="120"/>
      </w:pPr>
      <w:r>
        <w:rPr>
          <w:sz w:val="18"/>
        </w:rPr>
        <w:t>——————————————————————————————————————————————————————————————————————</w:t>
      </w:r>
    </w:p>
    <w:p>
      <w:pPr>
        <w:spacing w:before="160" w:after="40" w:line="240" w:lineRule="auto"/>
      </w:pPr>
      <w:r>
        <w:rPr>
          <w:b/>
        </w:rPr>
        <w:t xml:space="preserve">[361] </w:t>
      </w:r>
      <w:hyperlink r:id="rId1073">
        <w:r>
          <w:rPr>
            <w:color w:val="1155CC"/>
            <w:u w:val="single"/>
          </w:rPr>
          <w:t>意识研究正在迎来人工智能时代。炒作会对这个领域有所帮助吗？</w:t>
        </w:r>
      </w:hyperlink>
    </w:p>
    <w:p>
      <w:pPr>
        <w:spacing w:before="0" w:after="80"/>
      </w:pPr>
      <w:r>
        <w:rPr>
          <w:i/>
          <w:sz w:val="20"/>
        </w:rPr>
        <w:t>EN: Consciousness research is having an AI moment. Will the hype help the field?</w:t>
      </w:r>
    </w:p>
    <w:p>
      <w:pPr>
        <w:spacing w:before="0" w:after="120"/>
      </w:pPr>
      <w:r>
        <w:rPr>
          <w:b/>
        </w:rPr>
        <w:t xml:space="preserve">Source: </w:t>
      </w:r>
      <w:r>
        <w:t>Nature</w:t>
      </w:r>
      <w:r>
        <w:t xml:space="preserve">    </w:t>
      </w:r>
      <w:r>
        <w:rPr>
          <w:b/>
        </w:rPr>
        <w:t xml:space="preserve">Pub date: </w:t>
      </w:r>
      <w:r>
        <w:t>2026-07-28 00:00:00+00:00</w:t>
      </w:r>
      <w:r>
        <w:t xml:space="preserve">    </w:t>
      </w:r>
      <w:r>
        <w:rPr>
          <w:b/>
        </w:rPr>
        <w:t xml:space="preserve">DOI: </w:t>
      </w:r>
      <w:hyperlink r:id="rId1074">
        <w:r>
          <w:rPr>
            <w:color w:val="1155CC"/>
            <w:u w:val="single"/>
          </w:rPr>
          <w:t>10.1038/d41586-026-02300-2</w:t>
        </w:r>
      </w:hyperlink>
    </w:p>
    <w:p>
      <w:pPr>
        <w:spacing w:before="0" w:after="120"/>
      </w:pPr>
      <w:r>
        <w:rPr>
          <w:b/>
        </w:rPr>
        <w:t xml:space="preserve">Notes: </w:t>
      </w:r>
      <w:r>
        <w:t>abstract_source=rss_nature</w:t>
      </w:r>
    </w:p>
    <w:p>
      <w:pPr>
        <w:spacing w:before="0" w:after="80" w:lineRule="auto" w:line="276"/>
      </w:pPr>
      <w:r>
        <w:rPr>
          <w:b/>
        </w:rPr>
        <w:t xml:space="preserve">摘要（ZH）: </w:t>
      </w:r>
      <w:r>
        <w:t>人工智能感知的想法正在引起意识科学的更多关注。但一些研究人员不确定这是一件好事。</w:t>
      </w:r>
    </w:p>
    <w:p>
      <w:pPr>
        <w:spacing w:before="0" w:after="200" w:lineRule="auto" w:line="276"/>
      </w:pPr>
      <w:r>
        <w:rPr>
          <w:b/>
        </w:rPr>
        <w:t xml:space="preserve">Abstract (EN): </w:t>
      </w:r>
      <w:r>
        <w:t>The idea of AI sentience is drawing more focus to consciousness science. But some researchers aren’t sure that’s a good thing.</w:t>
      </w:r>
    </w:p>
    <w:p>
      <w:pPr>
        <w:spacing w:before="120" w:after="120"/>
      </w:pPr>
      <w:r>
        <w:rPr>
          <w:sz w:val="18"/>
        </w:rPr>
        <w:t>——————————————————————————————————————————————————————————————————————</w:t>
      </w:r>
    </w:p>
    <w:p>
      <w:pPr>
        <w:spacing w:before="160" w:after="40" w:line="240" w:lineRule="auto"/>
      </w:pPr>
      <w:r>
        <w:rPr>
          <w:b/>
        </w:rPr>
        <w:t xml:space="preserve">[362] </w:t>
      </w:r>
      <w:hyperlink r:id="rId1075">
        <w:r>
          <w:rPr>
            <w:color w:val="1155CC"/>
            <w:u w:val="single"/>
          </w:rPr>
          <w:t>科学价值观超越政治</w:t>
        </w:r>
      </w:hyperlink>
    </w:p>
    <w:p>
      <w:pPr>
        <w:spacing w:before="0" w:after="80"/>
      </w:pPr>
      <w:r>
        <w:rPr>
          <w:i/>
          <w:sz w:val="20"/>
        </w:rPr>
        <w:t>EN: Values in science go beyond politics</w:t>
      </w:r>
    </w:p>
    <w:p>
      <w:pPr>
        <w:spacing w:before="0" w:after="120"/>
      </w:pPr>
      <w:r>
        <w:rPr>
          <w:b/>
        </w:rPr>
        <w:t xml:space="preserve">Source: </w:t>
      </w:r>
      <w:r>
        <w:t>Nature</w:t>
      </w:r>
      <w:r>
        <w:t xml:space="preserve">    </w:t>
      </w:r>
      <w:r>
        <w:rPr>
          <w:b/>
        </w:rPr>
        <w:t xml:space="preserve">Pub date: </w:t>
      </w:r>
      <w:r>
        <w:t>2026-07-28 00:00:00+00:00</w:t>
      </w:r>
      <w:r>
        <w:t xml:space="preserve">    </w:t>
      </w:r>
      <w:r>
        <w:rPr>
          <w:b/>
        </w:rPr>
        <w:t xml:space="preserve">DOI: </w:t>
      </w:r>
      <w:hyperlink r:id="rId1076">
        <w:r>
          <w:rPr>
            <w:color w:val="1155CC"/>
            <w:u w:val="single"/>
          </w:rPr>
          <w:t>10.1038/d41586-026-02346-2</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[363] </w:t>
      </w:r>
      <w:hyperlink r:id="rId1077">
        <w:r>
          <w:rPr>
            <w:color w:val="1155CC"/>
            <w:u w:val="single"/>
          </w:rPr>
          <w:t>通过硼环重排实现纠缠双位点迁移</w:t>
        </w:r>
      </w:hyperlink>
    </w:p>
    <w:p>
      <w:pPr>
        <w:spacing w:before="0" w:after="80"/>
      </w:pPr>
      <w:r>
        <w:rPr>
          <w:i/>
          <w:sz w:val="20"/>
        </w:rPr>
        <w:t>EN: Entangled dual-site migration via boracycle rearrangement</w:t>
      </w:r>
    </w:p>
    <w:p>
      <w:pPr>
        <w:spacing w:before="0" w:after="120"/>
      </w:pPr>
      <w:r>
        <w:rPr>
          <w:b/>
        </w:rPr>
        <w:t xml:space="preserve">Source: </w:t>
      </w:r>
      <w:r>
        <w:t>Nature</w:t>
      </w:r>
      <w:r>
        <w:t xml:space="preserve">    </w:t>
      </w:r>
      <w:r>
        <w:rPr>
          <w:b/>
        </w:rPr>
        <w:t xml:space="preserve">Pub date: </w:t>
      </w:r>
      <w:r>
        <w:t>2026-07-28 00:00:00+00:00</w:t>
      </w:r>
      <w:r>
        <w:t xml:space="preserve">    </w:t>
      </w:r>
      <w:r>
        <w:rPr>
          <w:b/>
        </w:rPr>
        <w:t xml:space="preserve">DOI: </w:t>
      </w:r>
      <w:hyperlink r:id="rId1078">
        <w:r>
          <w:rPr>
            <w:color w:val="1155CC"/>
            <w:u w:val="single"/>
          </w:rPr>
          <w:t>10.1038/s41586-026-10931-8</w:t>
        </w:r>
      </w:hyperlink>
    </w:p>
    <w:p>
      <w:pPr>
        <w:spacing w:before="0" w:after="120"/>
      </w:pPr>
      <w:r>
        <w:rPr>
          <w:b/>
        </w:rPr>
        <w:t xml:space="preserve">Notes: </w:t>
      </w:r>
      <w:r>
        <w:t>abstract_source=nature_html</w:t>
      </w:r>
    </w:p>
    <w:p>
      <w:pPr>
        <w:spacing w:before="0" w:after="80" w:lineRule="auto" w:line="276"/>
      </w:pPr>
      <w:r>
        <w:rPr>
          <w:b/>
        </w:rPr>
        <w:t xml:space="preserve">摘要（ZH）: </w:t>
      </w:r>
      <w:r>
        <w:t>迁移是一种基本的化学转变。除了科学好奇心和机械阴谋之外，迁移反应还为远程或其他具有挑战性的反应位点提供了巧妙的方法，与传统的合成方法相补充。1虽然单位点迁移已通过良好的区域选择性控制进行了广泛研究，但协调沿碳链的两个遥远位点的同时迁移仍然很大程度上尚未探索。2,3这主要是由于控制两个迁移中心的化学选择性、区域选择性和非对映选择性的复杂性呈指数级增加。在这里，我们提出了一种纠缠双位点迁移的概念验证策略，该策略通过我们称为“硼烷重排”的过程来实现，即硼烷环沿着碳主链的引导和跟随运动。这种长硼环重排横跨多达八个碳原子，可以精确控制两个迁移位置的区域选择性和非对映选择性。此外，硼环产物可作为多功能合成子，用于（杂）环的发散合成和ε-双官能化（一个引入的官能团与另一个官能团相距四个碳），显着扩展了（杂）环构建和多位点修饰的化学空间，特别是在碳链的中心区域。</w:t>
      </w:r>
    </w:p>
    <w:p>
      <w:pPr>
        <w:spacing w:before="0" w:after="200" w:lineRule="auto" w:line="276"/>
      </w:pPr>
      <w:r>
        <w:rPr>
          <w:b/>
        </w:rPr>
        <w:t xml:space="preserve">Abstract (EN): </w:t>
      </w:r>
      <w:r>
        <w:t>Migration is a fundamental chemical transformation. Beyond scientific curiosity and mechanistic intrigue, migration reactions offer ingenious approaches to remote or otherwise challenging reaction sites, complementary to traditional synthetic methodologies.1 While single-site migration has been extensively studied with great regioselectivity control, orchestrating the concurrent migration of two distant sites along a carbon chain remains largely unexplored.2,3 This is primarily due to the exponentially raised complexity in controlling chemo-, regio-, and diastereoselectivity at two migrating centers. Here, we present a proof-of-concept strategy of entangled dual-site migration, enabled by a process we term the “borinane rearrangement”—a lead-and-follow movement of a borinane ring along the carbon backbone. This boracycle rearrangement traverses up to eight carbon atoms, allowing for precise control over both regio- and diastereoselectivity at two migrating positions. Moreover, the boracyclic products serve as versatile synthons for divergent synthesis of (hetero)cycles and epsilon-difunctionalization (one introduced functional group is four carbons away from the other), significantly expanding the chemical space of (hetero)cycle construction and multi-site modification, especially at the central regions of carbon chains.</w:t>
      </w:r>
    </w:p>
    <w:p>
      <w:pPr>
        <w:spacing w:before="120" w:after="120"/>
      </w:pPr>
      <w:r>
        <w:rPr>
          <w:sz w:val="18"/>
        </w:rPr>
        <w:t>——————————————————————————————————————————————————————————————————————</w:t>
      </w:r>
    </w:p>
    <w:p>
      <w:pPr>
        <w:spacing w:before="160" w:after="40" w:line="240" w:lineRule="auto"/>
      </w:pPr>
      <w:r>
        <w:rPr>
          <w:b/>
        </w:rPr>
        <w:t xml:space="preserve">[364] </w:t>
      </w:r>
      <w:hyperlink r:id="rId1079">
        <w:r>
          <w:rPr>
            <w:color w:val="1155CC"/>
            <w:u w:val="single"/>
          </w:rPr>
          <w:t>鼻子引导：女王的气味塑造了裸鼹鼠社会</w:t>
        </w:r>
      </w:hyperlink>
    </w:p>
    <w:p>
      <w:pPr>
        <w:spacing w:before="0" w:after="80"/>
      </w:pPr>
      <w:r>
        <w:rPr>
          <w:i/>
          <w:sz w:val="20"/>
        </w:rPr>
        <w:t>EN: Led by the nose: a queen’s scent shapes naked mole rat society</w:t>
      </w:r>
    </w:p>
    <w:p>
      <w:pPr>
        <w:spacing w:before="0" w:after="120"/>
      </w:pPr>
      <w:r>
        <w:rPr>
          <w:b/>
        </w:rPr>
        <w:t xml:space="preserve">Source: </w:t>
      </w:r>
      <w:r>
        <w:t>Nature</w:t>
      </w:r>
      <w:r>
        <w:t xml:space="preserve">    </w:t>
      </w:r>
      <w:r>
        <w:rPr>
          <w:b/>
        </w:rPr>
        <w:t xml:space="preserve">Pub date: </w:t>
      </w:r>
      <w:r>
        <w:t>2026-07-28 00:00:00+00:00</w:t>
      </w:r>
      <w:r>
        <w:t xml:space="preserve">    </w:t>
      </w:r>
      <w:r>
        <w:rPr>
          <w:b/>
        </w:rPr>
        <w:t xml:space="preserve">DOI: </w:t>
      </w:r>
      <w:hyperlink r:id="rId1080">
        <w:r>
          <w:rPr>
            <w:color w:val="1155CC"/>
            <w:u w:val="single"/>
          </w:rPr>
          <w:t>10.1038/d41586-026-02286-x</w:t>
        </w:r>
      </w:hyperlink>
    </w:p>
    <w:p>
      <w:pPr>
        <w:spacing w:before="0" w:after="120"/>
      </w:pPr>
      <w:r>
        <w:rPr>
          <w:b/>
        </w:rPr>
        <w:t xml:space="preserve">Notes: </w:t>
      </w:r>
      <w:r>
        <w:t>abstract_source=rss_nature</w:t>
      </w:r>
    </w:p>
    <w:p>
      <w:pPr>
        <w:spacing w:before="0" w:after="80" w:lineRule="auto" w:line="276"/>
      </w:pPr>
      <w:r>
        <w:rPr>
          <w:b/>
        </w:rPr>
        <w:t xml:space="preserve">摘要（ZH）: </w:t>
      </w:r>
      <w:r>
        <w:t>裸鼹鼠生活在具有单一繁殖女王的群体中。看来，一种与蜂王相关的化学物质有助于维持这种生殖等级。</w:t>
      </w:r>
    </w:p>
    <w:p>
      <w:pPr>
        <w:spacing w:before="0" w:after="200" w:lineRule="auto" w:line="276"/>
      </w:pPr>
      <w:r>
        <w:rPr>
          <w:b/>
        </w:rPr>
        <w:t xml:space="preserve">Abstract (EN): </w:t>
      </w:r>
      <w:r>
        <w:t>Naked mole rats live in colonies characterized by having a single breeding queen. It emerges that a queen-associated chemical helps to maintain this reproductive hierarchy.</w:t>
      </w:r>
    </w:p>
    <w:p>
      <w:pPr>
        <w:spacing w:before="120" w:after="120"/>
      </w:pPr>
      <w:r>
        <w:rPr>
          <w:sz w:val="18"/>
        </w:rPr>
        <w:t>——————————————————————————————————————————————————————————————————————</w:t>
      </w:r>
    </w:p>
    <w:p>
      <w:pPr>
        <w:spacing w:before="160" w:after="40" w:line="240" w:lineRule="auto"/>
      </w:pPr>
      <w:r>
        <w:rPr>
          <w:b/>
        </w:rPr>
        <w:t xml:space="preserve">[365] </w:t>
      </w:r>
      <w:hyperlink r:id="rId1081">
        <w:r>
          <w:rPr>
            <w:color w:val="1155CC"/>
            <w:u w:val="single"/>
          </w:rPr>
          <w:t>根据客户能源资产采用趋势进行长期负荷预测的生成模型</w:t>
        </w:r>
      </w:hyperlink>
    </w:p>
    <w:p>
      <w:pPr>
        <w:spacing w:before="0" w:after="80"/>
      </w:pPr>
      <w:r>
        <w:rPr>
          <w:i/>
          <w:sz w:val="20"/>
        </w:rPr>
        <w:t>EN: Generative modeling for long-term load forecasting with customer energy asset adoption trends</w:t>
      </w:r>
    </w:p>
    <w:p>
      <w:pPr>
        <w:spacing w:before="0" w:after="120"/>
      </w:pPr>
      <w:r>
        <w:rPr>
          <w:b/>
        </w:rPr>
        <w:t xml:space="preserve">Source: </w:t>
      </w:r>
      <w:r>
        <w:t>ScienceDirect Publication: Applied Energy</w:t>
      </w:r>
      <w:r>
        <w:t xml:space="preserve">    </w:t>
      </w:r>
      <w:r>
        <w:rPr>
          <w:b/>
        </w:rPr>
        <w:t xml:space="preserve">Pub date: </w:t>
      </w:r>
      <w:r>
        <w:t>2026-07-28 00:00:00+00:00</w:t>
      </w:r>
      <w:r>
        <w:t xml:space="preserve">    </w:t>
      </w:r>
      <w:r>
        <w:rPr>
          <w:b/>
        </w:rPr>
        <w:t xml:space="preserve">DOI: </w:t>
      </w:r>
      <w:hyperlink r:id="rId1082">
        <w:r>
          <w:rPr>
            <w:color w:val="1155CC"/>
            <w:u w:val="single"/>
          </w:rPr>
          <w:t>10.1016/j.apenergy.2026.128178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[366] </w:t>
      </w:r>
      <w:hyperlink r:id="rId1083">
        <w:r>
          <w:rPr>
            <w:color w:val="1155CC"/>
            <w:u w:val="single"/>
          </w:rPr>
          <w:t>GridGraph-LLM：用于应急分析和输电中断定位的网格拓扑和图形感知大语言模型</w:t>
        </w:r>
      </w:hyperlink>
    </w:p>
    <w:p>
      <w:pPr>
        <w:spacing w:before="0" w:after="80"/>
      </w:pPr>
      <w:r>
        <w:rPr>
          <w:i/>
          <w:sz w:val="20"/>
        </w:rPr>
        <w:t>EN: GridGraph-LLM: A grid topology and graph-aware large language model for contingency analysis and transmission outage localization</w:t>
      </w:r>
    </w:p>
    <w:p>
      <w:pPr>
        <w:spacing w:before="0" w:after="120"/>
      </w:pPr>
      <w:r>
        <w:rPr>
          <w:b/>
        </w:rPr>
        <w:t xml:space="preserve">Source: </w:t>
      </w:r>
      <w:r>
        <w:t>ScienceDirect Publication: Applied Energy</w:t>
      </w:r>
      <w:r>
        <w:t xml:space="preserve">    </w:t>
      </w:r>
      <w:r>
        <w:rPr>
          <w:b/>
        </w:rPr>
        <w:t xml:space="preserve">Pub date: </w:t>
      </w:r>
      <w:r>
        <w:t>2026-07-28 00:00:00+00:00</w:t>
      </w:r>
      <w:r>
        <w:t xml:space="preserve">    </w:t>
      </w:r>
      <w:r>
        <w:rPr>
          <w:b/>
        </w:rPr>
        <w:t xml:space="preserve">DOI: </w:t>
      </w:r>
      <w:hyperlink r:id="rId1084">
        <w:r>
          <w:rPr>
            <w:color w:val="1155CC"/>
            <w:u w:val="single"/>
          </w:rPr>
          <w:t>10.1016/j.apenergy.2026.128447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[367] </w:t>
      </w:r>
      <w:hyperlink r:id="rId1085">
        <w:r>
          <w:rPr>
            <w:color w:val="1155CC"/>
            <w:u w:val="single"/>
          </w:rPr>
          <w:t>可靠性和经济性增强的分布式储能调度：一种基于疲劳感知的在线学习聚合方法</w:t>
        </w:r>
      </w:hyperlink>
    </w:p>
    <w:p>
      <w:pPr>
        <w:spacing w:before="0" w:after="80"/>
      </w:pPr>
      <w:r>
        <w:rPr>
          <w:i/>
          <w:sz w:val="20"/>
        </w:rPr>
        <w:t>EN: Reliability and economics enhanced dispatch of distributed energy storage: A fatigue-aware online learning based aggregation approach</w:t>
      </w:r>
    </w:p>
    <w:p>
      <w:pPr>
        <w:spacing w:before="0" w:after="120"/>
      </w:pPr>
      <w:r>
        <w:rPr>
          <w:b/>
        </w:rPr>
        <w:t xml:space="preserve">Source: </w:t>
      </w:r>
      <w:r>
        <w:t>ScienceDirect Publication: Applied Energy</w:t>
      </w:r>
      <w:r>
        <w:t xml:space="preserve">    </w:t>
      </w:r>
      <w:r>
        <w:rPr>
          <w:b/>
        </w:rPr>
        <w:t xml:space="preserve">Pub date: </w:t>
      </w:r>
      <w:r>
        <w:t>2026-07-28 00:00:00+00:00</w:t>
      </w:r>
      <w:r>
        <w:t xml:space="preserve">    </w:t>
      </w:r>
      <w:r>
        <w:rPr>
          <w:b/>
        </w:rPr>
        <w:t xml:space="preserve">DOI: </w:t>
      </w:r>
      <w:hyperlink r:id="rId1086">
        <w:r>
          <w:rPr>
            <w:color w:val="1155CC"/>
            <w:u w:val="single"/>
          </w:rPr>
          <w:t>10.1016/j.apenergy.2026.128512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[368] </w:t>
      </w:r>
      <w:hyperlink r:id="rId1087">
        <w:r>
          <w:rPr>
            <w:color w:val="1155CC"/>
            <w:u w:val="single"/>
          </w:rPr>
          <w:t>观察界面间隙</w:t>
        </w:r>
      </w:hyperlink>
    </w:p>
    <w:p>
      <w:pPr>
        <w:spacing w:before="0" w:after="80"/>
      </w:pPr>
      <w:r>
        <w:rPr>
          <w:i/>
          <w:sz w:val="20"/>
        </w:rPr>
        <w:t>EN: Watch the interfacial gap</w:t>
      </w:r>
    </w:p>
    <w:p>
      <w:pPr>
        <w:spacing w:before="0" w:after="120"/>
      </w:pPr>
      <w:r>
        <w:rPr>
          <w:b/>
        </w:rPr>
        <w:t xml:space="preserve">Source: </w:t>
      </w:r>
      <w:r>
        <w:t>Nature Materials</w:t>
      </w:r>
      <w:r>
        <w:t xml:space="preserve">    </w:t>
      </w:r>
      <w:r>
        <w:rPr>
          <w:b/>
        </w:rPr>
        <w:t xml:space="preserve">Pub date: </w:t>
      </w:r>
      <w:r>
        <w:t>2026-07-28 00:00:00+00:00</w:t>
      </w:r>
      <w:r>
        <w:t xml:space="preserve">    </w:t>
      </w:r>
      <w:r>
        <w:rPr>
          <w:b/>
        </w:rPr>
        <w:t xml:space="preserve">DOI: </w:t>
      </w:r>
      <w:hyperlink r:id="rId1088">
        <w:r>
          <w:rPr>
            <w:color w:val="1155CC"/>
            <w:u w:val="single"/>
          </w:rPr>
          <w:t>10.1038/s41563-026-02694-4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[369] </w:t>
      </w:r>
      <w:hyperlink r:id="rId1089">
        <w:r>
          <w:rPr>
            <w:color w:val="1155CC"/>
            <w:u w:val="single"/>
          </w:rPr>
          <w:t>互联城市增强流动弹性</w:t>
        </w:r>
      </w:hyperlink>
    </w:p>
    <w:p>
      <w:pPr>
        <w:spacing w:before="0" w:after="80"/>
      </w:pPr>
      <w:r>
        <w:rPr>
          <w:i/>
          <w:sz w:val="20"/>
        </w:rPr>
        <w:t>EN: Connected cities build mobility resilience</w:t>
      </w:r>
    </w:p>
    <w:p>
      <w:pPr>
        <w:spacing w:before="0" w:after="120"/>
      </w:pPr>
      <w:r>
        <w:rPr>
          <w:b/>
        </w:rPr>
        <w:t xml:space="preserve">Source: </w:t>
      </w:r>
      <w:r>
        <w:t>Nature Climate Change</w:t>
      </w:r>
      <w:r>
        <w:t xml:space="preserve">    </w:t>
      </w:r>
      <w:r>
        <w:rPr>
          <w:b/>
        </w:rPr>
        <w:t xml:space="preserve">Pub date: </w:t>
      </w:r>
      <w:r>
        <w:t>2026-07-28 00:00:00+00:00</w:t>
      </w:r>
      <w:r>
        <w:t xml:space="preserve">    </w:t>
      </w:r>
      <w:r>
        <w:rPr>
          <w:b/>
        </w:rPr>
        <w:t xml:space="preserve">DOI: </w:t>
      </w:r>
      <w:hyperlink r:id="rId1090">
        <w:r>
          <w:rPr>
            <w:color w:val="1155CC"/>
            <w:u w:val="single"/>
          </w:rPr>
          <w:t>10.1038/s41558-026-02722-w</w:t>
        </w:r>
      </w:hyperlink>
    </w:p>
    <w:p>
      <w:pPr>
        <w:spacing w:before="0" w:after="120"/>
      </w:pPr>
      <w:r>
        <w:rPr>
          <w:b/>
        </w:rPr>
        <w:t xml:space="preserve">Notes: </w:t>
      </w:r>
      <w:r>
        <w:t>abstract_source=rss_nature</w:t>
      </w:r>
    </w:p>
    <w:p>
      <w:pPr>
        <w:spacing w:before="0" w:after="80" w:lineRule="auto" w:line="276"/>
      </w:pPr>
      <w:r>
        <w:rPr>
          <w:b/>
        </w:rPr>
        <w:t xml:space="preserve">摘要（ZH）: </w:t>
      </w:r>
      <w:r>
        <w:t>针对极端天气的传统弹性规划侧重于加强城市边界和内部基础设施。现在，一项研究表明，城市与外部城市网络的社会经济和物理联系如何成为极端降雨条件下城市内流动弹性的关键催化剂。</w:t>
      </w:r>
    </w:p>
    <w:p>
      <w:pPr>
        <w:spacing w:before="0" w:after="200" w:lineRule="auto" w:line="276"/>
      </w:pPr>
      <w:r>
        <w:rPr>
          <w:b/>
        </w:rPr>
        <w:t xml:space="preserve">Abstract (EN): </w:t>
      </w:r>
      <w:r>
        <w:t>Traditional resilience planning for extreme weather focuses on reinforcing municipal boundaries and internal infrastructure. Now, a study demonstrates how a city’s socioeconomic and physical ties to external urban networks act as a critical catalyst for intra-city mobility resilience under extreme rainfall.</w:t>
      </w:r>
    </w:p>
    <w:p>
      <w:pPr>
        <w:spacing w:before="120" w:after="120"/>
      </w:pPr>
      <w:r>
        <w:rPr>
          <w:sz w:val="18"/>
        </w:rPr>
        <w:t>——————————————————————————————————————————————————————————————————————</w:t>
      </w:r>
    </w:p>
    <w:p>
      <w:pPr>
        <w:spacing w:before="160" w:after="40" w:line="240" w:lineRule="auto"/>
      </w:pPr>
      <w:r>
        <w:rPr>
          <w:b/>
        </w:rPr>
        <w:t xml:space="preserve">[370] </w:t>
      </w:r>
      <w:hyperlink r:id="rId1091">
        <w:r>
          <w:rPr>
            <w:color w:val="1155CC"/>
            <w:u w:val="single"/>
          </w:rPr>
          <w:t>亚马逊原住民的边境威胁不断加剧</w:t>
        </w:r>
      </w:hyperlink>
    </w:p>
    <w:p>
      <w:pPr>
        <w:spacing w:before="0" w:after="80"/>
      </w:pPr>
      <w:r>
        <w:rPr>
          <w:i/>
          <w:sz w:val="20"/>
        </w:rPr>
        <w:t>EN: Spiralling frontier threats in Indigenous Amazonia</w:t>
      </w:r>
    </w:p>
    <w:p>
      <w:pPr>
        <w:spacing w:before="0" w:after="120"/>
      </w:pPr>
      <w:r>
        <w:rPr>
          <w:b/>
        </w:rPr>
        <w:t xml:space="preserve">Source: </w:t>
      </w:r>
      <w:r>
        <w:t>Nature Sustainability</w:t>
      </w:r>
      <w:r>
        <w:t xml:space="preserve">    </w:t>
      </w:r>
      <w:r>
        <w:rPr>
          <w:b/>
        </w:rPr>
        <w:t xml:space="preserve">Pub date: </w:t>
      </w:r>
      <w:r>
        <w:t>2026-07-28 00:00:00+00:00</w:t>
      </w:r>
      <w:r>
        <w:t xml:space="preserve">    </w:t>
      </w:r>
      <w:r>
        <w:rPr>
          <w:b/>
        </w:rPr>
        <w:t xml:space="preserve">DOI: </w:t>
      </w:r>
      <w:hyperlink r:id="rId1092">
        <w:r>
          <w:rPr>
            <w:color w:val="1155CC"/>
            <w:u w:val="single"/>
          </w:rPr>
          <w:t>10.1038/s41893-026-01874-z</w:t>
        </w:r>
      </w:hyperlink>
    </w:p>
    <w:p>
      <w:pPr>
        <w:spacing w:before="0" w:after="120"/>
      </w:pPr>
      <w:r>
        <w:rPr>
          <w:b/>
        </w:rPr>
        <w:t xml:space="preserve">Notes: </w:t>
      </w:r>
      <w:r>
        <w:t>abstract_source=rss_nature</w:t>
      </w:r>
    </w:p>
    <w:p>
      <w:pPr>
        <w:spacing w:before="0" w:after="80" w:lineRule="auto" w:line="276"/>
      </w:pPr>
      <w:r>
        <w:rPr>
          <w:b/>
        </w:rPr>
        <w:t xml:space="preserve">摘要（ZH）: </w:t>
      </w:r>
      <w:r>
        <w:t>原住民土地对于保护原住民和亚马逊至关重要。然而，它们越来越暴露于社会环境边界，带来暴力、非法资源开采和森林砍伐。需要采取紧急行动，防止对人类和森林造成不可逆转的伤害，特别是在巴西的贾瓦里谷原住民土地上。</w:t>
      </w:r>
    </w:p>
    <w:p>
      <w:pPr>
        <w:spacing w:before="0" w:after="200" w:lineRule="auto" w:line="276"/>
      </w:pPr>
      <w:r>
        <w:rPr>
          <w:b/>
        </w:rPr>
        <w:t xml:space="preserve">Abstract (EN): </w:t>
      </w:r>
      <w:r>
        <w:t>Indigenous Lands are critical for protecting Indigenous Peoples and the Amazon. Yet, they are increasingly exposed to socio-environmental frontiers, bringing violence, illegal resource extraction and deforestation. Urgent action is required to prevent irreversible harm to both people and forests, particularly in Brazil’s Vale do Javari Indigenous Land.</w:t>
      </w:r>
    </w:p>
    <w:p>
      <w:pPr>
        <w:spacing w:before="120" w:after="120"/>
      </w:pPr>
      <w:r>
        <w:rPr>
          <w:sz w:val="18"/>
        </w:rPr>
        <w:t>——————————————————————————————————————————————————————————————————————</w:t>
      </w:r>
    </w:p>
    <w:p>
      <w:pPr>
        <w:spacing w:before="160" w:after="40" w:line="240" w:lineRule="auto"/>
      </w:pPr>
      <w:r>
        <w:rPr>
          <w:b/>
        </w:rPr>
        <w:t xml:space="preserve">[371] </w:t>
      </w:r>
      <w:hyperlink r:id="rId1093">
        <w:r>
          <w:rPr>
            <w:color w:val="1155CC"/>
            <w:u w:val="single"/>
          </w:rPr>
          <w:t>上转换纳米粒子可实现亚埃级精度的生物成像</w:t>
        </w:r>
      </w:hyperlink>
    </w:p>
    <w:p>
      <w:pPr>
        <w:spacing w:before="0" w:after="80"/>
      </w:pPr>
      <w:r>
        <w:rPr>
          <w:i/>
          <w:sz w:val="20"/>
        </w:rPr>
        <w:t>EN: Upconverting nanoparticles enable bioimaging with sub-ångström precision</w:t>
      </w:r>
    </w:p>
    <w:p>
      <w:pPr>
        <w:spacing w:before="0" w:after="120"/>
      </w:pPr>
      <w:r>
        <w:rPr>
          <w:b/>
        </w:rPr>
        <w:t xml:space="preserve">Source: </w:t>
      </w:r>
      <w:r>
        <w:t>Nature Nanotechnology</w:t>
      </w:r>
      <w:r>
        <w:t xml:space="preserve">    </w:t>
      </w:r>
      <w:r>
        <w:rPr>
          <w:b/>
        </w:rPr>
        <w:t xml:space="preserve">Pub date: </w:t>
      </w:r>
      <w:r>
        <w:t>2026-07-28 00:00:00+00:00</w:t>
      </w:r>
      <w:r>
        <w:t xml:space="preserve">    </w:t>
      </w:r>
      <w:r>
        <w:rPr>
          <w:b/>
        </w:rPr>
        <w:t xml:space="preserve">DOI: </w:t>
      </w:r>
      <w:hyperlink r:id="rId1094">
        <w:r>
          <w:rPr>
            <w:color w:val="1155CC"/>
            <w:u w:val="single"/>
          </w:rPr>
          <w:t>10.1038/s41565-026-02253-7</w:t>
        </w:r>
      </w:hyperlink>
    </w:p>
    <w:p>
      <w:pPr>
        <w:spacing w:before="0" w:after="120"/>
      </w:pPr>
      <w:r>
        <w:rPr>
          <w:b/>
        </w:rPr>
        <w:t xml:space="preserve">Notes: </w:t>
      </w:r>
      <w:r>
        <w:t>abstract_source=rss_nature</w:t>
      </w:r>
    </w:p>
    <w:p>
      <w:pPr>
        <w:spacing w:before="0" w:after="80" w:lineRule="auto" w:line="276"/>
      </w:pPr>
      <w:r>
        <w:rPr>
          <w:b/>
        </w:rPr>
        <w:t xml:space="preserve">摘要（ZH）: </w:t>
      </w:r>
      <w:r>
        <w:t>具有埃级定位精度的蛋白质组织可视化受到传统荧光团快速光漂白的限制。我们对上转换纳米粒子进行了组合设计，使其能够自发且无限地闪烁，从而使用单个近红外激发源实现具有亚埃级定位精度的双色生物成像。</w:t>
      </w:r>
    </w:p>
    <w:p>
      <w:pPr>
        <w:spacing w:before="0" w:after="200" w:lineRule="auto" w:line="276"/>
      </w:pPr>
      <w:r>
        <w:rPr>
          <w:b/>
        </w:rPr>
        <w:t xml:space="preserve">Abstract (EN): </w:t>
      </w:r>
      <w:r>
        <w:t>Visualization of protein organization with ångström localization precision is limited by rapid photobleaching of conventional fluorophores. We compositionally engineered upconverting nanoparticles to blink spontaneously and indefinitely, enabling two-colour bio-imaging with sub-ångström localization precision using a single near-infrared excitation source.</w:t>
      </w:r>
    </w:p>
    <w:p>
      <w:pPr>
        <w:spacing w:before="120" w:after="120"/>
      </w:pPr>
      <w:r>
        <w:rPr>
          <w:sz w:val="18"/>
        </w:rPr>
        <w:t>——————————————————————————————————————————————————————————————————————</w:t>
      </w:r>
    </w:p>
    <w:p>
      <w:pPr>
        <w:spacing w:before="160" w:after="40" w:line="240" w:lineRule="auto"/>
      </w:pPr>
      <w:r>
        <w:rPr>
          <w:b/>
        </w:rPr>
        <w:t xml:space="preserve">[372] </w:t>
      </w:r>
      <w:hyperlink r:id="rId1095">
        <w:r>
          <w:rPr>
            <w:color w:val="1155CC"/>
            <w:u w:val="single"/>
          </w:rPr>
          <w:t>沙漠面临前所未有的山洪爆发</w:t>
        </w:r>
      </w:hyperlink>
    </w:p>
    <w:p>
      <w:pPr>
        <w:spacing w:before="0" w:after="80"/>
      </w:pPr>
      <w:r>
        <w:rPr>
          <w:i/>
          <w:sz w:val="20"/>
        </w:rPr>
        <w:t>EN: Deserts face unprecedented flash flooding</w:t>
      </w:r>
    </w:p>
    <w:p>
      <w:pPr>
        <w:spacing w:before="0" w:after="120"/>
      </w:pPr>
      <w:r>
        <w:rPr>
          <w:b/>
        </w:rPr>
        <w:t xml:space="preserve">Source: </w:t>
      </w:r>
      <w:r>
        <w:t>Nature</w:t>
      </w:r>
      <w:r>
        <w:t xml:space="preserve">    </w:t>
      </w:r>
      <w:r>
        <w:rPr>
          <w:b/>
        </w:rPr>
        <w:t xml:space="preserve">Pub date: </w:t>
      </w:r>
      <w:r>
        <w:t>2026-07-28 00:00:00+00:00</w:t>
      </w:r>
      <w:r>
        <w:t xml:space="preserve">    </w:t>
      </w:r>
      <w:r>
        <w:rPr>
          <w:b/>
        </w:rPr>
        <w:t xml:space="preserve">DOI: </w:t>
      </w:r>
      <w:hyperlink r:id="rId1096">
        <w:r>
          <w:rPr>
            <w:color w:val="1155CC"/>
            <w:u w:val="single"/>
          </w:rPr>
          <w:t>10.1038/d41586-026-02349-z</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[373] </w:t>
      </w:r>
      <w:hyperlink r:id="rId1097">
        <w:r>
          <w:rPr>
            <w:color w:val="1155CC"/>
            <w:u w:val="single"/>
          </w:rPr>
          <w:t>高性能全固态氯离子电池阴极复合结构和堆压的协同优化</w:t>
        </w:r>
      </w:hyperlink>
    </w:p>
    <w:p>
      <w:pPr>
        <w:spacing w:before="0" w:after="80"/>
      </w:pPr>
      <w:r>
        <w:rPr>
          <w:i/>
          <w:sz w:val="20"/>
        </w:rPr>
        <w:t>EN: Synergistic Optimization of Cathode Composite Architecture and Stack Pressure for High‐Performance All‐Solid‐State Chloride‐Ion Batteries</w:t>
      </w:r>
    </w:p>
    <w:p>
      <w:pPr>
        <w:spacing w:before="0" w:after="120"/>
      </w:pPr>
      <w:r>
        <w:rPr>
          <w:b/>
        </w:rPr>
        <w:t xml:space="preserve">Source: </w:t>
      </w:r>
      <w:r>
        <w:t>Wiley: Advanced Energy Materials: Table of Contents</w:t>
      </w:r>
      <w:r>
        <w:t xml:space="preserve">    </w:t>
      </w:r>
      <w:r>
        <w:rPr>
          <w:b/>
        </w:rPr>
        <w:t xml:space="preserve">Pub date: </w:t>
      </w:r>
      <w:r>
        <w:t>2026-07-28 05:55:58+00:00</w:t>
      </w:r>
      <w:r>
        <w:t xml:space="preserve">    </w:t>
      </w:r>
      <w:r>
        <w:rPr>
          <w:b/>
        </w:rPr>
        <w:t xml:space="preserve">DOI: </w:t>
      </w:r>
      <w:hyperlink r:id="rId1098">
        <w:r>
          <w:rPr>
            <w:color w:val="1155CC"/>
            <w:u w:val="single"/>
          </w:rPr>
          <w:t>10.1002/aenm.71335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氯离子电池（CIB）代表了一种有前景的后锂能源存储平台，将高理论能量密度与元素可持续性相结合。然而，全固态 CIB (ASS-CIB) 仍然受到有限的离子传输和界面不稳定性的阻碍。在这里，我们展示了高性能 VOCl/CsSn</w:t>
      </w:r>
      <w:r>
        <w:rPr>
          <w:vertAlign w:val="subscript"/>
        </w:rPr>
        <w:t>0</w:t>
      </w:r>
      <w:r>
        <w:t>。</w:t>
      </w:r>
      <w:r>
        <w:rPr>
          <w:vertAlign w:val="subscript"/>
        </w:rPr>
        <w:t>9</w:t>
      </w:r>
      <w:r>
        <w:t>在</w:t>
      </w:r>
      <w:r>
        <w:rPr>
          <w:vertAlign w:val="subscript"/>
        </w:rPr>
        <w:t>0</w:t>
      </w:r>
      <w:r>
        <w:t>。</w:t>
      </w:r>
      <w:r>
        <w:rPr>
          <w:vertAlign w:val="subscript"/>
        </w:rPr>
        <w:t>067</w:t>
      </w:r>
      <w:r>
        <w:t>氯</w:t>
      </w:r>
      <w:r>
        <w:rPr>
          <w:vertAlign w:val="subscript"/>
        </w:rPr>
        <w:t>3</w:t>
      </w:r>
      <w:r>
        <w:t>(CSIC)/In 系统中，阴极复合材料的系统优化确定了最佳的 30:60:10 (VOCl/CSIC/C) 比例，提供了 169 mAh g 的初始比容量</w:t>
      </w:r>
      <w:r>
        <w:t xml:space="preserve"> </w:t>
      </w:r>
      <w:r>
        <w:t>-</w:t>
      </w:r>
      <w:r>
        <w:rPr>
          <w:vertAlign w:val="subscript"/>
        </w:rPr>
        <w:t>1</w:t>
      </w:r>
      <w:r>
        <w:t>。采用 Rietveld 精修的 X 射线衍射 (XRD) 和场发射扫描电子显微镜 (FESEM) 证实了相纯度和均匀的颗粒分布，同时将堆压力从 130 MPa 增加到 400 MPa，显着增强了界面接触和活性材料利用率。优化的配置可在 0.1 mA cm 电流下持续稳定循环超过 500 个周期</w:t>
      </w:r>
      <w:r>
        <w:t xml:space="preserve"> </w:t>
      </w:r>
      <w:r>
        <w:t>-</w:t>
      </w:r>
      <w:r>
        <w:rPr>
          <w:vertAlign w:val="subscript"/>
        </w:rPr>
        <w:t>2</w:t>
      </w:r>
      <w:r>
        <w:t>库仑效率接近 100%。使用弛豫时间分布 (DRT) 方法分析时间分辨电化学阻抗谱 (EIS)，确定 VOCl-CSIC 阴极界面是主要的电阻贡献者，而 In-CSIC 阳极保持相对稳定。非原位 XRD 和聚焦 i</w:t>
      </w:r>
    </w:p>
    <w:p>
      <w:pPr>
        <w:spacing w:before="0" w:after="200" w:lineRule="auto" w:line="276"/>
      </w:pPr>
      <w:r>
        <w:rPr>
          <w:b/>
        </w:rPr>
        <w:t xml:space="preserve">Abstract (EN): </w:t>
      </w:r>
      <w:r>
        <w:t>Chloride‐ion batteries (CIBs) represent a promising post‐lithium energy storage platform combining high theoretical energy density with elemental sustainability. However, All‐Solid‐State CIBs (ASS‐CIBs) remain hindered by limited ionic transport and interfacial instability. Here, we demonstrate a high‐performance VOCl/CsSn</w:t>
      </w:r>
      <w:r>
        <w:rPr>
          <w:vertAlign w:val="subscript"/>
        </w:rPr>
        <w:t>0</w:t>
      </w:r>
      <w:r>
        <w:t>.</w:t>
      </w:r>
      <w:r>
        <w:rPr>
          <w:vertAlign w:val="subscript"/>
        </w:rPr>
        <w:t>9</w:t>
      </w:r>
      <w:r>
        <w:t>In</w:t>
      </w:r>
      <w:r>
        <w:rPr>
          <w:vertAlign w:val="subscript"/>
        </w:rPr>
        <w:t>0</w:t>
      </w:r>
      <w:r>
        <w:t>.</w:t>
      </w:r>
      <w:r>
        <w:rPr>
          <w:vertAlign w:val="subscript"/>
        </w:rPr>
        <w:t>067</w:t>
      </w:r>
      <w:r>
        <w:t>Cl</w:t>
      </w:r>
      <w:r>
        <w:rPr>
          <w:vertAlign w:val="subscript"/>
        </w:rPr>
        <w:t>3</w:t>
      </w:r>
      <w:r>
        <w:t>(CSIC)/In system wherein systematic optimization of the cathode composite identifies an optimal 30:60:10 (VOCl/CSIC/C) ratio, delivering an initial specific capacity of 169 mAh g</w:t>
      </w:r>
      <w:r>
        <w:t xml:space="preserve"> </w:t>
      </w:r>
      <w:r>
        <w:t>−</w:t>
      </w:r>
      <w:r>
        <w:rPr>
          <w:vertAlign w:val="subscript"/>
        </w:rPr>
        <w:t>1</w:t>
      </w:r>
      <w:r>
        <w:t>. X‐ray diffraction (XRD) with Rietveld refinement and field‐emission scanning electron microscopy (FESEM) confirmed phase purity and uniform particle distribution, while increasing stack pressure from 130 to 400 MPa markedly enhanced interfacial contact and active material utilization. The optimized configuration sustained stable cycling over 500 cycles at 0.1 mA cm</w:t>
      </w:r>
      <w:r>
        <w:t xml:space="preserve"> </w:t>
      </w:r>
      <w:r>
        <w:t>−</w:t>
      </w:r>
      <w:r>
        <w:rPr>
          <w:vertAlign w:val="subscript"/>
        </w:rPr>
        <w:t>2</w:t>
      </w:r>
      <w:r>
        <w:t>with nearly 100% Coulombic efficiency. Time‐resolved electrochemical impedance spectroscopy (EIS), analyzed using the distribution of relaxation times (DRT) method, identified the VOCl–CSIC cathode interface as the dominant resistance contributor, while the In–CSIC anode remained comparatively stable. Ex situ XRD and focused ion beam–scanning electron microscopy (FIB‐SEM) corroborated these findings, revealing reversible phase transitions alongside structural breathing, particle cracking, and void formation. This work provides a kinetically and structurally rationalized design strategy toward durable ASS‐anionic shuttle batteries based on powdered electrode architectures.</w:t>
      </w:r>
    </w:p>
    <w:p>
      <w:pPr>
        <w:spacing w:before="120" w:after="120"/>
      </w:pPr>
      <w:r>
        <w:rPr>
          <w:sz w:val="18"/>
        </w:rPr>
        <w:t>——————————————————————————————————————————————————————————————————————</w:t>
      </w:r>
    </w:p>
    <w:p>
      <w:pPr>
        <w:spacing w:before="160" w:after="40" w:line="240" w:lineRule="auto"/>
      </w:pPr>
      <w:r>
        <w:rPr>
          <w:b/>
        </w:rPr>
        <w:t xml:space="preserve">[374] </w:t>
      </w:r>
      <w:hyperlink r:id="rId1099">
        <w:r>
          <w:rPr>
            <w:color w:val="1155CC"/>
            <w:u w:val="single"/>
          </w:rPr>
          <w:t>卷首文章：用于选择性抗坏血酸运输和生物正交信号转导的人工跨膜通道</w:t>
        </w:r>
      </w:hyperlink>
    </w:p>
    <w:p>
      <w:pPr>
        <w:spacing w:before="0" w:after="80"/>
      </w:pPr>
      <w:r>
        <w:rPr>
          <w:i/>
          <w:sz w:val="20"/>
        </w:rPr>
        <w:t>EN: Frontispiece: Artificial Transmembrane Channels for Selective Ascorbic Acid Transport and Bioorthogonal Signal Transduction</w:t>
      </w:r>
    </w:p>
    <w:p>
      <w:pPr>
        <w:spacing w:before="0" w:after="120"/>
      </w:pPr>
      <w:r>
        <w:rPr>
          <w:b/>
        </w:rPr>
        <w:t xml:space="preserve">Source: </w:t>
      </w:r>
      <w:r>
        <w:t>Wiley: Angewandte Chemie International Edition: Table of Contents</w:t>
      </w:r>
      <w:r>
        <w:t xml:space="preserve">    </w:t>
      </w:r>
      <w:r>
        <w:rPr>
          <w:b/>
        </w:rPr>
        <w:t xml:space="preserve">Pub date: </w:t>
      </w:r>
      <w:r>
        <w:t>2026-07-28 07:00:00+00:00</w:t>
      </w:r>
      <w:r>
        <w:t xml:space="preserve">    </w:t>
      </w:r>
      <w:r>
        <w:rPr>
          <w:b/>
        </w:rPr>
        <w:t xml:space="preserve">DOI: </w:t>
      </w:r>
      <w:hyperlink r:id="rId1100">
        <w:r>
          <w:rPr>
            <w:color w:val="1155CC"/>
            <w:u w:val="single"/>
          </w:rPr>
          <w:t>10.1002/anie.2026-m1007033700</w:t>
        </w:r>
      </w:hyperlink>
    </w:p>
    <w:p>
      <w:pPr>
        <w:spacing w:before="0" w:after="120"/>
      </w:pPr>
      <w:r>
        <w:rPr>
          <w:b/>
        </w:rPr>
        <w:t xml:space="preserve">Notes: </w:t>
      </w:r>
      <w:r>
        <w:t>abstract_source=openalex</w:t>
      </w:r>
    </w:p>
    <w:p>
      <w:pPr>
        <w:spacing w:before="0" w:after="80" w:lineRule="auto" w:line="276"/>
      </w:pPr>
      <w:r>
        <w:rPr>
          <w:b/>
        </w:rPr>
        <w:t xml:space="preserve">摘要（ZH）: </w:t>
      </w:r>
      <w:r>
        <w:t>分子运输和信号转导：人工跨膜通道由β-环糊精衍生的离散共价有机纳米管构建。凭借明确的纳米级孔，它们可以高选择性地实现抗坏血酸的高效跨膜传输，并进一步驱动生物正交级联，将外部化学输入转化为仿生膜系统中的荧光信号。更多内容请参见文章编号 e8870673，作者为 Lingyu Zhu、Nan Lv、Xiaoyu Chang、Pengyang Xin 及其同事。</w:t>
      </w:r>
    </w:p>
    <w:p>
      <w:pPr>
        <w:spacing w:before="0" w:after="200" w:lineRule="auto" w:line="276"/>
      </w:pPr>
      <w:r>
        <w:rPr>
          <w:b/>
        </w:rPr>
        <w:t xml:space="preserve">Abstract (EN): </w:t>
      </w:r>
      <w:r>
        <w:t>Molecular Transport and Signal Transduction: Artificial transmembrane channels are constructed from β-cyclodextrin-derived discrete covalent organic nanotubes. With well-defined nanoscale pores, they achieve efficient transmembrane transport of ascorbic acid with high selectivity, and further drive bioorthogonal cascades to convert external chemical inputs into fluorescent signals in biomimetic membrane systems. More in article number e8870673, Lingyu Zhao, Nan Lv, Xiaoyu Chang, Pengyang Xin, and co-workers.</w:t>
      </w:r>
    </w:p>
    <w:p>
      <w:pPr>
        <w:spacing w:before="120" w:after="120"/>
      </w:pPr>
      <w:r>
        <w:rPr>
          <w:sz w:val="18"/>
        </w:rPr>
        <w:t>——————————————————————————————————————————————————————————————————————</w:t>
      </w:r>
    </w:p>
    <w:p>
      <w:pPr>
        <w:spacing w:before="160" w:after="40" w:line="240" w:lineRule="auto"/>
      </w:pPr>
      <w:r>
        <w:rPr>
          <w:b/>
        </w:rPr>
        <w:t xml:space="preserve">[375] </w:t>
      </w:r>
      <w:hyperlink r:id="rId1101">
        <w:r>
          <w:rPr>
            <w:color w:val="1155CC"/>
            <w:u w:val="single"/>
          </w:rPr>
          <w:t>皮层场景处理网络出现在婴儿期，早于独立导航体验</w:t>
        </w:r>
      </w:hyperlink>
    </w:p>
    <w:p>
      <w:pPr>
        <w:spacing w:before="0" w:after="80"/>
      </w:pPr>
      <w:r>
        <w:rPr>
          <w:i/>
          <w:sz w:val="20"/>
        </w:rPr>
        <w:t>EN: The cortical scene processing network emerges in infancy, prior to independent navigation experience</w:t>
      </w:r>
    </w:p>
    <w:p>
      <w:pPr>
        <w:spacing w:before="0" w:after="120"/>
      </w:pPr>
      <w:r>
        <w:rPr>
          <w:b/>
        </w:rPr>
        <w:t xml:space="preserve">Source: </w:t>
      </w:r>
      <w:r>
        <w:t>Proceedings of the National Academy of Sciences: Keyword search for query</w:t>
      </w:r>
      <w:r>
        <w:t xml:space="preserve">    </w:t>
      </w:r>
      <w:r>
        <w:rPr>
          <w:b/>
        </w:rPr>
        <w:t xml:space="preserve">Pub date: </w:t>
      </w:r>
      <w:r>
        <w:t>2026-07-28 07:00:00+00:00</w:t>
      </w:r>
      <w:r>
        <w:t xml:space="preserve">    </w:t>
      </w:r>
      <w:r>
        <w:rPr>
          <w:b/>
        </w:rPr>
        <w:t xml:space="preserve">DOI: </w:t>
      </w:r>
      <w:hyperlink r:id="rId1102">
        <w:r>
          <w:rPr>
            <w:color w:val="1155CC"/>
            <w:u w:val="single"/>
          </w:rPr>
          <w:t>10.1073/pnas.2513126123</w:t>
        </w:r>
      </w:hyperlink>
    </w:p>
    <w:p>
      <w:pPr>
        <w:spacing w:before="0" w:after="120"/>
      </w:pPr>
      <w:r>
        <w:rPr>
          <w:b/>
        </w:rPr>
        <w:t xml:space="preserve">Notes: </w:t>
      </w:r>
      <w:r>
        <w:t>abstract_source=crossref</w:t>
      </w:r>
    </w:p>
    <w:p>
      <w:pPr>
        <w:spacing w:before="0" w:after="80" w:lineRule="auto" w:line="276"/>
      </w:pPr>
      <w:r>
        <w:rPr>
          <w:b/>
        </w:rPr>
        <w:t xml:space="preserve">摘要（ZH）: </w:t>
      </w:r>
      <w:r>
        <w:t>视力正常的人依靠视觉来识别和导航当地环境。到了成年期，人类皮层至少包含三个对视觉场景信息有选择性反应的区域，但这些区域何时或如何发育仍不清楚。一种假设是场景选择性的发展取决于被动暴露于场景的低级视觉统计数据。另一个假设是，发展取决于使用场景信息来规划和指导导航的主动经验。通过生态瞬时评估，我们测量了婴儿在生命最初几个月经历的向前自我运动和主动导航的数量。到 5 个月大时，婴儿累计经历了大约 340 小时的面向前方的自我运动，几乎完全是被动的。接下来，我们对 2 至 9 个月大的婴儿使用功能性 MRI 来测量对场景的神经反应。清醒的婴儿通过现实世界的场景观看自我运动的视频，以及面部、物体的视频和乱序的视频。我们发现，在所有三个皮质场景区域的位置，对场景的反应比控制条件更强。婴儿场景区域 a) 的反应与附近面部和物体区域的反应是分离的； b) 不能用低级视觉特征充分解释； c）甚至在没有运动经验的婴儿的子样本中也被发现。因此，场景选择性的基本特征在独立导航之前就出现了，并且对场景的诊断视觉统计数据的被动视觉暴露有限。</w:t>
      </w:r>
    </w:p>
    <w:p>
      <w:pPr>
        <w:spacing w:before="0" w:after="200" w:lineRule="auto" w:line="276"/>
      </w:pPr>
      <w:r>
        <w:rPr>
          <w:b/>
        </w:rPr>
        <w:t xml:space="preserve">Abstract (EN): </w:t>
      </w:r>
      <w:r>
        <w:t>Sighted people rely on vision to recognize and navigate the local environment. By adulthood, human cortex contains at least three regions that respond selectively to visual scene information, but it remains unknown when or how these regions develop. One hypothesis is that development of scene selectivity depends on passive exposure to the low-level visual statistics of scenes. Another hypothesis is that development depends on active experience using scene information to plan and guide navigation. Using ecological momentary assessment, we measured the quantity of forward-facing ego-motion and active navigation that infants experienced in the first months of life. By age 5 mo, infants cumulatively experienced around 340 h of forward facing ego-motion, almost exclusively passive. Next we used functional MRI in infants aged 2 to 9 mo to measure neural responses to scenes. Awake infants watched videos of ego-motion through real-world scenes, as well as videos of faces, objects, and scrambled videos. We found stronger responses to scenes than control conditions in the location of all three cortical scene regions. Responses in infant scene regions a) were dissociable from those in nearby face and object regions; b) could not be fully explained by low-level visual features; and c) were found even in subsamples of infants with no locomotor experience. Thus, the basic signature of scene selectivity emerges prior to independent navigation and with limited passive visual exposure to the diagnostic visual statistics of scenes.</w:t>
      </w:r>
    </w:p>
    <w:p>
      <w:pPr>
        <w:spacing w:before="120" w:after="120"/>
      </w:pPr>
      <w:r>
        <w:rPr>
          <w:sz w:val="18"/>
        </w:rPr>
        <w:t>——————————————————————————————————————————————————————————————————————</w:t>
      </w:r>
    </w:p>
    <w:p>
      <w:pPr>
        <w:spacing w:before="160" w:after="40" w:line="240" w:lineRule="auto"/>
      </w:pPr>
      <w:r>
        <w:rPr>
          <w:b/>
        </w:rPr>
        <w:t xml:space="preserve">[376] </w:t>
      </w:r>
      <w:hyperlink r:id="rId1103">
        <w:r>
          <w:rPr>
            <w:color w:val="1155CC"/>
            <w:u w:val="single"/>
          </w:rPr>
          <w:t>美国未来 250 年的科学</w:t>
        </w:r>
      </w:hyperlink>
    </w:p>
    <w:p>
      <w:pPr>
        <w:spacing w:before="0" w:after="80"/>
      </w:pPr>
      <w:r>
        <w:rPr>
          <w:i/>
          <w:sz w:val="20"/>
        </w:rPr>
        <w:t>EN: Science for America’s next 250 years</w:t>
      </w:r>
    </w:p>
    <w:p>
      <w:pPr>
        <w:spacing w:before="0" w:after="120"/>
      </w:pPr>
      <w:r>
        <w:rPr>
          <w:b/>
        </w:rPr>
        <w:t xml:space="preserve">Source: </w:t>
      </w:r>
      <w:r>
        <w:t>Proceedings of the National Academy of Sciences: Keyword search for query</w:t>
      </w:r>
      <w:r>
        <w:t xml:space="preserve">    </w:t>
      </w:r>
      <w:r>
        <w:rPr>
          <w:b/>
        </w:rPr>
        <w:t xml:space="preserve">Pub date: </w:t>
      </w:r>
      <w:r>
        <w:t>2026-07-28 07:00:00+00:00</w:t>
      </w:r>
      <w:r>
        <w:t xml:space="preserve">    </w:t>
      </w:r>
      <w:r>
        <w:rPr>
          <w:b/>
        </w:rPr>
        <w:t xml:space="preserve">DOI: </w:t>
      </w:r>
      <w:hyperlink r:id="rId1104">
        <w:r>
          <w:rPr>
            <w:color w:val="1155CC"/>
            <w:u w:val="single"/>
          </w:rPr>
          <w:t>10.1073/pnas.2625034123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[377] </w:t>
      </w:r>
      <w:hyperlink r:id="rId1105">
        <w:r>
          <w:rPr>
            <w:color w:val="1155CC"/>
            <w:u w:val="single"/>
          </w:rPr>
          <w:t>绿蛛植物中病毒来源整合序列的超突变性</w:t>
        </w:r>
      </w:hyperlink>
    </w:p>
    <w:p>
      <w:pPr>
        <w:spacing w:before="0" w:after="80"/>
      </w:pPr>
      <w:r>
        <w:rPr>
          <w:i/>
          <w:sz w:val="20"/>
        </w:rPr>
        <w:t>EN: Hypermutability of integrated sequences of viral origin in a chlorarachniophyte</w:t>
      </w:r>
    </w:p>
    <w:p>
      <w:pPr>
        <w:spacing w:before="0" w:after="120"/>
      </w:pPr>
      <w:r>
        <w:rPr>
          <w:b/>
        </w:rPr>
        <w:t xml:space="preserve">Source: </w:t>
      </w:r>
      <w:r>
        <w:t>Proceedings of the National Academy of Sciences: Keyword search for query</w:t>
      </w:r>
      <w:r>
        <w:t xml:space="preserve">    </w:t>
      </w:r>
      <w:r>
        <w:rPr>
          <w:b/>
        </w:rPr>
        <w:t xml:space="preserve">Pub date: </w:t>
      </w:r>
      <w:r>
        <w:t>2026-07-28 07:00:00+00:00</w:t>
      </w:r>
      <w:r>
        <w:t xml:space="preserve">    </w:t>
      </w:r>
      <w:r>
        <w:rPr>
          <w:b/>
        </w:rPr>
        <w:t xml:space="preserve">DOI: </w:t>
      </w:r>
      <w:hyperlink r:id="rId1106">
        <w:r>
          <w:rPr>
            <w:color w:val="1155CC"/>
            <w:u w:val="single"/>
          </w:rPr>
          <w:t>10.1073/pnas.2612999123</w:t>
        </w:r>
      </w:hyperlink>
    </w:p>
    <w:p>
      <w:pPr>
        <w:spacing w:before="0" w:after="120"/>
      </w:pPr>
      <w:r>
        <w:rPr>
          <w:b/>
        </w:rPr>
        <w:t xml:space="preserve">Notes: </w:t>
      </w:r>
      <w:r>
        <w:t>abstract_source=crossref</w:t>
      </w:r>
    </w:p>
    <w:p>
      <w:pPr>
        <w:spacing w:before="0" w:after="80" w:lineRule="auto" w:line="276"/>
      </w:pPr>
      <w:r>
        <w:rPr>
          <w:b/>
        </w:rPr>
        <w:t xml:space="preserve">摘要（ZH）: </w:t>
      </w:r>
      <w:r>
        <w:t>突变为进化提供了原材料，但基因组中的突变率并不统一。在海洋浮游植物中进行突变积累实验</w:t>
      </w:r>
      <w:r>
        <w:t xml:space="preserve"> </w:t>
      </w:r>
      <w:r>
        <w:t>毕格罗维埃拉</w:t>
      </w:r>
      <w:r>
        <w:t xml:space="preserve"> </w:t>
      </w:r>
      <w:r>
        <w:t>，我们发现突变率存在极大的局部变异：其核基因组之间存在超过 1,000 倍的差异。而基线单核苷酸突变率约为 3.5 × 10</w:t>
      </w:r>
      <w:r>
        <w:t xml:space="preserve"> </w:t>
      </w:r>
      <w:r>
        <w:t>–10</w:t>
      </w:r>
      <w:r>
        <w:t xml:space="preserve"> </w:t>
      </w:r>
      <w:r>
        <w:t>每个位点每代，这是单细胞物种的共同值，源自整合病毒的两个基因组区域表现出约 6 × 10 的惊人升高率</w:t>
      </w:r>
      <w:r>
        <w:t xml:space="preserve"> </w:t>
      </w:r>
      <w:r>
        <w:t>–7</w:t>
      </w:r>
      <w:r>
        <w:t xml:space="preserve"> </w:t>
      </w:r>
      <w:r>
        <w:t>。这两个区域显示出独特的突变特征，几乎完全具有 T/A→C/G 转换，这种模式也存在于其他非真核生物衍生的序列中</w:t>
      </w:r>
      <w:r>
        <w:t xml:space="preserve"> </w:t>
      </w:r>
      <w:r>
        <w:t>B. 纳坦斯</w:t>
      </w:r>
      <w:r>
        <w:t xml:space="preserve"> </w:t>
      </w:r>
      <w:r>
        <w:t>，与通常的 GC 到 AT 突变偏差相反。值得注意的是，超突变仅发生在 TpA 二核苷酸上，并且仅发生在实验品系的子集中，表明这是一个受调控的过程，而不是随机的基因组不稳定。我们建议</w:t>
      </w:r>
      <w:r>
        <w:t xml:space="preserve"> </w:t>
      </w:r>
      <w:r>
        <w:t>B. 纳坦斯</w:t>
      </w:r>
      <w:r>
        <w:t xml:space="preserve"> </w:t>
      </w:r>
      <w:r>
        <w:t>通过局部超突变来攻击 DNA，这让人想起动物中基于脱氨基的抗病毒防御系统。这促使人们想到将基因组编辑作为真核生物中一种反复出现的免疫策略。</w:t>
      </w:r>
    </w:p>
    <w:p>
      <w:pPr>
        <w:spacing w:before="0" w:after="200" w:lineRule="auto" w:line="276"/>
      </w:pPr>
      <w:r>
        <w:rPr>
          <w:b/>
        </w:rPr>
        <w:t xml:space="preserve">Abstract (EN): </w:t>
      </w:r>
      <w:r>
        <w:t>Mutations provide the raw material for evolution, but mutation rates are not uniform across genomes. Using a mutation accumulation experiment in the marine phytoplankton</w:t>
      </w:r>
      <w:r>
        <w:t xml:space="preserve"> </w:t>
      </w:r>
      <w:r>
        <w:t>Bigelowiella natans</w:t>
      </w:r>
      <w:r>
        <w:t xml:space="preserve"> </w:t>
      </w:r>
      <w:r>
        <w:t>, we found extreme local variation in mutation rate: over 1,000-fold differences across its nuclear genome. While the baseline single-nucleotide mutation rate is approximately 3.5 × 10</w:t>
      </w:r>
      <w:r>
        <w:t xml:space="preserve"> </w:t>
      </w:r>
      <w:r>
        <w:t>–10</w:t>
      </w:r>
      <w:r>
        <w:t xml:space="preserve"> </w:t>
      </w:r>
      <w:r>
        <w:t>per site per generation, a common value for unicellular species, two genomic regions derived from integrated viruses exhibit strikingly elevated rates of about 6 × 10</w:t>
      </w:r>
      <w:r>
        <w:t xml:space="preserve"> </w:t>
      </w:r>
      <w:r>
        <w:t>–7</w:t>
      </w:r>
      <w:r>
        <w:t xml:space="preserve"> </w:t>
      </w:r>
      <w:r>
        <w:t>. These two regions show a distinctive mutational signature with almost exclusively T/A→C/G transitions, a pattern also found in other non-eukaryote-derived sequences in</w:t>
      </w:r>
      <w:r>
        <w:t xml:space="preserve"> </w:t>
      </w:r>
      <w:r>
        <w:t>B. natans</w:t>
      </w:r>
      <w:r>
        <w:t xml:space="preserve"> </w:t>
      </w:r>
      <w:r>
        <w:t>, contrary to the usual GC to AT mutation bias. Notably, hypermutation occurs only on TpA dinucleotides, and only in a subset of experimental lines, suggesting a regulated process rather than random genomic instability. We propose that</w:t>
      </w:r>
      <w:r>
        <w:t xml:space="preserve"> </w:t>
      </w:r>
      <w:r>
        <w:t>B. natans</w:t>
      </w:r>
      <w:r>
        <w:t xml:space="preserve"> </w:t>
      </w:r>
      <w:r>
        <w:t>targets invading DNA through localized hypermutation, reminiscent of deamination-based antiviral defense systems in animals. This prompts the idea of genome editing as a recurring immune strategy in eukaryotes.</w:t>
      </w:r>
    </w:p>
    <w:p>
      <w:pPr>
        <w:spacing w:before="120" w:after="120"/>
      </w:pPr>
      <w:r>
        <w:rPr>
          <w:sz w:val="18"/>
        </w:rPr>
        <w:t>——————————————————————————————————————————————————————————————————————</w:t>
      </w:r>
    </w:p>
    <w:p>
      <w:pPr>
        <w:spacing w:before="160" w:after="40" w:line="240" w:lineRule="auto"/>
      </w:pPr>
      <w:r>
        <w:rPr>
          <w:b/>
        </w:rPr>
        <w:t xml:space="preserve">[378] </w:t>
      </w:r>
      <w:hyperlink r:id="rId1107">
        <w:r>
          <w:rPr>
            <w:color w:val="1155CC"/>
            <w:u w:val="single"/>
          </w:rPr>
          <w:t>独特的修复过程会在酵母和人类细胞中产生 APOBEC 诱导的缺失、串联取代和复杂突变</w:t>
        </w:r>
      </w:hyperlink>
    </w:p>
    <w:p>
      <w:pPr>
        <w:spacing w:before="0" w:after="80"/>
      </w:pPr>
      <w:r>
        <w:rPr>
          <w:i/>
          <w:sz w:val="20"/>
        </w:rPr>
        <w:t>EN: Distinct repair processes produce APOBEC-induced deletions, tandem substitutions, and complex mutations in yeast and human cells</w:t>
      </w:r>
    </w:p>
    <w:p>
      <w:pPr>
        <w:spacing w:before="0" w:after="120"/>
      </w:pPr>
      <w:r>
        <w:rPr>
          <w:b/>
        </w:rPr>
        <w:t xml:space="preserve">Source: </w:t>
      </w:r>
      <w:r>
        <w:t>Proceedings of the National Academy of Sciences: Keyword search for query</w:t>
      </w:r>
      <w:r>
        <w:t xml:space="preserve">    </w:t>
      </w:r>
      <w:r>
        <w:rPr>
          <w:b/>
        </w:rPr>
        <w:t xml:space="preserve">Pub date: </w:t>
      </w:r>
      <w:r>
        <w:t>2026-07-28 07:00:00+00:00</w:t>
      </w:r>
      <w:r>
        <w:t xml:space="preserve">    </w:t>
      </w:r>
      <w:r>
        <w:rPr>
          <w:b/>
        </w:rPr>
        <w:t xml:space="preserve">DOI: </w:t>
      </w:r>
      <w:hyperlink r:id="rId1108">
        <w:r>
          <w:rPr>
            <w:color w:val="1155CC"/>
            <w:u w:val="single"/>
          </w:rPr>
          <w:t>10.1073/pnas.2609794123</w:t>
        </w:r>
      </w:hyperlink>
    </w:p>
    <w:p>
      <w:pPr>
        <w:spacing w:before="0" w:after="120"/>
      </w:pPr>
      <w:r>
        <w:rPr>
          <w:b/>
        </w:rPr>
        <w:t xml:space="preserve">Notes: </w:t>
      </w:r>
      <w:r>
        <w:t>abstract_source=crossref</w:t>
      </w:r>
    </w:p>
    <w:p>
      <w:pPr>
        <w:spacing w:before="0" w:after="80" w:lineRule="auto" w:line="276"/>
      </w:pPr>
      <w:r>
        <w:rPr>
          <w:b/>
        </w:rPr>
        <w:t xml:space="preserve">摘要（ZH）: </w:t>
      </w:r>
      <w:r>
        <w:t>APOBEC3A (A3A) 和 APOBEC3B (A3B) 诱导单碱基替换特征 SBS2 和 SBS13，分别由 T 处的 C&gt;T 和 C&gt;G 突变组成</w:t>
      </w:r>
      <w:r>
        <w:t xml:space="preserve"> </w:t>
      </w:r>
      <w:r>
        <w:t>C</w:t>
      </w:r>
      <w:r>
        <w:t xml:space="preserve"> </w:t>
      </w:r>
      <w:r>
        <w:t>&gt; 50% 的已测序肿瘤中有 W 序列。然而，很少有驱动突变归因于 APOBEC 诱导的 SBS 突变。尽管 SBS2 和 SBS13 与其他突变类型相关，但 APOBEC 对非 SBS 突变的贡献以及产生非典型 APOBEC 诱导突变的机制尚不清楚。在这里，我们表明 A3A 表达会产生非 SBS 突变，包括 TT 内的 C 缺失</w:t>
      </w:r>
      <w:r>
        <w:t xml:space="preserve"> </w:t>
      </w:r>
      <w:r>
        <w:t>C</w:t>
      </w:r>
      <w:r>
        <w:t xml:space="preserve"> </w:t>
      </w:r>
      <w:r>
        <w:t>图案，CC&gt;TT 和 T</w:t>
      </w:r>
      <w:r>
        <w:t xml:space="preserve"> </w:t>
      </w:r>
      <w:r>
        <w:t>C</w:t>
      </w:r>
      <w:r>
        <w:t xml:space="preserve"> </w:t>
      </w:r>
      <w:r>
        <w:t>&gt;酵母模型系统中的 AT/CT/GT 二核苷酸变体 (DNV)、配对 SNV-SNV 事件的不同类别以及复杂的插入 SBS 突变。此外，我们发现乳腺癌细胞系中的内源性 APOBEC 表达是所有这些突变类型的重要驱动因素。此外，我们还发现 TT 中的 C 缺失和复杂的插入 SBS 突变</w:t>
      </w:r>
      <w:r>
        <w:t xml:space="preserve"> </w:t>
      </w:r>
      <w:r>
        <w:t>C</w:t>
      </w:r>
      <w:r>
        <w:t xml:space="preserve"> </w:t>
      </w:r>
      <w:r>
        <w:t>基序主要通过 APOBEC 诱导的、UNG 依赖性、无碱基位点的跨损伤合成 (TLS) 旁路期间的链滑移而发生。此外，我们发现 CC&gt;TT 和 T</w:t>
      </w:r>
      <w:r>
        <w:t xml:space="preserve"> </w:t>
      </w:r>
      <w:r>
        <w:t>C</w:t>
      </w:r>
      <w:r>
        <w:t xml:space="preserve"> </w:t>
      </w:r>
      <w:r>
        <w:t>&gt; AT/CT/GT DNV 包含 APOBEC 相关的 DBS11 签名，分别通过 dU 模板和 APOBEC 诱导的无碱基站点的 TLS 旁路生成。我们还提供的数据表明，分阶段 APOBEC 诱导</w:t>
      </w:r>
    </w:p>
    <w:p>
      <w:pPr>
        <w:spacing w:before="0" w:after="200" w:lineRule="auto" w:line="276"/>
      </w:pPr>
      <w:r>
        <w:rPr>
          <w:b/>
        </w:rPr>
        <w:t xml:space="preserve">Abstract (EN): </w:t>
      </w:r>
      <w:r>
        <w:t>APOBEC3A (A3A) and APOBEC3B (A3B) induce single base substitution signatures SBS2 and SBS13, which are composed of C&amp;gt;T and C&amp;gt;G mutations, respectively, at T</w:t>
      </w:r>
      <w:r>
        <w:t xml:space="preserve"> </w:t>
      </w:r>
      <w:r>
        <w:t>C</w:t>
      </w:r>
      <w:r>
        <w:t xml:space="preserve"> </w:t>
      </w:r>
      <w:r>
        <w:t>W sequences in &amp;gt;50% of sequenced tumors. However, few driver mutations have been attributed to APOBEC-induced SBS mutations. Although SBS2 and SBS13 have been associated with additional mutation types, the contribution of APOBECs to non-SBS mutations and the mechanisms that generate noncanonical APOBEC-induced mutations are uncharacterized. Here, we show that A3A expression generates non-SBS mutations including C deletions within TT</w:t>
      </w:r>
      <w:r>
        <w:t xml:space="preserve"> </w:t>
      </w:r>
      <w:r>
        <w:t>C</w:t>
      </w:r>
      <w:r>
        <w:t xml:space="preserve"> </w:t>
      </w:r>
      <w:r>
        <w:t>motifs, CC&amp;gt;TT and T</w:t>
      </w:r>
      <w:r>
        <w:t xml:space="preserve"> </w:t>
      </w:r>
      <w:r>
        <w:t>C</w:t>
      </w:r>
      <w:r>
        <w:t xml:space="preserve"> </w:t>
      </w:r>
      <w:r>
        <w:t>&amp;gt;AT/CT/GT dinucleotide variants (DNVs), distinct classes of paired SNV-SNV events, and complex insertion-SBS mutations in a yeast model system. Furthermore, we found that endogenous APOBEC expression in breast cancer cell lines is a significant driver of all these mutation types. In addition, we show that C deletions and complex insertion-SBS mutations within TT</w:t>
      </w:r>
      <w:r>
        <w:t xml:space="preserve"> </w:t>
      </w:r>
      <w:r>
        <w:t>C</w:t>
      </w:r>
      <w:r>
        <w:t xml:space="preserve"> </w:t>
      </w:r>
      <w:r>
        <w:t>motifs occur primarily by strand slippage during translesion synthesis (TLS) bypass of APOBEC-induced, UNG-dependent, abasic sites. Additionally, we found that CC&amp;gt;TT and T</w:t>
      </w:r>
      <w:r>
        <w:t xml:space="preserve"> </w:t>
      </w:r>
      <w:r>
        <w:t>C</w:t>
      </w:r>
      <w:r>
        <w:t xml:space="preserve"> </w:t>
      </w:r>
      <w:r>
        <w:t>&amp;gt;AT/CT/GT DNVs, which comprise the APOBEC-associated DBS11 signature, are generated by dU templating and TLS bypass of APOBEC-induced abasic sites, respectively. We also present data indicating that phased APOBEC-induced SNV-SNV mutations are produced during abasic site bypass by TLS. Analysis of WGS data from cultured human cells and tumors indicates that similar mechanisms generate these noncanonical APOBEC-induced mutations in human cancers, providing additional means by which APOBECs could contribute to carcinogenesis and therapeutic resistance.</w:t>
      </w:r>
    </w:p>
    <w:p>
      <w:pPr>
        <w:spacing w:before="120" w:after="120"/>
      </w:pPr>
      <w:r>
        <w:rPr>
          <w:sz w:val="18"/>
        </w:rPr>
        <w:t>——————————————————————————————————————————————————————————————————————</w:t>
      </w:r>
    </w:p>
    <w:p>
      <w:pPr>
        <w:spacing w:before="160" w:after="40" w:line="240" w:lineRule="auto"/>
      </w:pPr>
      <w:r>
        <w:rPr>
          <w:b/>
        </w:rPr>
        <w:t xml:space="preserve">[379] </w:t>
      </w:r>
      <w:hyperlink r:id="rId1109">
        <w:r>
          <w:rPr>
            <w:color w:val="1155CC"/>
            <w:u w:val="single"/>
          </w:rPr>
          <w:t>应对气候厄运的心理疫苗</w:t>
        </w:r>
      </w:hyperlink>
    </w:p>
    <w:p>
      <w:pPr>
        <w:spacing w:before="0" w:after="80"/>
      </w:pPr>
      <w:r>
        <w:rPr>
          <w:i/>
          <w:sz w:val="20"/>
        </w:rPr>
        <w:t>EN: Psychological inoculation against climate doom</w:t>
      </w:r>
    </w:p>
    <w:p>
      <w:pPr>
        <w:spacing w:before="0" w:after="120"/>
      </w:pPr>
      <w:r>
        <w:rPr>
          <w:b/>
        </w:rPr>
        <w:t xml:space="preserve">Source: </w:t>
      </w:r>
      <w:r>
        <w:t>Proceedings of the National Academy of Sciences: Keyword search for query</w:t>
      </w:r>
      <w:r>
        <w:t xml:space="preserve">    </w:t>
      </w:r>
      <w:r>
        <w:rPr>
          <w:b/>
        </w:rPr>
        <w:t xml:space="preserve">Pub date: </w:t>
      </w:r>
      <w:r>
        <w:t>2026-07-28 07:00:00+00:00</w:t>
      </w:r>
      <w:r>
        <w:t xml:space="preserve">    </w:t>
      </w:r>
      <w:r>
        <w:rPr>
          <w:b/>
        </w:rPr>
        <w:t xml:space="preserve">DOI: </w:t>
      </w:r>
      <w:hyperlink r:id="rId1110">
        <w:r>
          <w:rPr>
            <w:color w:val="1155CC"/>
            <w:u w:val="single"/>
          </w:rPr>
          <w:t>10.1073/pnas.2609074123</w:t>
        </w:r>
      </w:hyperlink>
    </w:p>
    <w:p>
      <w:pPr>
        <w:spacing w:before="0" w:after="120"/>
      </w:pPr>
      <w:r>
        <w:rPr>
          <w:b/>
        </w:rPr>
        <w:t xml:space="preserve">Notes: </w:t>
      </w:r>
      <w:r>
        <w:t>abstract_source=crossref</w:t>
      </w:r>
    </w:p>
    <w:p>
      <w:pPr>
        <w:spacing w:before="0" w:after="80" w:lineRule="auto" w:line="276"/>
      </w:pPr>
      <w:r>
        <w:rPr>
          <w:b/>
        </w:rPr>
        <w:t xml:space="preserve">摘要（ZH）: </w:t>
      </w:r>
      <w:r>
        <w:t>人们在社交媒体上遇到了“气候末日”，即对气候变化的极端描述。虽然气候厄运可能旨在激发行动，但它也可能被视为操纵或引发绝望。然而，还没有研究检验心理接种是否有助于提高对气候厄运的认识或影响社交媒体上的参与度。在这项预先注册的研究中（</w:t>
      </w:r>
      <w:r>
        <w:t xml:space="preserve"> </w:t>
      </w:r>
      <w:r>
        <w:t>n</w:t>
      </w:r>
      <w:r>
        <w:t xml:space="preserve"> </w:t>
      </w:r>
      <w:r>
        <w:t>= 521），我们通过使用社交媒体模拟器收集行为数据来测试接种是否可以提高对气候厄运的洞察力并影响对其的参与。我们发现，接种大大提高了对气候厄运的洞察力，这是由于对厄运消息的感知操纵增加了（</w:t>
      </w:r>
      <w:r>
        <w:t xml:space="preserve"> </w:t>
      </w:r>
      <w:r>
        <w:t>d</w:t>
      </w:r>
      <w:r>
        <w:t xml:space="preserve"> </w:t>
      </w:r>
      <w:r>
        <w:t>= 0.68）。接种条件和政治倾向之间没有相互作用，虽然对末日内容的感知操纵越高，预测的行为意图就越低，但接种并没有调节这种关系。接种增加了参与度，特别是不喜欢和标记末日内容，并减少了分享。总的来说，我们的结果应该引导气候传播者重新考虑将末日信息传递为一种动员策略，并证明预防接种是提高整个政治领域对气候末日的认识和关键参与的有效工具。</w:t>
      </w:r>
    </w:p>
    <w:p>
      <w:pPr>
        <w:spacing w:before="0" w:after="200" w:lineRule="auto" w:line="276"/>
      </w:pPr>
      <w:r>
        <w:rPr>
          <w:b/>
        </w:rPr>
        <w:t xml:space="preserve">Abstract (EN): </w:t>
      </w:r>
      <w:r>
        <w:t>Individuals encounter “climate doom,” extreme portrayals of climate change, on social media. While climate doom may be intended to motivate action, it may also be perceived as manipulative or elicit hopelessness. Yet, no research has examined whether psychological inoculation helps to improve recognition of climate doom or influences engagement with it on social media. In this preregistered study (</w:t>
      </w:r>
      <w:r>
        <w:t xml:space="preserve"> </w:t>
      </w:r>
      <w:r>
        <w:t>n</w:t>
      </w:r>
      <w:r>
        <w:t xml:space="preserve"> </w:t>
      </w:r>
      <w:r>
        <w:t>= 521), we tested whether inoculation improves discernment of climate doom and influences engagement with it by collecting behavioral data using a social media simulator. We find that inoculation substantially improves discernment of climate doom and that this is due to increased perceived manipulation of doom messaging specifically (</w:t>
      </w:r>
      <w:r>
        <w:t xml:space="preserve"> </w:t>
      </w:r>
      <w:r>
        <w:t>d</w:t>
      </w:r>
      <w:r>
        <w:t xml:space="preserve"> </w:t>
      </w:r>
      <w:r>
        <w:t>= 0.68). There was no interaction between the inoculation condition and political leaning and while higher perceived manipulation of doom content predicted lower behavioral intentions, inoculation did not moderate this relationship. Inoculation increased engagement, particularly disliking and flagging of doom content, and decreased sharing. Overall, our results should lead climate communicators to reconsider doom messaging as a mobilization strategy and demonstrate that inoculation is an effective tool for increasing recognition of, and critical engagement with, climate doom across the political spectrum.</w:t>
      </w:r>
    </w:p>
    <w:p>
      <w:pPr>
        <w:spacing w:before="120" w:after="120"/>
      </w:pPr>
      <w:r>
        <w:rPr>
          <w:sz w:val="18"/>
        </w:rPr>
        <w:t>——————————————————————————————————————————————————————————————————————</w:t>
      </w:r>
    </w:p>
    <w:p>
      <w:pPr>
        <w:spacing w:before="160" w:after="40" w:line="240" w:lineRule="auto"/>
      </w:pPr>
      <w:r>
        <w:rPr>
          <w:b/>
        </w:rPr>
        <w:t xml:space="preserve">[380] </w:t>
      </w:r>
      <w:hyperlink r:id="rId1111">
        <w:r>
          <w:rPr>
            <w:color w:val="1155CC"/>
            <w:u w:val="single"/>
          </w:rPr>
          <w:t>将语言接触视为正常：班图语系史前历史的合并理论模型</w:t>
        </w:r>
      </w:hyperlink>
    </w:p>
    <w:p>
      <w:pPr>
        <w:spacing w:before="0" w:after="80"/>
      </w:pPr>
      <w:r>
        <w:rPr>
          <w:i/>
          <w:sz w:val="20"/>
        </w:rPr>
        <w:t>EN: Treating language contact as normal: Coalescent-theoretic modeling of the prehistory of the Bantu language family</w:t>
      </w:r>
    </w:p>
    <w:p>
      <w:pPr>
        <w:spacing w:before="0" w:after="120"/>
      </w:pPr>
      <w:r>
        <w:rPr>
          <w:b/>
        </w:rPr>
        <w:t xml:space="preserve">Source: </w:t>
      </w:r>
      <w:r>
        <w:t>Proceedings of the National Academy of Sciences: Keyword search for query</w:t>
      </w:r>
      <w:r>
        <w:t xml:space="preserve">    </w:t>
      </w:r>
      <w:r>
        <w:rPr>
          <w:b/>
        </w:rPr>
        <w:t xml:space="preserve">Pub date: </w:t>
      </w:r>
      <w:r>
        <w:t>2026-07-28 07:00:00+00:00</w:t>
      </w:r>
      <w:r>
        <w:t xml:space="preserve">    </w:t>
      </w:r>
      <w:r>
        <w:rPr>
          <w:b/>
        </w:rPr>
        <w:t xml:space="preserve">DOI: </w:t>
      </w:r>
      <w:hyperlink r:id="rId1112">
        <w:r>
          <w:rPr>
            <w:color w:val="1155CC"/>
            <w:u w:val="single"/>
          </w:rPr>
          <w:t>10.1073/pnas.2608670123</w:t>
        </w:r>
      </w:hyperlink>
    </w:p>
    <w:p>
      <w:pPr>
        <w:spacing w:before="0" w:after="120"/>
      </w:pPr>
      <w:r>
        <w:rPr>
          <w:b/>
        </w:rPr>
        <w:t xml:space="preserve">Notes: </w:t>
      </w:r>
      <w:r>
        <w:t>abstract_source=crossref</w:t>
      </w:r>
    </w:p>
    <w:p>
      <w:pPr>
        <w:spacing w:before="0" w:after="80" w:lineRule="auto" w:line="276"/>
      </w:pPr>
      <w:r>
        <w:rPr>
          <w:b/>
        </w:rPr>
        <w:t xml:space="preserve">摘要（ZH）: </w:t>
      </w:r>
      <w:r>
        <w:t>从语言数量、地理范围和使用者人数来看，撒哈拉以南非洲的班图语系是世界上最大的语系之一。班图语的扩张是人类历史上大规模语系扩张的一个重要例子。要了解班图语系的早期史前史，我们需要将原始分裂和多样化的信号与随后的语言接触（众所周知，班图语系中的语言接触很强烈）的信号分开。我们引入了一种合并理论模型来通过计算研究班图家族的史前史。与早期的计算工作相比，我们的模型将语言接触视为一种常态，而不是罕见的例外。应用近似贝叶斯计算，我们发现班图语系中语言变化和语言接触的比率非常高，以至于原始多样化的信号在当前可用的班图语词汇数据中已被很大程度上消除。</w:t>
      </w:r>
    </w:p>
    <w:p>
      <w:pPr>
        <w:spacing w:before="0" w:after="200" w:lineRule="auto" w:line="276"/>
      </w:pPr>
      <w:r>
        <w:rPr>
          <w:b/>
        </w:rPr>
        <w:t xml:space="preserve">Abstract (EN): </w:t>
      </w:r>
      <w:r>
        <w:t>The Bantu language family of sub-Saharan Africa is among the largest in the world by the number of languages, by geographical extent, and by the number of speakers. The expansion of the Bantu languages is an important example of large-scale language-family expansions in the history of humankind. To learn the early prehistory of the Bantu language family, one needs to disentangle the signal of the original splits and diversification from that of the subsequent language contact, known to be strong in the Bantu languages. We introduce a coalescent-theoretic model to computationally study the prehistory of the Bantu family. Our model treats language contact as a norm rather than a rare exception, in contrast to earlier computational work. Applying Approximate Bayesian Computation, we show the rates of both language change and language contact to have been so high within the Bantu family that the signal of the original diversification has been largely erased in the currently available Bantu lexical data.</w:t>
      </w:r>
    </w:p>
    <w:p>
      <w:pPr>
        <w:spacing w:before="120" w:after="120"/>
      </w:pPr>
      <w:r>
        <w:rPr>
          <w:sz w:val="18"/>
        </w:rPr>
        <w:t>——————————————————————————————————————————————————————————————————————</w:t>
      </w:r>
    </w:p>
    <w:p>
      <w:pPr>
        <w:spacing w:before="160" w:after="40" w:line="240" w:lineRule="auto"/>
      </w:pPr>
      <w:r>
        <w:rPr>
          <w:b/>
        </w:rPr>
        <w:t xml:space="preserve">[381] </w:t>
      </w:r>
      <w:hyperlink r:id="rId1113">
        <w:r>
          <w:rPr>
            <w:color w:val="1155CC"/>
            <w:u w:val="single"/>
          </w:rPr>
          <w:t>花转录因子的平衡多态性是鳄梨日常性别交替的古老节奏的基础</w:t>
        </w:r>
      </w:hyperlink>
    </w:p>
    <w:p>
      <w:pPr>
        <w:spacing w:before="0" w:after="80"/>
      </w:pPr>
      <w:r>
        <w:rPr>
          <w:i/>
          <w:sz w:val="20"/>
        </w:rPr>
        <w:t>EN: Balanced polymorphism in a floral transcription factor underlies the ancient rhythm of daily sex alternation in avocado</w:t>
      </w:r>
    </w:p>
    <w:p>
      <w:pPr>
        <w:spacing w:before="0" w:after="120"/>
      </w:pPr>
      <w:r>
        <w:rPr>
          <w:b/>
        </w:rPr>
        <w:t xml:space="preserve">Source: </w:t>
      </w:r>
      <w:r>
        <w:t>Proceedings of the National Academy of Sciences: Keyword search for query</w:t>
      </w:r>
      <w:r>
        <w:t xml:space="preserve">    </w:t>
      </w:r>
      <w:r>
        <w:rPr>
          <w:b/>
        </w:rPr>
        <w:t xml:space="preserve">Pub date: </w:t>
      </w:r>
      <w:r>
        <w:t>2026-07-28 07:00:00+00:00</w:t>
      </w:r>
      <w:r>
        <w:t xml:space="preserve">    </w:t>
      </w:r>
      <w:r>
        <w:rPr>
          <w:b/>
        </w:rPr>
        <w:t xml:space="preserve">DOI: </w:t>
      </w:r>
      <w:hyperlink r:id="rId1114">
        <w:r>
          <w:rPr>
            <w:color w:val="1155CC"/>
            <w:u w:val="single"/>
          </w:rPr>
          <w:t>10.1073/pnas.2606876123</w:t>
        </w:r>
      </w:hyperlink>
    </w:p>
    <w:p>
      <w:pPr>
        <w:spacing w:before="0" w:after="120"/>
      </w:pPr>
      <w:r>
        <w:rPr>
          <w:b/>
        </w:rPr>
        <w:t xml:space="preserve">Notes: </w:t>
      </w:r>
      <w:r>
        <w:t>abstract_source=crossref</w:t>
      </w:r>
    </w:p>
    <w:p>
      <w:pPr>
        <w:spacing w:before="0" w:after="80" w:lineRule="auto" w:line="276"/>
      </w:pPr>
      <w:r>
        <w:rPr>
          <w:b/>
        </w:rPr>
        <w:t xml:space="preserve">摘要（ZH）: </w:t>
      </w:r>
      <w:r>
        <w:t>在鳄梨和樟科的某些野生近缘种中，每天高度同步的花交配时间节律促进了两种雌雄同体开花类型之间的异花授粉。 A 型植物在早上呈现雌性期花，在下午呈现雄性期花，而 B 型植物则表现出互补模式——一种异性雌雄同株的形式。我们将这种二态性映射到一对显性和隐性单倍型</w:t>
      </w:r>
      <w:r>
        <w:t xml:space="preserve"> </w:t>
      </w:r>
      <w:r>
        <w:t>SDMYB</w:t>
      </w:r>
      <w:r>
        <w:t xml:space="preserve"> </w:t>
      </w:r>
      <w:r>
        <w:t>，属于 R2R3 MYB 转录因子的一个亚组，被确定为花成熟的关键调节因子，与昼夜节律激素信号传导有关。节奏昼夜</w:t>
      </w:r>
      <w:r>
        <w:t xml:space="preserve"> </w:t>
      </w:r>
      <w:r>
        <w:t>SDMYB</w:t>
      </w:r>
      <w:r>
        <w:t xml:space="preserve"> </w:t>
      </w:r>
      <w:r>
        <w:t>表达与双相花开花有关，并且显性等位基因包含保守功能域中的非同义变化，表现出</w:t>
      </w:r>
      <w:r>
        <w:t xml:space="preserve"> </w:t>
      </w:r>
      <w:r>
        <w:t>顺式</w:t>
      </w:r>
      <w:r>
        <w:t xml:space="preserve"> </w:t>
      </w:r>
      <w:r>
        <w:t>-调节的相位延迟，对应于A型花的延迟的第二次开花。的</w:t>
      </w:r>
      <w:r>
        <w:t xml:space="preserve"> </w:t>
      </w:r>
      <w:r>
        <w:t>SDMYB</w:t>
      </w:r>
      <w:r>
        <w:t xml:space="preserve"> </w:t>
      </w:r>
      <w:r>
        <w:t>单倍型形成了一种古老的跨物种多态性，通过超过 42 My 的负频率依赖性平衡选择来维持，并且它们在至少 26 个非鳄梨物种中分离，包括在尚未报道这种交配系统的属中。尽管异常古老，但这种多态性在具有高度相似交配系统的其他木兰科植物中并不存在，这表明当有节奏的花运动与性别的时间分离相结合时，日常形式的异性雌雄同体可以趋同进化。</w:t>
      </w:r>
    </w:p>
    <w:p>
      <w:pPr>
        <w:spacing w:before="0" w:after="200" w:lineRule="auto" w:line="276"/>
      </w:pPr>
      <w:r>
        <w:rPr>
          <w:b/>
        </w:rPr>
        <w:t xml:space="preserve">Abstract (EN): </w:t>
      </w:r>
      <w:r>
        <w:t>In avocado and certain wild relatives in Lauraceae, a highly synchronized daily rhythm of floral sex timing promotes cross-pollination between two hermaphroditic flowering types. A-type plants present female-phase flowers in the morning and male-phase flowers in the afternoon, while B-types show the complementary pattern—a form of heterodichogamy. We mapped this dimorphism to a pair of dominant and recessive haplotypes at</w:t>
      </w:r>
      <w:r>
        <w:t xml:space="preserve"> </w:t>
      </w:r>
      <w:r>
        <w:t>SDMYB</w:t>
      </w:r>
      <w:r>
        <w:t xml:space="preserve"> </w:t>
      </w:r>
      <w:r>
        <w:t>, which belongs to a subgroup of R2R3 MYB transcription factors established as key regulators of floral maturation with links to circadian hormone signaling. Rhythmic diel</w:t>
      </w:r>
      <w:r>
        <w:t xml:space="preserve"> </w:t>
      </w:r>
      <w:r>
        <w:t>SDMYB</w:t>
      </w:r>
      <w:r>
        <w:t xml:space="preserve"> </w:t>
      </w:r>
      <w:r>
        <w:t>expression is associated with biphasic floral anthesis, and the dominant allele, which contains nonsynonymous changes in conserved functional domains, exhibits a</w:t>
      </w:r>
      <w:r>
        <w:t xml:space="preserve"> </w:t>
      </w:r>
      <w:r>
        <w:t>cis</w:t>
      </w:r>
      <w:r>
        <w:t xml:space="preserve"> </w:t>
      </w:r>
      <w:r>
        <w:t>-regulated phase delay, corresponding to the delayed second anthesis of A-type flowers. The</w:t>
      </w:r>
      <w:r>
        <w:t xml:space="preserve"> </w:t>
      </w:r>
      <w:r>
        <w:t>SDMYB</w:t>
      </w:r>
      <w:r>
        <w:t xml:space="preserve"> </w:t>
      </w:r>
      <w:r>
        <w:t>haplotypes form an ancient trans-species polymorphism, maintained by negative frequency-dependent balancing selection over 42 My, and they segregate in at least 26 nonavocado species, including in a genus where this mating system has not been reported. Although exceptionally old, the polymorphism is absent in other magnoliids with highly similar mating systems, suggesting daily forms of heterodichogamy can convergently evolve when rhythmic floral movements are coupled with the temporal separation of sexes.</w:t>
      </w:r>
    </w:p>
    <w:p>
      <w:pPr>
        <w:spacing w:before="120" w:after="120"/>
      </w:pPr>
      <w:r>
        <w:rPr>
          <w:sz w:val="18"/>
        </w:rPr>
        <w:t>——————————————————————————————————————————————————————————————————————</w:t>
      </w:r>
    </w:p>
    <w:p>
      <w:pPr>
        <w:spacing w:before="160" w:after="40" w:line="240" w:lineRule="auto"/>
      </w:pPr>
      <w:r>
        <w:rPr>
          <w:b/>
        </w:rPr>
        <w:t xml:space="preserve">[382] </w:t>
      </w:r>
      <w:hyperlink r:id="rId1115">
        <w:r>
          <w:rPr>
            <w:color w:val="1155CC"/>
            <w:u w:val="single"/>
          </w:rPr>
          <w:t>花卉错觉：寄生甲虫模仿花香来吸引蜜蜂</w:t>
        </w:r>
      </w:hyperlink>
    </w:p>
    <w:p>
      <w:pPr>
        <w:spacing w:before="0" w:after="80"/>
      </w:pPr>
      <w:r>
        <w:rPr>
          <w:i/>
          <w:sz w:val="20"/>
        </w:rPr>
        <w:t>EN: The floral illusion: A parasitic beetle mimics the scent of flowers to attract bees</w:t>
      </w:r>
    </w:p>
    <w:p>
      <w:pPr>
        <w:spacing w:before="0" w:after="120"/>
      </w:pPr>
      <w:r>
        <w:rPr>
          <w:b/>
        </w:rPr>
        <w:t xml:space="preserve">Source: </w:t>
      </w:r>
      <w:r>
        <w:t>Proceedings of the National Academy of Sciences: Keyword search for query</w:t>
      </w:r>
      <w:r>
        <w:t xml:space="preserve">    </w:t>
      </w:r>
      <w:r>
        <w:rPr>
          <w:b/>
        </w:rPr>
        <w:t xml:space="preserve">Pub date: </w:t>
      </w:r>
      <w:r>
        <w:t>2026-07-28 07:00:00+00:00</w:t>
      </w:r>
      <w:r>
        <w:t xml:space="preserve">    </w:t>
      </w:r>
      <w:r>
        <w:rPr>
          <w:b/>
        </w:rPr>
        <w:t xml:space="preserve">DOI: </w:t>
      </w:r>
      <w:hyperlink r:id="rId1116">
        <w:r>
          <w:rPr>
            <w:color w:val="1155CC"/>
            <w:u w:val="single"/>
          </w:rPr>
          <w:t>10.1073/pnas.2602521123</w:t>
        </w:r>
      </w:hyperlink>
    </w:p>
    <w:p>
      <w:pPr>
        <w:spacing w:before="0" w:after="120"/>
      </w:pPr>
      <w:r>
        <w:rPr>
          <w:b/>
        </w:rPr>
        <w:t xml:space="preserve">Notes: </w:t>
      </w:r>
      <w:r>
        <w:t>abstract_source=crossref</w:t>
      </w:r>
    </w:p>
    <w:p>
      <w:pPr>
        <w:spacing w:before="0" w:after="80" w:lineRule="auto" w:line="276"/>
      </w:pPr>
      <w:r>
        <w:rPr>
          <w:b/>
        </w:rPr>
        <w:t xml:space="preserve">摘要（ZH）: </w:t>
      </w:r>
      <w:r>
        <w:t>目前尚不清楚动物会生物合成花化学信号来操纵传粉媒介，尽管这种模仿可以深刻地塑造植物与传粉媒介的相互作用。有毒的欧洲斑甲虫的幼虫</w:t>
      </w:r>
      <w:r>
        <w:t xml:space="preserve"> </w:t>
      </w:r>
      <w:r>
        <w:t>甜甘菊</w:t>
      </w:r>
      <w:r>
        <w:t xml:space="preserve"> </w:t>
      </w:r>
      <w:r>
        <w:t>寄生于多种独居蜂种，但吸引宿主的机制仍未解决。在这里，我们展示了这些幼虫通过散发出一束与花香非常相似的挥发性化合物来引诱蜜蜂。化学分析揭示了源自以下物质的单萜类化合物的复杂混合物：</w:t>
      </w:r>
      <w:r>
        <w:t xml:space="preserve"> </w:t>
      </w:r>
      <w:r>
        <w:t>S</w:t>
      </w:r>
      <w:r>
        <w:t xml:space="preserve"> </w:t>
      </w:r>
      <w:r>
        <w:t>)-芳樟醇，一种普遍存在的花香挥发物。行为分析表明，这些化合物起到花香模拟物的作用，引起蜜蜂的吸引力并充当异激素（即有利于发射器但不利于接收器的种间化学信号）。转录组学和功能分析鉴定了氧化细胞色素 P450 酶（</w:t>
      </w:r>
      <w:r>
        <w:t xml:space="preserve"> </w:t>
      </w:r>
      <w:r>
        <w:t>S</w:t>
      </w:r>
      <w:r>
        <w:t xml:space="preserve"> </w:t>
      </w:r>
      <w:r>
        <w:t>)-芳樟醇，表明幼虫从头生物合成这些植物样挥发物。总之，这些发现扩大了界间化学拟态的范围，并揭示了一种引人注目的感官欺骗形式，其中昆虫在化学上假定了花朵的信号身份，揭示了动物可以进化生物合成途径来利用植物与传粉媒介的交流。</w:t>
      </w:r>
    </w:p>
    <w:p>
      <w:pPr>
        <w:spacing w:before="0" w:after="200" w:lineRule="auto" w:line="276"/>
      </w:pPr>
      <w:r>
        <w:rPr>
          <w:b/>
        </w:rPr>
        <w:t xml:space="preserve">Abstract (EN): </w:t>
      </w:r>
      <w:r>
        <w:t>Animals are not known to biosynthesize floral chemical signals to manipulate pollinators, although such mimicry could profoundly shape plant–pollinator interactions. Larvae of the poisonous European blister beetle</w:t>
      </w:r>
      <w:r>
        <w:t xml:space="preserve"> </w:t>
      </w:r>
      <w:r>
        <w:t>Meloe proscarabaeus</w:t>
      </w:r>
      <w:r>
        <w:t xml:space="preserve"> </w:t>
      </w:r>
      <w:r>
        <w:t>parasitize multiple solitary bee species, yet the mechanism enabling host attraction has remained unresolved. Here we show that these larvae lure bees by emitting a bouquet of volatile compounds that closely resembles floral scent. Chemical analyses reveal a complex blend of monoterpenoids derived from (</w:t>
      </w:r>
      <w:r>
        <w:t xml:space="preserve"> </w:t>
      </w:r>
      <w:r>
        <w:t>S</w:t>
      </w:r>
      <w:r>
        <w:t xml:space="preserve"> </w:t>
      </w:r>
      <w:r>
        <w:t>)-linalool, a ubiquitous floral volatile. Behavioral assays demonstrate that these compounds function as floral-scent mimics, eliciting attraction in bees and acting as allomones (i.e., interspecific chemical signals that benefit the emitter while disadvantaging the receiver). Transcriptomic and functional analyses identify cytochrome P450 enzymes that oxidize (</w:t>
      </w:r>
      <w:r>
        <w:t xml:space="preserve"> </w:t>
      </w:r>
      <w:r>
        <w:t>S</w:t>
      </w:r>
      <w:r>
        <w:t xml:space="preserve"> </w:t>
      </w:r>
      <w:r>
        <w:t>)-linalool, suggesting that larvae biosynthesize these plant-like volatiles de novo. Together, these findings broaden the scope of interkingdom chemical mimicry and uncover a striking form of sensory deception in which an insect chemically assumes the signal identity of a flower, revealing that animals can evolve biosynthetic pathways to exploit plant–pollinator communication.</w:t>
      </w:r>
    </w:p>
    <w:p>
      <w:pPr>
        <w:spacing w:before="120" w:after="120"/>
      </w:pPr>
      <w:r>
        <w:rPr>
          <w:sz w:val="18"/>
        </w:rPr>
        <w:t>——————————————————————————————————————————————————————————————————————</w:t>
      </w:r>
    </w:p>
    <w:p>
      <w:pPr>
        <w:spacing w:before="160" w:after="40" w:line="240" w:lineRule="auto"/>
      </w:pPr>
      <w:r>
        <w:rPr>
          <w:b/>
        </w:rPr>
        <w:t xml:space="preserve">[383] </w:t>
      </w:r>
      <w:hyperlink r:id="rId1117">
        <w:r>
          <w:rPr>
            <w:color w:val="1155CC"/>
            <w:u w:val="single"/>
          </w:rPr>
          <w:t>钠偶联磷酸盐输入蛋白 SLC34A2 的结构揭示了独特的架构和门控机制</w:t>
        </w:r>
      </w:hyperlink>
    </w:p>
    <w:p>
      <w:pPr>
        <w:spacing w:before="0" w:after="80"/>
      </w:pPr>
      <w:r>
        <w:rPr>
          <w:i/>
          <w:sz w:val="20"/>
        </w:rPr>
        <w:t>EN: Structures of the sodium-coupled phosphate importer SLC34A2 reveal a distinct architecture and gating mechanism</w:t>
      </w:r>
    </w:p>
    <w:p>
      <w:pPr>
        <w:spacing w:before="0" w:after="120"/>
      </w:pPr>
      <w:r>
        <w:rPr>
          <w:b/>
        </w:rPr>
        <w:t xml:space="preserve">Source: </w:t>
      </w:r>
      <w:r>
        <w:t>Proceedings of the National Academy of Sciences: Keyword search for query</w:t>
      </w:r>
      <w:r>
        <w:t xml:space="preserve">    </w:t>
      </w:r>
      <w:r>
        <w:rPr>
          <w:b/>
        </w:rPr>
        <w:t xml:space="preserve">Pub date: </w:t>
      </w:r>
      <w:r>
        <w:t>2026-07-28 07:00:00+00:00</w:t>
      </w:r>
      <w:r>
        <w:t xml:space="preserve">    </w:t>
      </w:r>
      <w:r>
        <w:rPr>
          <w:b/>
        </w:rPr>
        <w:t xml:space="preserve">DOI: </w:t>
      </w:r>
      <w:hyperlink r:id="rId1118">
        <w:r>
          <w:rPr>
            <w:color w:val="1155CC"/>
            <w:u w:val="single"/>
          </w:rPr>
          <w:t>10.1073/pnas.2602077123</w:t>
        </w:r>
      </w:hyperlink>
    </w:p>
    <w:p>
      <w:pPr>
        <w:spacing w:before="0" w:after="120"/>
      </w:pPr>
      <w:r>
        <w:rPr>
          <w:b/>
        </w:rPr>
        <w:t xml:space="preserve">Notes: </w:t>
      </w:r>
      <w:r>
        <w:t>abstract_source=crossref</w:t>
      </w:r>
    </w:p>
    <w:p>
      <w:pPr>
        <w:spacing w:before="0" w:after="80" w:lineRule="auto" w:line="276"/>
      </w:pPr>
      <w:r>
        <w:rPr>
          <w:b/>
        </w:rPr>
        <w:t xml:space="preserve">摘要（ZH）: </w:t>
      </w:r>
      <w:r>
        <w:t>无机磷酸盐 (Pi) 稳态失调会导致代谢疾病、癌症、病理性钙化和肾脏疾病。全身磷酸盐平衡由介导肾 Pi 滞留 (SLC34A1/A3) 和肠道膳食 Pi 吸收 (SLC34A2) 的 SLC34 转运蛋白调节。 SLC34s 将 Pi 吸收与钠 (Na</w:t>
      </w:r>
      <w:r>
        <w:t xml:space="preserve"> </w:t>
      </w:r>
      <w:r>
        <w:t>+</w:t>
      </w:r>
      <w:r>
        <w:t xml:space="preserve"> </w:t>
      </w:r>
      <w:r>
        <w:t>）降低其电化学梯度。 SLC34 蛋白的突变或表达改变与慢性肾病等疾病有关，其中高磷血症是主要并发症，而肺病肺泡微石症则是由 SLC34A2 突变失活引起的。 SLC34A2 在大多数卵巢和子宫肿瘤中也过度表达，使其成为抗体药物偶联物的有吸引力的靶点。我们展示了当转运蛋白为空并与 Na 结合时 SLC34A2 的冷冻电子显微镜结构</w:t>
      </w:r>
      <w:r>
        <w:t xml:space="preserve"> </w:t>
      </w:r>
      <w:r>
        <w:t>+</w:t>
      </w:r>
      <w:r>
        <w:t xml:space="preserve"> </w:t>
      </w:r>
      <w:r>
        <w:t>仅离子，满载 Na</w:t>
      </w:r>
      <w:r>
        <w:t xml:space="preserve"> </w:t>
      </w:r>
      <w:r>
        <w:t>+</w:t>
      </w:r>
      <w:r>
        <w:t xml:space="preserve"> </w:t>
      </w:r>
      <w:r>
        <w:t>离子和 Pi，并与抑制剂膦甲酸结合，揭示其独特的结构、底物和离子结合位点、Na 的作用</w:t>
      </w:r>
      <w:r>
        <w:t xml:space="preserve"> </w:t>
      </w:r>
      <w:r>
        <w:t>+</w:t>
      </w:r>
      <w:r>
        <w:t xml:space="preserve"> </w:t>
      </w:r>
      <w:r>
        <w:t>，以及多个转运状态。 Pi 结合在高度对称的膜嵌入口袋上，该口袋位于膜中部附近，并通过其标志性的四个残基 QSSS 重复基序进行协调。钠</w:t>
      </w:r>
      <w:r>
        <w:t xml:space="preserve"> </w:t>
      </w:r>
      <w:r>
        <w:t>+</w:t>
      </w:r>
      <w:r>
        <w:t xml:space="preserve"> </w:t>
      </w:r>
      <w:r>
        <w:t>塑造 Pi 结合口袋并驱动从向外打开到闭塞状态的转变。与功能分析相结合，这些标准</w:t>
      </w:r>
    </w:p>
    <w:p>
      <w:pPr>
        <w:spacing w:before="0" w:after="200" w:lineRule="auto" w:line="276"/>
      </w:pPr>
      <w:r>
        <w:rPr>
          <w:b/>
        </w:rPr>
        <w:t xml:space="preserve">Abstract (EN): </w:t>
      </w:r>
      <w:r>
        <w:t>Dysregulation of inorganic phosphate (Pi) homeostasis contributes to metabolic disease, cancer, pathological calcification, and kidney disease. Systemic phosphate balance is regulated by SLC34 transporters that mediate renal Pi retention (SLC34A1/A3) and intestinal dietary Pi absorption (SLC34A2). SLC34s couple Pi uptake to the symport of sodium (Na</w:t>
      </w:r>
      <w:r>
        <w:t xml:space="preserve"> </w:t>
      </w:r>
      <w:r>
        <w:t>+</w:t>
      </w:r>
      <w:r>
        <w:t xml:space="preserve"> </w:t>
      </w:r>
      <w:r>
        <w:t>) down its electrochemical gradient. Mutations or altered expression of SLC34 proteins are linked to disorders such as chronic kidney disease, where hyperphosphatemia is a major complication, and the lung disease pulmonary alveolar microlithiasis, caused by inactivating SLC34A2 mutations. SLC34A2 is also overexpressed in most ovarian and uterine tumors, making it an attractive target for antibody–drug conjugates. We present cryoelectron microscopy structures of SLC34A2 when the transporter is empty, bound to Na</w:t>
      </w:r>
      <w:r>
        <w:t xml:space="preserve"> </w:t>
      </w:r>
      <w:r>
        <w:t>+</w:t>
      </w:r>
      <w:r>
        <w:t xml:space="preserve"> </w:t>
      </w:r>
      <w:r>
        <w:t>ions only, fully loaded with Na</w:t>
      </w:r>
      <w:r>
        <w:t xml:space="preserve"> </w:t>
      </w:r>
      <w:r>
        <w:t>+</w:t>
      </w:r>
      <w:r>
        <w:t xml:space="preserve"> </w:t>
      </w:r>
      <w:r>
        <w:t>ions and Pi, and bound to an inhibitor phosphonoformic acid, revealing its distinct architecture, substrate and ion binding sites, the role of Na</w:t>
      </w:r>
      <w:r>
        <w:t xml:space="preserve"> </w:t>
      </w:r>
      <w:r>
        <w:t>+</w:t>
      </w:r>
      <w:r>
        <w:t xml:space="preserve"> </w:t>
      </w:r>
      <w:r>
        <w:t>, and multiple transporter states. Pi binds at a highly symmetric, membrane-embedded pocket positioned approximately mid-membrane and is coordinated by its signature four residue QSSS repeat motifs. Na</w:t>
      </w:r>
      <w:r>
        <w:t xml:space="preserve"> </w:t>
      </w:r>
      <w:r>
        <w:t>+</w:t>
      </w:r>
      <w:r>
        <w:t xml:space="preserve"> </w:t>
      </w:r>
      <w:r>
        <w:t>shapes the Pi-binding pocket and drives the transition from the outward-open to occluded state. Integrated with functional analyses, these structures reveal that SLC34 transporters operate through an atypical alternating access cycle defined by coordinated elevator movements of an auxiliary gate domain. This work lays a foundational framework for understanding Pi regulation and opens avenues for therapeutic strategies targeting disorders linked to phosphate imbalance.</w:t>
      </w:r>
    </w:p>
    <w:p>
      <w:pPr>
        <w:spacing w:before="120" w:after="120"/>
      </w:pPr>
      <w:r>
        <w:rPr>
          <w:sz w:val="18"/>
        </w:rPr>
        <w:t>——————————————————————————————————————————————————————————————————————</w:t>
      </w:r>
    </w:p>
    <w:p>
      <w:pPr>
        <w:spacing w:before="160" w:after="40" w:line="240" w:lineRule="auto"/>
      </w:pPr>
      <w:r>
        <w:rPr>
          <w:b/>
        </w:rPr>
        <w:t xml:space="preserve">[384] </w:t>
      </w:r>
      <w:hyperlink r:id="rId1119">
        <w:r>
          <w:rPr>
            <w:color w:val="1155CC"/>
            <w:u w:val="single"/>
          </w:rPr>
          <w:t>适应性分子趋同在深度时间中普遍存在，并且在很大程度上与表型趋同脱钩</w:t>
        </w:r>
      </w:hyperlink>
    </w:p>
    <w:p>
      <w:pPr>
        <w:spacing w:before="0" w:after="80"/>
      </w:pPr>
      <w:r>
        <w:rPr>
          <w:i/>
          <w:sz w:val="20"/>
        </w:rPr>
        <w:t>EN: Adaptive molecular convergence is pervasive across deep time and largely decoupled from phenotypic convergence</w:t>
      </w:r>
    </w:p>
    <w:p>
      <w:pPr>
        <w:spacing w:before="0" w:after="120"/>
      </w:pPr>
      <w:r>
        <w:rPr>
          <w:b/>
        </w:rPr>
        <w:t xml:space="preserve">Source: </w:t>
      </w:r>
      <w:r>
        <w:t>Proceedings of the National Academy of Sciences: Keyword search for query</w:t>
      </w:r>
      <w:r>
        <w:t xml:space="preserve">    </w:t>
      </w:r>
      <w:r>
        <w:rPr>
          <w:b/>
        </w:rPr>
        <w:t xml:space="preserve">Pub date: </w:t>
      </w:r>
      <w:r>
        <w:t>2026-07-28 07:00:00+00:00</w:t>
      </w:r>
      <w:r>
        <w:t xml:space="preserve">    </w:t>
      </w:r>
      <w:r>
        <w:rPr>
          <w:b/>
        </w:rPr>
        <w:t xml:space="preserve">DOI: </w:t>
      </w:r>
      <w:hyperlink r:id="rId1120">
        <w:r>
          <w:rPr>
            <w:color w:val="1155CC"/>
            <w:u w:val="single"/>
          </w:rPr>
          <w:t>10.1073/pnas.2616248123</w:t>
        </w:r>
      </w:hyperlink>
    </w:p>
    <w:p>
      <w:pPr>
        <w:spacing w:before="0" w:after="120"/>
      </w:pPr>
      <w:r>
        <w:rPr>
          <w:b/>
        </w:rPr>
        <w:t xml:space="preserve">Notes: </w:t>
      </w:r>
      <w:r>
        <w:t>abstract_source=crossref</w:t>
      </w:r>
    </w:p>
    <w:p>
      <w:pPr>
        <w:spacing w:before="0" w:after="80" w:lineRule="auto" w:line="276"/>
      </w:pPr>
      <w:r>
        <w:rPr>
          <w:b/>
        </w:rPr>
        <w:t xml:space="preserve">摘要（ZH）: </w:t>
      </w:r>
      <w:r>
        <w:t>在相似性状的进化或生态转变过程中，同源基因的重复使用通常被视为进化在分子水平上可重复的证据。为了研究基因重用，生物学家经常选择特定的趋同表型，并在与这些表型相关的基因组中寻找自然选择的特征。然而，基因组规模分子趋同的原因和频率仍未解决，特别是在深时间尺度上。我们使用系统转录组学和序列进化分析来表明，适应性分子趋同（定义为同源物之间非同义取代的过度趋同，与正选择一致）在水母动物中广泛存在。分子收敛随着时间的推移略有下降，但在相隔超过 600 My 的谱系中持续存在，始终超出基于随机重叠的零预期。此外，与其他比较相比，具有重复进化表型（眼睛、美杜莎损失和直立菌落）的谱系并未表现出更高的分子趋同性。相反，趋同发生在物种对之间，并且广泛集中在与面向环境的功能相关的基因中，包括新陈代谢、免疫和外源性加工。我们的结果表明，选择通常会在不同的谱系中驱动类似的蛋白质替换，但分子趋同的选择性原因反映了生物体与其环境之间多方面的、谱系特异性的相互作用。</w:t>
      </w:r>
    </w:p>
    <w:p>
      <w:pPr>
        <w:spacing w:before="0" w:after="200" w:lineRule="auto" w:line="276"/>
      </w:pPr>
      <w:r>
        <w:rPr>
          <w:b/>
        </w:rPr>
        <w:t xml:space="preserve">Abstract (EN): </w:t>
      </w:r>
      <w:r>
        <w:t>Reuse of homologous genes during the evolution of similar traits or ecological transitions is often taken as evidence that evolution is repeatable at the molecular level. To study gene reuse, biologists frequently select specific convergent phenotypes and search for signatures of natural selection in genomes associated with those phenotypes. However, the causes and frequency of genome-scale molecular convergence remain unresolved, especially over deep timescales. We use phylotranscriptomics and analyses of sequence evolution to show that adaptive molecular convergence—defined as excess convergence of nonsynonymous substitutions between homologs, consistent with positive selection—is widespread across Medusozoa. Molecular convergence declines slightly over time but persists among lineages separated by over 600 My, consistently exceeding null expectations based on random overlap. Moreover, lineages sharing repeatedly evolved phenotypes (eyes, medusa loss, and upright colonies) do not exhibit elevated molecular convergence relative to other comparisons. Instead, convergence occurs idiosyncratically among species pairs and is broadly concentrated in genes associated with environment-facing functions, including metabolism, immunity, and xenobiotic processing. Our results suggest that selection often drives similar protein substitutions in disparate lineages, but that the selective causes of molecular convergence reflect multifaceted, lineage-specific interactions between organisms and their environments.</w:t>
      </w:r>
    </w:p>
    <w:p>
      <w:pPr>
        <w:spacing w:before="120" w:after="120"/>
      </w:pPr>
      <w:r>
        <w:rPr>
          <w:sz w:val="18"/>
        </w:rPr>
        <w:t>——————————————————————————————————————————————————————————————————————</w:t>
      </w:r>
    </w:p>
    <w:p>
      <w:pPr>
        <w:spacing w:before="160" w:after="40" w:line="240" w:lineRule="auto"/>
      </w:pPr>
      <w:r>
        <w:rPr>
          <w:b/>
        </w:rPr>
        <w:t xml:space="preserve">[385] </w:t>
      </w:r>
      <w:hyperlink r:id="rId1121">
        <w:r>
          <w:rPr>
            <w:color w:val="1155CC"/>
            <w:u w:val="single"/>
          </w:rPr>
          <w:t>不确定时期的生育决定：来自四个国家的实验证据</w:t>
        </w:r>
      </w:hyperlink>
    </w:p>
    <w:p>
      <w:pPr>
        <w:spacing w:before="0" w:after="80"/>
      </w:pPr>
      <w:r>
        <w:rPr>
          <w:i/>
          <w:sz w:val="20"/>
        </w:rPr>
        <w:t>EN: Parenthood decisions in uncertain times: Experimental evidence from four countries</w:t>
      </w:r>
    </w:p>
    <w:p>
      <w:pPr>
        <w:spacing w:before="0" w:after="120"/>
      </w:pPr>
      <w:r>
        <w:rPr>
          <w:b/>
        </w:rPr>
        <w:t xml:space="preserve">Source: </w:t>
      </w:r>
      <w:r>
        <w:t>Proceedings of the National Academy of Sciences: Keyword search for query</w:t>
      </w:r>
      <w:r>
        <w:t xml:space="preserve">    </w:t>
      </w:r>
      <w:r>
        <w:rPr>
          <w:b/>
        </w:rPr>
        <w:t xml:space="preserve">Pub date: </w:t>
      </w:r>
      <w:r>
        <w:t>2026-07-28 07:00:00+00:00</w:t>
      </w:r>
      <w:r>
        <w:t xml:space="preserve">    </w:t>
      </w:r>
      <w:r>
        <w:rPr>
          <w:b/>
        </w:rPr>
        <w:t xml:space="preserve">DOI: </w:t>
      </w:r>
      <w:hyperlink r:id="rId1122">
        <w:r>
          <w:rPr>
            <w:color w:val="1155CC"/>
            <w:u w:val="single"/>
          </w:rPr>
          <w:t>10.1073/pnas.2601690123</w:t>
        </w:r>
      </w:hyperlink>
    </w:p>
    <w:p>
      <w:pPr>
        <w:spacing w:before="0" w:after="120"/>
      </w:pPr>
      <w:r>
        <w:rPr>
          <w:b/>
        </w:rPr>
        <w:t xml:space="preserve">Notes: </w:t>
      </w:r>
      <w:r>
        <w:t>abstract_source=crossref</w:t>
      </w:r>
    </w:p>
    <w:p>
      <w:pPr>
        <w:spacing w:before="0" w:after="80" w:lineRule="auto" w:line="276"/>
      </w:pPr>
      <w:r>
        <w:rPr>
          <w:b/>
        </w:rPr>
        <w:t xml:space="preserve">摘要（ZH）: </w:t>
      </w:r>
      <w:r>
        <w:t>全球大部分地区的生育率正在下降，但推动这一下降的因素变得越来越复杂，经典理论已经不足以解释最近的趋势。虽然经济和性别相关的解释长期以来主导着生育研究，但气候变化、民主倒退、经济危机和地区冲突等新出现的全球不确定性也可能影响个人对生育的看法。除了更经典的因素之外，这项跨国研究还探讨了宏观层面的不确定性如何影响意大利、阿根廷、美国和德国对生育意愿的看法。这些国家有着独特的生育轨迹，并面临着独特的社会政治和环境挑战。通过联合实验，我们研究了个人如何在假设的场景中评估他们在不同家庭、政策和宏观条件下生孩子的意图。在这四个国家中，物质保障仍然是核心：家庭收入是生育意愿的最强预测因素，拥有住房和儿童保育的作用较小。与此同时，对宏观稳定的看法，包括对气候条件、经济前景、民主运作和和平的期望，产生了实质性和有意义的影响，与住房所有权和儿童保育服务相当，但比与性别角色安排相关的影响更为明显。跨国差异表明宏观经济稳定和气候变化是最重要的</w:t>
      </w:r>
    </w:p>
    <w:p>
      <w:pPr>
        <w:spacing w:before="0" w:after="200" w:lineRule="auto" w:line="276"/>
      </w:pPr>
      <w:r>
        <w:rPr>
          <w:b/>
        </w:rPr>
        <w:t xml:space="preserve">Abstract (EN): </w:t>
      </w:r>
      <w:r>
        <w:t>Fertility rates are declining across much of the globe, yet the forces driving this decline have become increasingly complex, and classic theories have become less adequate to explain recent trends. While economic and gender-related explanations have long dominated fertility research, emerging global uncertainties, such as climate change, democratic backsliding, economic crises, and regional conflicts, may also shape how individuals evaluate childbearing. In addition to the more classical factors, this cross-national study examines how macrolevel uncertainties influence perceptions of fertility intentions in Italy, Argentina, the United States, and Germany. These countries offer distinct fertility trajectories and face unique combinations of sociopolitical and environmental challenges. Using a conjoint experiment, we examine how individuals evaluate, across hypothetical scenarios, their intention of having a child under varying household, policy, and macrolevel conditions. Across all four countries, material security remains central: household income is the strongest predictor of fertility intentions, with homeownership and childcare playing smaller roles. At the same time, perceptions of macrolevel stability, including expectations about climate conditions, economic prospects, democratic functioning, and peace, exert substantial and meaningful effects, comparable to homeownership and childcare provision but more pronounced than those associated with gender-role arrangements. Cross-country differences show that macroeconomic stability and climate change are most consequential in Argentina, while in the United States respondents are less responsive to geopolitical conflict. These findings show that individuals evaluate childbearing not only through their immediate circumstances, but also through expectations about broader societal futures, highlighting the importance of incorporating macrolevel uncertainty when explaining contemporary fertility decline.</w:t>
      </w:r>
    </w:p>
    <w:p>
      <w:pPr>
        <w:spacing w:before="120" w:after="120"/>
      </w:pPr>
      <w:r>
        <w:rPr>
          <w:sz w:val="18"/>
        </w:rPr>
        <w:t>——————————————————————————————————————————————————————————————————————</w:t>
      </w:r>
    </w:p>
    <w:p>
      <w:pPr>
        <w:spacing w:before="160" w:after="40" w:line="240" w:lineRule="auto"/>
      </w:pPr>
      <w:r>
        <w:rPr>
          <w:b/>
        </w:rPr>
        <w:t xml:space="preserve">[386] </w:t>
      </w:r>
      <w:hyperlink r:id="rId1123">
        <w:r>
          <w:rPr>
            <w:color w:val="1155CC"/>
            <w:u w:val="single"/>
          </w:rPr>
          <w:t>骨化三醇-PKM2轴驱动ILCP转录和代谢重编程为肠道双细胞因子产生ILC3</w:t>
        </w:r>
      </w:hyperlink>
    </w:p>
    <w:p>
      <w:pPr>
        <w:spacing w:before="0" w:after="80"/>
      </w:pPr>
      <w:r>
        <w:rPr>
          <w:i/>
          <w:sz w:val="20"/>
        </w:rPr>
        <w:t>EN: Calcitriol–PKM2 axis drives transcriptional and metabolic reprogramming of ILCPs into intestinal dual-cytokine-producing ILC3s</w:t>
      </w:r>
    </w:p>
    <w:p>
      <w:pPr>
        <w:spacing w:before="0" w:after="120"/>
      </w:pPr>
      <w:r>
        <w:rPr>
          <w:b/>
        </w:rPr>
        <w:t xml:space="preserve">Source: </w:t>
      </w:r>
      <w:r>
        <w:t>Proceedings of the National Academy of Sciences: Keyword search for query</w:t>
      </w:r>
      <w:r>
        <w:t xml:space="preserve">    </w:t>
      </w:r>
      <w:r>
        <w:rPr>
          <w:b/>
        </w:rPr>
        <w:t xml:space="preserve">Pub date: </w:t>
      </w:r>
      <w:r>
        <w:t>2026-07-28 07:00:00+00:00</w:t>
      </w:r>
      <w:r>
        <w:t xml:space="preserve">    </w:t>
      </w:r>
      <w:r>
        <w:rPr>
          <w:b/>
        </w:rPr>
        <w:t xml:space="preserve">DOI: </w:t>
      </w:r>
      <w:hyperlink r:id="rId1124">
        <w:r>
          <w:rPr>
            <w:color w:val="1155CC"/>
            <w:u w:val="single"/>
          </w:rPr>
          <w:t>10.1073/pnas.2600260123</w:t>
        </w:r>
      </w:hyperlink>
    </w:p>
    <w:p>
      <w:pPr>
        <w:spacing w:before="0" w:after="120"/>
      </w:pPr>
      <w:r>
        <w:rPr>
          <w:b/>
        </w:rPr>
        <w:t xml:space="preserve">Notes: </w:t>
      </w:r>
      <w:r>
        <w:t>abstract_source=crossref</w:t>
      </w:r>
    </w:p>
    <w:p>
      <w:pPr>
        <w:spacing w:before="0" w:after="80" w:lineRule="auto" w:line="276"/>
      </w:pPr>
      <w:r>
        <w:rPr>
          <w:b/>
        </w:rPr>
        <w:t xml:space="preserve">摘要（ZH）: </w:t>
      </w:r>
      <w:r>
        <w:t>维生素 D 缺乏与同种免疫反应失调有关，但其活性代谢物骨化三醇影响先天淋巴细胞 (ILC) 发育和功能的机制仍不完全清楚。在这里，我们阐明了骨化三醇如何引导骨髓（BM）ILC祖细胞（ILCP）分化为具有治疗同种免疫性疾病潜力的抗炎ILC3。使用鼠维生素 D 模型、综合组学、</w:t>
      </w:r>
      <w:r>
        <w:rPr>
          <w:vertAlign w:val="subscript"/>
        </w:rPr>
        <w:t>13</w:t>
      </w:r>
      <w:r>
        <w:t>C-葡萄糖示踪、人源化小鼠模型和临床样本，我们表明骨化三醇通过维生素D受体（VDR）选择性促进BM ILCPs扩增和分化为IL-10</w:t>
      </w:r>
      <w:r>
        <w:t xml:space="preserve"> </w:t>
      </w:r>
      <w:r>
        <w:t>+</w:t>
      </w:r>
      <w:r>
        <w:t xml:space="preserve"> </w:t>
      </w:r>
      <w:r>
        <w:t>白细胞介素22</w:t>
      </w:r>
      <w:r>
        <w:t xml:space="preserve"> </w:t>
      </w:r>
      <w:r>
        <w:t>+</w:t>
      </w:r>
      <w:r>
        <w:t xml:space="preserve"> </w:t>
      </w:r>
      <w:r>
        <w:t>ILC3 在肠道中发挥组织保护作用。骨化三醇引发的 BM ILCP 细胞疗法可减轻同种免疫环境中的肠道炎症。从机制上讲，VDR-SYK 轴触发丙酮酸激酶 M2 (PKM2) 的核转位。核 PKM2 在 Tyr705 位点磷酸化 STAT3，与 c-JUN 形成二聚复合物，驱动</w:t>
      </w:r>
      <w:r>
        <w:t xml:space="preserve"> </w:t>
      </w:r>
      <w:r>
        <w:t>伊尔10</w:t>
      </w:r>
      <w:r>
        <w:t xml:space="preserve"> </w:t>
      </w:r>
      <w:r>
        <w:t>转录。同时，胞质 PKM2 将丙酮酸引导至丙酮酸羧化酶介导的线粒体回补，维持氧化磷酸化，同时抑制反向电子传递驱动的线粒体 ROS 产生。在人类研究中，患有严重同种免疫并发症的患者表现出循环 ILCP 减少和血清 25(OH)D 水平降低。骨化三醇处理的人 CD1</w:t>
      </w:r>
    </w:p>
    <w:p>
      <w:pPr>
        <w:spacing w:before="0" w:after="200" w:lineRule="auto" w:line="276"/>
      </w:pPr>
      <w:r>
        <w:rPr>
          <w:b/>
        </w:rPr>
        <w:t xml:space="preserve">Abstract (EN): </w:t>
      </w:r>
      <w:r>
        <w:t>Vitamin D deficiency is associated with dysregulated alloimmune responses, but the mechanisms by which its active metabolite calcitriol shapes innate lymphoid cell (ILC) development and function remain incompletely understood. Here, we elucidate how calcitriol directs the differentiation of bone marrow (BM) ILC progenitors (ILCPs) into anti-inflammatory ILC3s with therapeutic potential in alloimmune diseases. Using murine vitamin D models, integrated omics,</w:t>
      </w:r>
      <w:r>
        <w:rPr>
          <w:vertAlign w:val="subscript"/>
        </w:rPr>
        <w:t>13</w:t>
      </w:r>
      <w:r>
        <w:t>C-glucose tracing, humanized mouse models, and clinical samples, we show that calcitriol, through the vitamin D receptor (VDR), selectively promotes the expansion and differentiation of BM ILCPs into IL-10</w:t>
      </w:r>
      <w:r>
        <w:t xml:space="preserve"> </w:t>
      </w:r>
      <w:r>
        <w:t>+</w:t>
      </w:r>
      <w:r>
        <w:t xml:space="preserve"> </w:t>
      </w:r>
      <w:r>
        <w:t>IL-22</w:t>
      </w:r>
      <w:r>
        <w:t xml:space="preserve"> </w:t>
      </w:r>
      <w:r>
        <w:t>+</w:t>
      </w:r>
      <w:r>
        <w:t xml:space="preserve"> </w:t>
      </w:r>
      <w:r>
        <w:t>ILC3s that exert tissue-protective effects in the intestine. Calcitriol-primed BM ILCP cell therapy attenuates intestinal inflammation in an alloimmune setting. Mechanistically, a VDR–SYK axis triggers nuclear translocation of pyruvate kinase M2 (PKM2). Nuclear PKM2 phosphorylates STAT3 at Tyr705, forming a dimerization complex with c-JUN that drives</w:t>
      </w:r>
      <w:r>
        <w:t xml:space="preserve"> </w:t>
      </w:r>
      <w:r>
        <w:t>Il10</w:t>
      </w:r>
      <w:r>
        <w:t xml:space="preserve"> </w:t>
      </w:r>
      <w:r>
        <w:t>transcription. Simultaneously, cytosolic PKM2 channels pyruvate into pyruvate carboxylase–mediated mitochondrial anaplerosis, sustaining oxidative phosphorylation while suppressing reverse electron transport-driven mitochondrial ROS production. In human studies, patients with severe alloimmune complications exhibit reduced circulating ILCPs and low serum 25(OH)D levels. Calcitriol-treated human CD117</w:t>
      </w:r>
      <w:r>
        <w:t xml:space="preserve"> </w:t>
      </w:r>
      <w:r>
        <w:t>+</w:t>
      </w:r>
      <w:r>
        <w:t xml:space="preserve"> </w:t>
      </w:r>
      <w:r>
        <w:t>ILCPs efficiently generate IL-10-producing ILCs in vitro and in humanized models, potently suppressing alloreactive T cell responses. Collectively, calcitriol reprograms BM ILCPs via the VDR–SYK–PKM2 axis to generate dual-cytokine IL-10</w:t>
      </w:r>
      <w:r>
        <w:t xml:space="preserve"> </w:t>
      </w:r>
      <w:r>
        <w:t>+</w:t>
      </w:r>
      <w:r>
        <w:t xml:space="preserve"> </w:t>
      </w:r>
      <w:r>
        <w:t>IL-22</w:t>
      </w:r>
      <w:r>
        <w:t xml:space="preserve"> </w:t>
      </w:r>
      <w:r>
        <w:t>+</w:t>
      </w:r>
      <w:r>
        <w:t xml:space="preserve"> </w:t>
      </w:r>
      <w:r>
        <w:t>ILC3s, establishing PKM2 as a key immunometabolic target and supporting calcitriol-primed ILCP-based cell therapy as a promising approach for alloimmune diseases.</w:t>
      </w:r>
    </w:p>
    <w:p>
      <w:pPr>
        <w:spacing w:before="120" w:after="120"/>
      </w:pPr>
      <w:r>
        <w:rPr>
          <w:sz w:val="18"/>
        </w:rPr>
        <w:t>——————————————————————————————————————————————————————————————————————</w:t>
      </w:r>
    </w:p>
    <w:p>
      <w:pPr>
        <w:spacing w:before="160" w:after="40" w:line="240" w:lineRule="auto"/>
      </w:pPr>
      <w:r>
        <w:rPr>
          <w:b/>
        </w:rPr>
        <w:t xml:space="preserve">[387] </w:t>
      </w:r>
      <w:hyperlink r:id="rId1125">
        <w:r>
          <w:rPr>
            <w:color w:val="1155CC"/>
            <w:u w:val="single"/>
          </w:rPr>
          <w:t>一种对抗生素耐药性淋病奈瑟菌具有活性的抗体-药物偶联物</w:t>
        </w:r>
      </w:hyperlink>
    </w:p>
    <w:p>
      <w:pPr>
        <w:spacing w:before="0" w:after="80"/>
      </w:pPr>
      <w:r>
        <w:rPr>
          <w:i/>
          <w:sz w:val="20"/>
        </w:rPr>
        <w:t>EN: An antibody–drug conjugate active against antibiotic-resistant Neisseria gonorrhoeae</w:t>
      </w:r>
    </w:p>
    <w:p>
      <w:pPr>
        <w:spacing w:before="0" w:after="120"/>
      </w:pPr>
      <w:r>
        <w:rPr>
          <w:b/>
        </w:rPr>
        <w:t xml:space="preserve">Source: </w:t>
      </w:r>
      <w:r>
        <w:t>Proceedings of the National Academy of Sciences: Keyword search for query</w:t>
      </w:r>
      <w:r>
        <w:t xml:space="preserve">    </w:t>
      </w:r>
      <w:r>
        <w:rPr>
          <w:b/>
        </w:rPr>
        <w:t xml:space="preserve">Pub date: </w:t>
      </w:r>
      <w:r>
        <w:t>2026-07-28 07:00:00+00:00</w:t>
      </w:r>
      <w:r>
        <w:t xml:space="preserve">    </w:t>
      </w:r>
      <w:r>
        <w:rPr>
          <w:b/>
        </w:rPr>
        <w:t xml:space="preserve">DOI: </w:t>
      </w:r>
      <w:hyperlink r:id="rId1126">
        <w:r>
          <w:rPr>
            <w:color w:val="1155CC"/>
            <w:u w:val="single"/>
          </w:rPr>
          <w:t>10.1073/pnas.2534217123</w:t>
        </w:r>
      </w:hyperlink>
    </w:p>
    <w:p>
      <w:pPr>
        <w:spacing w:before="0" w:after="120"/>
      </w:pPr>
      <w:r>
        <w:rPr>
          <w:b/>
        </w:rPr>
        <w:t xml:space="preserve">Notes: </w:t>
      </w:r>
      <w:r>
        <w:t>abstract_source=crossref</w:t>
      </w:r>
    </w:p>
    <w:p>
      <w:pPr>
        <w:spacing w:before="0" w:after="80" w:lineRule="auto" w:line="276"/>
      </w:pPr>
      <w:r>
        <w:rPr>
          <w:b/>
        </w:rPr>
        <w:t xml:space="preserve">摘要（ZH）: </w:t>
      </w:r>
      <w:r>
        <w:t>奈瑟菌属</w:t>
      </w:r>
      <w:r>
        <w:t xml:space="preserve"> </w:t>
      </w:r>
      <w:r>
        <w:t>淋病</w:t>
      </w:r>
      <w:r>
        <w:t xml:space="preserve"> </w:t>
      </w:r>
      <w:r>
        <w:t>淋病是一种性传播感染，其发病率不断上升，耐药菌株不断增加，对公共健康构成重大威胁。为了满足对新疗法的迫切需求，我们开发了一种针对这种重要人类病原体的抗体药物偶联物（ADC）。我们使用十三醇 A</w:t>
      </w:r>
      <w:r>
        <w:t xml:space="preserve"> </w:t>
      </w:r>
      <w:r>
        <w:t>1、</w:t>
      </w:r>
      <w:r>
        <w:t xml:space="preserve"> </w:t>
      </w:r>
      <w:r>
        <w:t>一种针对革兰氏阴性细菌的有效抗菌肽（AMP），对人体细胞表现出显着的毒性，限制了其临床应用的发展。通过结合十三醇 A</w:t>
      </w:r>
      <w:r>
        <w:rPr>
          <w:vertAlign w:val="subscript"/>
        </w:rPr>
        <w:t>1</w:t>
      </w:r>
      <w:r>
        <w:t>类似物，Oct-TriA</w:t>
      </w:r>
      <w:r>
        <w:rPr>
          <w:vertAlign w:val="subscript"/>
        </w:rPr>
        <w:t>1</w:t>
      </w:r>
      <w:r>
        <w:t>针对专门针对淋球菌 MtrE 的单克隆抗体 (mAb)，MtrE 是药物流出泵的外膜成分，在耐药菌株中上调，我们的目标是选择性地将 AMP 递送至淋球菌。然而，Oct-TriA</w:t>
      </w:r>
      <w:r>
        <w:rPr>
          <w:vertAlign w:val="subscript"/>
        </w:rPr>
        <w:t>1</w:t>
      </w:r>
      <w:r>
        <w:t>直接与 mAb 结合时不具有杀菌作用。为了规避这个问题，我们通过在 Oct-TriA 之间引入连接子，利用了淋球菌采用的免疫逃避机制。</w:t>
      </w:r>
      <w:r>
        <w:rPr>
          <w:vertAlign w:val="subscript"/>
        </w:rPr>
        <w:t>1</w:t>
      </w:r>
      <w:r>
        <w:t>被淋球菌分泌的IgA蛋白酶(IgAP)特异性裂解的mAb； IgAP 使人类 IgA 失活。该 ADC 对相关人体细胞没有可检测到的毒性，以 MtrE 和 IgAP 依赖性方式杀死淋球菌，并且对一线耐药菌株具有活性</w:t>
      </w:r>
    </w:p>
    <w:p>
      <w:pPr>
        <w:spacing w:before="0" w:after="200" w:lineRule="auto" w:line="276"/>
      </w:pPr>
      <w:r>
        <w:rPr>
          <w:b/>
        </w:rPr>
        <w:t xml:space="preserve">Abstract (EN): </w:t>
      </w:r>
      <w:r>
        <w:t>Neisseria</w:t>
      </w:r>
      <w:r>
        <w:t xml:space="preserve"> </w:t>
      </w:r>
      <w:r>
        <w:t>gonorrhoeae</w:t>
      </w:r>
      <w:r>
        <w:t xml:space="preserve"> </w:t>
      </w:r>
      <w:r>
        <w:t>is the causative agent of gonorrhea, a sexually transmitted infection which is rising in incidence, with increasing drug-resistant strains posing a significant public health threat. To address the urgent need for novel therapies, we developed an antibody–drug conjugate (ADC) that targets this important human pathogen. We utilized Tridecaptin A</w:t>
      </w:r>
      <w:r>
        <w:t xml:space="preserve"> </w:t>
      </w:r>
      <w:r>
        <w:t>1,</w:t>
      </w:r>
      <w:r>
        <w:t xml:space="preserve"> </w:t>
      </w:r>
      <w:r>
        <w:t>a potent antimicrobial peptide (AMP) against Gram-negative bacteria that exhibits significant toxicity against human cells, limiting its development for clinical use. By conjugating the Tridecaptin A</w:t>
      </w:r>
      <w:r>
        <w:rPr>
          <w:vertAlign w:val="subscript"/>
        </w:rPr>
        <w:t>1</w:t>
      </w:r>
      <w:r>
        <w:t>analogue, Oct-TriA</w:t>
      </w:r>
      <w:r>
        <w:rPr>
          <w:vertAlign w:val="subscript"/>
        </w:rPr>
        <w:t>1</w:t>
      </w:r>
      <w:r>
        <w:t>to a monoclonal antibody (mAb) that specifically targets gonococcal MtrE, the outer membrane component of a drug efflux pump that is upregulated in resistant strains, we aim to selectively deliver the AMP to the gonococcus. However, Oct-TriA</w:t>
      </w:r>
      <w:r>
        <w:rPr>
          <w:vertAlign w:val="subscript"/>
        </w:rPr>
        <w:t>1</w:t>
      </w:r>
      <w:r>
        <w:t>was not bactericidal when directly conjugated to mAb. To circumvent this, we exploited an immune evasion mechanism employed by the gonococcus by introducing a linker between Oct-TriA</w:t>
      </w:r>
      <w:r>
        <w:rPr>
          <w:vertAlign w:val="subscript"/>
        </w:rPr>
        <w:t>1</w:t>
      </w:r>
      <w:r>
        <w:t>and the mAb which is specifically cleaved by the IgA protease (IgAP) secreted by the gonococcus; the IgAP inactivates human IgA. This ADC has no detectable toxicity for relevant human cells, kills the gonococcus in an MtrE- and IgAP-dependent manner, and is active against a strain which is resistant to first line agents. This modular ADC platform could be extended to other bacterial pathogens which employ proteases to evade immune killing, offering a strategy in the fight against antimicrobial resistance.</w:t>
      </w:r>
    </w:p>
    <w:p>
      <w:pPr>
        <w:spacing w:before="120" w:after="120"/>
      </w:pPr>
      <w:r>
        <w:rPr>
          <w:sz w:val="18"/>
        </w:rPr>
        <w:t>——————————————————————————————————————————————————————————————————————</w:t>
      </w:r>
    </w:p>
    <w:p>
      <w:pPr>
        <w:spacing w:before="160" w:after="40" w:line="240" w:lineRule="auto"/>
      </w:pPr>
      <w:r>
        <w:rPr>
          <w:b/>
        </w:rPr>
        <w:t xml:space="preserve">[388] </w:t>
      </w:r>
      <w:hyperlink r:id="rId1127">
        <w:r>
          <w:rPr>
            <w:color w:val="1155CC"/>
            <w:u w:val="single"/>
          </w:rPr>
          <w:t>胎盘哺乳动物很早就出现了配对生活</w:t>
        </w:r>
      </w:hyperlink>
    </w:p>
    <w:p>
      <w:pPr>
        <w:spacing w:before="0" w:after="80"/>
      </w:pPr>
      <w:r>
        <w:rPr>
          <w:i/>
          <w:sz w:val="20"/>
        </w:rPr>
        <w:t>EN: Pair living emerged early in placental mammals</w:t>
      </w:r>
    </w:p>
    <w:p>
      <w:pPr>
        <w:spacing w:before="0" w:after="120"/>
      </w:pPr>
      <w:r>
        <w:rPr>
          <w:b/>
        </w:rPr>
        <w:t xml:space="preserve">Source: </w:t>
      </w:r>
      <w:r>
        <w:t>Proceedings of the National Academy of Sciences: Keyword search for query</w:t>
      </w:r>
      <w:r>
        <w:t xml:space="preserve">    </w:t>
      </w:r>
      <w:r>
        <w:rPr>
          <w:b/>
        </w:rPr>
        <w:t xml:space="preserve">Pub date: </w:t>
      </w:r>
      <w:r>
        <w:t>2026-07-28 07:00:00+00:00</w:t>
      </w:r>
      <w:r>
        <w:t xml:space="preserve">    </w:t>
      </w:r>
      <w:r>
        <w:rPr>
          <w:b/>
        </w:rPr>
        <w:t xml:space="preserve">DOI: </w:t>
      </w:r>
      <w:hyperlink r:id="rId1128">
        <w:r>
          <w:rPr>
            <w:color w:val="1155CC"/>
            <w:u w:val="single"/>
          </w:rPr>
          <w:t>10.1073/pnas.2528458123</w:t>
        </w:r>
      </w:hyperlink>
    </w:p>
    <w:p>
      <w:pPr>
        <w:spacing w:before="0" w:after="120"/>
      </w:pPr>
      <w:r>
        <w:rPr>
          <w:b/>
        </w:rPr>
        <w:t xml:space="preserve">Notes: </w:t>
      </w:r>
      <w:r>
        <w:t>abstract_source=crossref</w:t>
      </w:r>
    </w:p>
    <w:p>
      <w:pPr>
        <w:spacing w:before="0" w:after="80" w:lineRule="auto" w:line="276"/>
      </w:pPr>
      <w:r>
        <w:rPr>
          <w:b/>
        </w:rPr>
        <w:t xml:space="preserve">摘要（ZH）: </w:t>
      </w:r>
      <w:r>
        <w:t>人们普遍认为最早的胎盘哺乳动物是独居的。在这里，我们测试了这一假设以及哪些生态和生活史因素与哺乳动物的社会组织相关。我们通过审查 14,000 多份关于 5,390 种现存胎盘哺乳动物的社会组织的主要同行评审出版物，编制了一个综合数据库。我们发现了 1,473 个种群中 726 个物种的经验数据：353 个种群主要是独居，250 个种群配对生活，870 个种群群居。值得注意的是，367 个物种 (51%) 和 583 个种群 (40%) 在社会组织方面表现出种内变异。使用包含种内变异的贝叶斯系统发育框架，我们表明祖先胎盘哺乳动物主要但不完全是孤独的，表现出种内变异。据估计，配对生活约占祖先社会组织的 26%。系统发育解释了物种之间的大部分变异，而生活史和生态学则不太重要。我们的分析发现，现存独居和成对生活的哺乳动物的生态和生活史与群居哺乳动物非常相似且不同。我们的研究结果修正了哺乳动物社会进化的主流理论，揭示了配对生活很早就出现，将研究哺乳动物社会进化的重点从配对生活的起源转移到群体生活的起源。</w:t>
      </w:r>
    </w:p>
    <w:p>
      <w:pPr>
        <w:spacing w:before="0" w:after="200" w:lineRule="auto" w:line="276"/>
      </w:pPr>
      <w:r>
        <w:rPr>
          <w:b/>
        </w:rPr>
        <w:t xml:space="preserve">Abstract (EN): </w:t>
      </w:r>
      <w:r>
        <w:t>It is widely assumed that the first placental mammals were solitary. Here, we tested this assumption and which ecological and life history factors are related to mammalian social organization. We compiled a comprehensive database by reviewing over 14,000 primary peer-reviewed publications on the social organization of the 5,390 extant placental mammal species. We found empirical data for 726 species across 1,473 populations: 353 populations were primarily solitary, 250 populations pair living, and 870 populations group living. Notably, 367 species (51%) and 583 populations (40%) exhibited intraspecific variation in social organization. Using a Bayesian phylogenetic framework that incorporates intraspecific variation, we show that the ancestral placental mammal was mainly but not exclusively solitary, displaying intraspecific variation. Pair living was estimated to account for approximately 26% of ancestral social organization. Phylogeny explained most of the variation between species, while life history and ecology were less important. Our analysis found that the ecology and life history of extant solitary and pair-living mammals is very similar and different from those of group-living mammals. Our results revise prevailing theories of mammalian social evolution, revealing that pair living emerged early, shifting the focus of studying mammalian social evolution from the origins of pair living to the origins of group living.</w:t>
      </w:r>
    </w:p>
    <w:p>
      <w:pPr>
        <w:spacing w:before="120" w:after="120"/>
      </w:pPr>
      <w:r>
        <w:rPr>
          <w:sz w:val="18"/>
        </w:rPr>
        <w:t>——————————————————————————————————————————————————————————————————————</w:t>
      </w:r>
    </w:p>
    <w:p>
      <w:pPr>
        <w:spacing w:before="160" w:after="40" w:line="240" w:lineRule="auto"/>
      </w:pPr>
      <w:r>
        <w:rPr>
          <w:b/>
        </w:rPr>
        <w:t xml:space="preserve">[389] </w:t>
      </w:r>
      <w:hyperlink r:id="rId1129">
        <w:r>
          <w:rPr>
            <w:color w:val="1155CC"/>
            <w:u w:val="single"/>
          </w:rPr>
          <w:t>DOT1L 促进 c-MYC 的蛋白水解激活</w:t>
        </w:r>
      </w:hyperlink>
    </w:p>
    <w:p>
      <w:pPr>
        <w:spacing w:before="0" w:after="80"/>
      </w:pPr>
      <w:r>
        <w:rPr>
          <w:i/>
          <w:sz w:val="20"/>
        </w:rPr>
        <w:t>EN: Proteolytic activation of c-MYC facilitated by DOT1L</w:t>
      </w:r>
    </w:p>
    <w:p>
      <w:pPr>
        <w:spacing w:before="0" w:after="120"/>
      </w:pPr>
      <w:r>
        <w:rPr>
          <w:b/>
        </w:rPr>
        <w:t xml:space="preserve">Source: </w:t>
      </w:r>
      <w:r>
        <w:t>Proceedings of the National Academy of Sciences: Keyword search for query</w:t>
      </w:r>
      <w:r>
        <w:t xml:space="preserve">    </w:t>
      </w:r>
      <w:r>
        <w:rPr>
          <w:b/>
        </w:rPr>
        <w:t xml:space="preserve">Pub date: </w:t>
      </w:r>
      <w:r>
        <w:t>2026-07-28 07:00:00+00:00</w:t>
      </w:r>
      <w:r>
        <w:t xml:space="preserve">    </w:t>
      </w:r>
      <w:r>
        <w:rPr>
          <w:b/>
        </w:rPr>
        <w:t xml:space="preserve">DOI: </w:t>
      </w:r>
      <w:hyperlink r:id="rId1130">
        <w:r>
          <w:rPr>
            <w:color w:val="1155CC"/>
            <w:u w:val="single"/>
          </w:rPr>
          <w:t>10.1073/pnas.2525603123</w:t>
        </w:r>
      </w:hyperlink>
    </w:p>
    <w:p>
      <w:pPr>
        <w:spacing w:before="0" w:after="120"/>
      </w:pPr>
      <w:r>
        <w:rPr>
          <w:b/>
        </w:rPr>
        <w:t xml:space="preserve">Notes: </w:t>
      </w:r>
      <w:r>
        <w:t>abstract_source=crossref</w:t>
      </w:r>
    </w:p>
    <w:p>
      <w:pPr>
        <w:spacing w:before="0" w:after="80" w:lineRule="auto" w:line="276"/>
      </w:pPr>
      <w:r>
        <w:rPr>
          <w:b/>
        </w:rPr>
        <w:t xml:space="preserve">摘要（ZH）: </w:t>
      </w:r>
      <w:r>
        <w:t>c-MYC 是生长和代谢的关键调节因子。 H3K79 甲基转移酶 DOT1L 和 c-MYC 之间的功能和分子合作已在几种人类癌症类型中被报道，但它们相互作用的性质仍不清楚。我们证明 DOT1L 和 MYC [Myc 和 Mondo-like (MML-1)</w:t>
      </w:r>
      <w:r>
        <w:t xml:space="preserve"> </w:t>
      </w:r>
      <w:r>
        <w:t>秀丽隐杆线虫</w:t>
      </w:r>
      <w:r>
        <w:t xml:space="preserve"> </w:t>
      </w:r>
      <w:r>
        <w:t>] 共同调节线虫模型和哺乳动物癌细胞中的基因。此外，c-MYC 和 MML-1 均表现出 DOT1L 功能促进的裂解产物。令人惊讶的是，我们发现 DOT1 蛋白中的保守序列与 DDI 家族蛋白酶催化基序之间存在相似性。我们将 DNA 结合结构域之前的 c-MYC 序列描述为核蛋白水解裂解位点，证明了其对于 c-MYC 转录激活的重要性，并提出 c-MYC 由蛋白酶激活，正如之前报道的核因子红细胞 2 相关因子 (NRF) 和 SREBP 转录因子一样。我们的结果表明，DOT1L 可能通过充当蛋白酶来激活细胞核中的 c-MYC 和其他转录因子。</w:t>
      </w:r>
    </w:p>
    <w:p>
      <w:pPr>
        <w:spacing w:before="0" w:after="200" w:lineRule="auto" w:line="276"/>
      </w:pPr>
      <w:r>
        <w:rPr>
          <w:b/>
        </w:rPr>
        <w:t xml:space="preserve">Abstract (EN): </w:t>
      </w:r>
      <w:r>
        <w:t>c-MYC is a key regulator of growth and metabolism. Functional and molecular cooperation between the H3K79 methyltransferase DOT1L and c-MYC has been reported in several human cancer types, but the nature of their interaction remains undefined. We demonstrate that DOT1L and MYC [Myc and Mondo-like (MML-1) in</w:t>
      </w:r>
      <w:r>
        <w:t xml:space="preserve"> </w:t>
      </w:r>
      <w:r>
        <w:t>Caenorhabditis elegans</w:t>
      </w:r>
      <w:r>
        <w:t xml:space="preserve"> </w:t>
      </w:r>
      <w:r>
        <w:t>] coregulate genes in the nematode model and mammalian cancer cells. Moreover, both c-MYC and MML-1 exhibit cleavage products facilitated by DOT1L function. Surprisingly, we found a similarity between a conserved sequence in DOT1 proteins and the DDI-family protease catalytic motif. We characterize a c-MYC sequence preceding the DNA-binding domain as a site of nuclear proteolytic cleavage, demonstrate its importance for transcription activation by c-MYC, and propose that c-MYC is activated by a protease, as previously reported for Nuclear factor erythroid 2-related factor (NRF) and SREBP transcription factors. Our results suggest that DOT1L may activate c-MYC and other transcription factors in the nucleus by acting as a protease.</w:t>
      </w:r>
    </w:p>
    <w:p>
      <w:pPr>
        <w:spacing w:before="120" w:after="120"/>
      </w:pPr>
      <w:r>
        <w:rPr>
          <w:sz w:val="18"/>
        </w:rPr>
        <w:t>——————————————————————————————————————————————————————————————————————</w:t>
      </w:r>
    </w:p>
    <w:p>
      <w:pPr>
        <w:spacing w:before="160" w:after="40" w:line="240" w:lineRule="auto"/>
      </w:pPr>
      <w:r>
        <w:rPr>
          <w:b/>
        </w:rPr>
        <w:t xml:space="preserve">[390] </w:t>
      </w:r>
      <w:hyperlink r:id="rId1131">
        <w:r>
          <w:rPr>
            <w:color w:val="1155CC"/>
            <w:u w:val="single"/>
          </w:rPr>
          <w:t>流感大流行的口服抗病毒治疗储备的全球需求和潜在的公共卫生影响</w:t>
        </w:r>
      </w:hyperlink>
    </w:p>
    <w:p>
      <w:pPr>
        <w:spacing w:before="0" w:after="80"/>
      </w:pPr>
      <w:r>
        <w:rPr>
          <w:i/>
          <w:sz w:val="20"/>
        </w:rPr>
        <w:t>EN: The global demand and potential public health impact of oral antiviral treatment stockpile for influenza pandemics</w:t>
      </w:r>
    </w:p>
    <w:p>
      <w:pPr>
        <w:spacing w:before="0" w:after="120"/>
      </w:pPr>
      <w:r>
        <w:rPr>
          <w:b/>
        </w:rPr>
        <w:t xml:space="preserve">Source: </w:t>
      </w:r>
      <w:r>
        <w:t>Proceedings of the National Academy of Sciences: Keyword search for query</w:t>
      </w:r>
      <w:r>
        <w:t xml:space="preserve">    </w:t>
      </w:r>
      <w:r>
        <w:rPr>
          <w:b/>
        </w:rPr>
        <w:t xml:space="preserve">Pub date: </w:t>
      </w:r>
      <w:r>
        <w:t>2026-07-28 07:00:00+00:00</w:t>
      </w:r>
      <w:r>
        <w:t xml:space="preserve">    </w:t>
      </w:r>
      <w:r>
        <w:rPr>
          <w:b/>
        </w:rPr>
        <w:t xml:space="preserve">DOI: </w:t>
      </w:r>
      <w:hyperlink r:id="rId1132">
        <w:r>
          <w:rPr>
            <w:color w:val="1155CC"/>
            <w:u w:val="single"/>
          </w:rPr>
          <w:t>10.1073/pnas.2524161123</w:t>
        </w:r>
      </w:hyperlink>
    </w:p>
    <w:p>
      <w:pPr>
        <w:spacing w:before="0" w:after="120"/>
      </w:pPr>
      <w:r>
        <w:rPr>
          <w:b/>
        </w:rPr>
        <w:t xml:space="preserve">Notes: </w:t>
      </w:r>
      <w:r>
        <w:t>abstract_source=crossref</w:t>
      </w:r>
    </w:p>
    <w:p>
      <w:pPr>
        <w:spacing w:before="0" w:after="80" w:lineRule="auto" w:line="276"/>
      </w:pPr>
      <w:r>
        <w:rPr>
          <w:b/>
        </w:rPr>
        <w:t xml:space="preserve">摘要（ZH）: </w:t>
      </w:r>
      <w:r>
        <w:t>在新型流感大流行出现和疫苗可用之间的关键时期，抗病毒药物是为数不多的可用对策之一。抗病毒药物储备是一项重要的大流行防范措施，但现有的储备估计差异很大，并且基于有关就医行为和药物特定有效性的过时假设，而 COVID-19 大流行和最近的临床试验证据已使这些限制变得站不住脚。我们开发了一个多尺度传播模型，结合了异质性就医行为和抗病毒传播风险降低的直接临床估计，以估计 186 个国家的四种大流行情况下特定国家的需求和死亡率影响。我们发现，baloxavir marboxil (BXM) 由于其减少传播的潜力，可以在第一波流行病中避免 37% 至 68% 的平均大流行死亡，大约是奥司他韦影响的两倍，同时需要的平均库存减少约 5% 至 10%（占人口的 7% 至 34%，而奥司他韦为 28% 至 36%）。临床试验中病毒载量动态和传播减少益处的不确定性意味着 BXM 的影响可能会有所不同，但敏感性分析一致表明 BXM 可能比奥司他韦更有效。在药物供应有限的情况下，应优先考虑治疗而非暴露后预防。尽管对高死亡率人群（例如老年人）实行药物配给可以大幅减少 BXM 需求，但这样做会导致大流行病总死亡人数增加。至关重要的是，每周</w:t>
      </w:r>
    </w:p>
    <w:p>
      <w:pPr>
        <w:spacing w:before="0" w:after="200" w:lineRule="auto" w:line="276"/>
      </w:pPr>
      <w:r>
        <w:rPr>
          <w:b/>
        </w:rPr>
        <w:t xml:space="preserve">Abstract (EN): </w:t>
      </w:r>
      <w:r>
        <w:t>Antiviral drugs are among the few countermeasures available during the critical interval between the emergence of a novel influenza pandemic and vaccine availability. Antiviral stockpiling is a key pandemic preparedness measure, yet existing stockpiling estimates vary widely and rest on outdated assumptions about healthcare-seeking behavior and drug-specific effectiveness—limitations that the COVID-19 pandemic and recent clinical trial evidence have made untenable. We developed a multiscale transmission model incorporating heterogeneous healthcare-seeking behavior and direct clinical estimates of antiviral transmission risk reduction to estimate country-specific demand and mortality impact across four pandemic scenarios in 186 countries. We find that baloxavir marboxil (BXM), due to its transmission-reducing potential, could avert 37 to 68% of mean pandemic deaths in the first epidemic wave, approximately double the impact of oseltamivir, while requiring a mean stockpile approximately 5 to 10% smaller (7 to 34% of the population, compared to 28 to 36% for oseltamivir). Uncertainty in viral load dynamics and transmission reduction benefits from clinical trials means that BXM’s impact could vary, but sensitivity analyses consistently suggest that BXM is likely to be more effective than oseltamivir. Under limited drug availability, priority should be given to treatment over postexposure prophylaxis. Although drug rationing for high-mortality populations (e.g., elderly) can substantially reduce BXM demand, doing so leads to greater total pandemic deaths. Critically, each week of delay in initiating antiviral distribution erodes impact by up to 3% of averted deaths, meaning that antiviral stockpiles must be accompanied by rapid deployment infrastructure to deliver their potential impact.</w:t>
      </w:r>
    </w:p>
    <w:p>
      <w:pPr>
        <w:spacing w:before="120" w:after="120"/>
      </w:pPr>
      <w:r>
        <w:rPr>
          <w:sz w:val="18"/>
        </w:rPr>
        <w:t>——————————————————————————————————————————————————————————————————————</w:t>
      </w:r>
    </w:p>
    <w:p>
      <w:pPr>
        <w:spacing w:before="160" w:after="40" w:line="240" w:lineRule="auto"/>
      </w:pPr>
      <w:r>
        <w:rPr>
          <w:b/>
        </w:rPr>
        <w:t xml:space="preserve">[391] </w:t>
      </w:r>
      <w:hyperlink r:id="rId1133">
        <w:r>
          <w:rPr>
            <w:color w:val="1155CC"/>
            <w:u w:val="single"/>
          </w:rPr>
          <w:t>长视野联想学习作为跨尺度统计学习的统一框架</w:t>
        </w:r>
      </w:hyperlink>
    </w:p>
    <w:p>
      <w:pPr>
        <w:spacing w:before="0" w:after="80"/>
      </w:pPr>
      <w:r>
        <w:rPr>
          <w:i/>
          <w:sz w:val="20"/>
        </w:rPr>
        <w:t>EN: Long-horizon associative learning as a unifying framework for statistical learning across scales</w:t>
      </w:r>
    </w:p>
    <w:p>
      <w:pPr>
        <w:spacing w:before="0" w:after="120"/>
      </w:pPr>
      <w:r>
        <w:rPr>
          <w:b/>
        </w:rPr>
        <w:t xml:space="preserve">Source: </w:t>
      </w:r>
      <w:r>
        <w:t>Proceedings of the National Academy of Sciences: Keyword search for query</w:t>
      </w:r>
      <w:r>
        <w:t xml:space="preserve">    </w:t>
      </w:r>
      <w:r>
        <w:rPr>
          <w:b/>
        </w:rPr>
        <w:t xml:space="preserve">Pub date: </w:t>
      </w:r>
      <w:r>
        <w:t>2026-07-28 07:00:00+00:00</w:t>
      </w:r>
      <w:r>
        <w:t xml:space="preserve">    </w:t>
      </w:r>
      <w:r>
        <w:rPr>
          <w:b/>
        </w:rPr>
        <w:t xml:space="preserve">DOI: </w:t>
      </w:r>
      <w:hyperlink r:id="rId1134">
        <w:r>
          <w:rPr>
            <w:color w:val="1155CC"/>
            <w:u w:val="single"/>
          </w:rPr>
          <w:t>10.1073/pnas.2513423123</w:t>
        </w:r>
      </w:hyperlink>
    </w:p>
    <w:p>
      <w:pPr>
        <w:spacing w:before="0" w:after="120"/>
      </w:pPr>
      <w:r>
        <w:rPr>
          <w:b/>
        </w:rPr>
        <w:t xml:space="preserve">Notes: </w:t>
      </w:r>
      <w:r>
        <w:t>abstract_source=crossref</w:t>
      </w:r>
    </w:p>
    <w:p>
      <w:pPr>
        <w:spacing w:before="0" w:after="80" w:lineRule="auto" w:line="276"/>
      </w:pPr>
      <w:r>
        <w:rPr>
          <w:b/>
        </w:rPr>
        <w:t xml:space="preserve">摘要（ZH）: </w:t>
      </w:r>
      <w:r>
        <w:t>感官输入富含跨多个时间尺度展开的时间模式。发现这些规律对于预测未来事件和有效应对环境至关重要。人们提出了许多模型来解释特定时间尺度的学习；然而，它们通常是孤立设计的，并且依赖于经过严格调整的统计方法，从而限制了它们对其他范式的普遍适用性。相比之下，人类通常在事先不了解底层结构或规律性发生的相关时间尺度的情况下进行学习。在这里，我们提出了统计学习的统一解释，涵盖了广泛的时间依赖性，从相邻和不相邻的转换到复杂的网络结构。这种模型，即长视野联想学习，提供了后继表示的生物学基础实现，或者等效的自由能最小化模型。通过重新分析 11 项之前发表的研究数据，我们发现单一神经机制可以捕获局部统计规律和高阶结构特性。该机制依赖于关联轨迹的分级时间重叠，并由单个自由参数 (β) 控制。这种最初的领域通用联想学习过程，从关联的分级结构中出现，随后可能会发展到更高级别的操作，例如分组、分类、规则抽象和记忆形成。总的来说，这个框架提供了一个概念综合，连接了统计学习文献的不同分支和</w:t>
      </w:r>
    </w:p>
    <w:p>
      <w:pPr>
        <w:spacing w:before="0" w:after="200" w:lineRule="auto" w:line="276"/>
      </w:pPr>
      <w:r>
        <w:rPr>
          <w:b/>
        </w:rPr>
        <w:t xml:space="preserve">Abstract (EN): </w:t>
      </w:r>
      <w:r>
        <w:t>Sensory inputs are rich with temporal patterns that unfold across multiple timescales. Uncovering these regularities is essential for anticipating future events and navigating the environment efficiently. Numerous models have been proposed to account for learning at specific temporal scales; however, they are often designed in isolation and rely on narrowly tuned statistical measures, limiting their generalizability to other paradigms. In contrast, humans typically learn without prior knowledge of the underlying structure or the relevant timescale at which regularities occur. Here, we present a unifying account of statistical learning that spans a wide range of temporal dependencies, from adjacent and nonadjacent transitions to complex network structures. This model, long-horizon associative learning, offers a biologically grounded implementation of the successor representation, or equivalently, the free energy minimization model. Reanalyzing data from 11 previously published studies, we show that a single neural mechanism captures both local statistical regularities and higher-order structural properties. This mechanism rests on graded temporal overlap of associative traces and is governed by a single free parameter (β). This initial domain-general associative learning process, emerging from the graded structure of associations, may later scaffold to higher-level operations such as grouping, categorization, rule abstraction, and memory formation. Overall, this framework offers a conceptual synthesis that bridges disparate strands of the statistical learning literature and reframes apparent paradigm-specific effects as different expressions of a common underlying computation.</w:t>
      </w:r>
    </w:p>
    <w:p>
      <w:pPr>
        <w:spacing w:before="120" w:after="120"/>
      </w:pPr>
      <w:r>
        <w:rPr>
          <w:sz w:val="18"/>
        </w:rPr>
        <w:t>——————————————————————————————————————————————————————————————————————</w:t>
      </w:r>
    </w:p>
    <w:p>
      <w:pPr>
        <w:spacing w:before="160" w:after="40" w:line="240" w:lineRule="auto"/>
      </w:pPr>
      <w:r>
        <w:rPr>
          <w:b/>
        </w:rPr>
        <w:t xml:space="preserve">[392] </w:t>
      </w:r>
      <w:hyperlink r:id="rId1135">
        <w:r>
          <w:rPr>
            <w:color w:val="1155CC"/>
            <w:u w:val="single"/>
          </w:rPr>
          <w:t>人类海马体可以通过意义来模式化单独的记忆</w:t>
        </w:r>
      </w:hyperlink>
    </w:p>
    <w:p>
      <w:pPr>
        <w:spacing w:before="0" w:after="80"/>
      </w:pPr>
      <w:r>
        <w:rPr>
          <w:i/>
          <w:sz w:val="20"/>
        </w:rPr>
        <w:t>EN: The human hippocampus can pattern separate memories by meaning</w:t>
      </w:r>
    </w:p>
    <w:p>
      <w:pPr>
        <w:spacing w:before="0" w:after="120"/>
      </w:pPr>
      <w:r>
        <w:rPr>
          <w:b/>
        </w:rPr>
        <w:t xml:space="preserve">Source: </w:t>
      </w:r>
      <w:r>
        <w:t>Proceedings of the National Academy of Sciences: Keyword search for query</w:t>
      </w:r>
      <w:r>
        <w:t xml:space="preserve">    </w:t>
      </w:r>
      <w:r>
        <w:rPr>
          <w:b/>
        </w:rPr>
        <w:t xml:space="preserve">Pub date: </w:t>
      </w:r>
      <w:r>
        <w:t>2026-07-28 07:00:00+00:00</w:t>
      </w:r>
      <w:r>
        <w:t xml:space="preserve">    </w:t>
      </w:r>
      <w:r>
        <w:rPr>
          <w:b/>
        </w:rPr>
        <w:t xml:space="preserve">DOI: </w:t>
      </w:r>
      <w:hyperlink r:id="rId1136">
        <w:r>
          <w:rPr>
            <w:color w:val="1155CC"/>
            <w:u w:val="single"/>
          </w:rPr>
          <w:t>10.1073/pnas.2603114123</w:t>
        </w:r>
      </w:hyperlink>
    </w:p>
    <w:p>
      <w:pPr>
        <w:spacing w:before="0" w:after="120"/>
      </w:pPr>
      <w:r>
        <w:rPr>
          <w:b/>
        </w:rPr>
        <w:t xml:space="preserve">Notes: </w:t>
      </w:r>
      <w:r>
        <w:t>abstract_source=crossref</w:t>
      </w:r>
    </w:p>
    <w:p>
      <w:pPr>
        <w:spacing w:before="0" w:after="80" w:lineRule="auto" w:line="276"/>
      </w:pPr>
      <w:r>
        <w:rPr>
          <w:b/>
        </w:rPr>
        <w:t xml:space="preserve">摘要（ZH）: </w:t>
      </w:r>
      <w:r>
        <w:t>海马模式分离是一种神经操作，通过将神经输入正交化为非重叠表示来支持高度相似记忆的助记辨别。在人类中，模式分离被认为支持情景记忆的特异性。最近的神经影像学研究表明，海马体还可以访问和操纵语义信息。然而，目前尚不清楚海马体是否能够模式化分离高度相似的语义表征。在这里，我们在一项完善的记忆辨别任务中使用高分辨率功能 MRI 测试了模式分离的多个神经和行为特征，其中我们使用词嵌入在多维概念空间中操纵语义相似性。 30 名年轻人（法师 = 21.1，16 名女性）看到了形容词-名词短语（例如，“异国情调的动物园”），这些短语后来像以前一样重复或用语义相似的形容词进行修改（例如，“奇怪的动物园”）。至关重要的是，我们在偶然编码和二选一识别阶段都呈现了精确的和修改的重复，在该阶段评估了助记符辨别力。与模式分离一致，我们发现海马头重复敏感簇中修饰重复的重复抑制减弱，这在高水平和低水平相似性下都很明显，两个先验定义的相似性箱之间没有差异。此外，在参与者中，模式分离的神经特征与识别时的记忆辨别有关。最后，对重复敏感的簇</w:t>
      </w:r>
    </w:p>
    <w:p>
      <w:pPr>
        <w:spacing w:before="0" w:after="200" w:lineRule="auto" w:line="276"/>
      </w:pPr>
      <w:r>
        <w:rPr>
          <w:b/>
        </w:rPr>
        <w:t xml:space="preserve">Abstract (EN): </w:t>
      </w:r>
      <w:r>
        <w:t>Hippocampal pattern separation is a neural operation supporting mnemonic discrimination of highly similar memories by orthogonalizing neural inputs into nonoverlapping representations. In humans, pattern separation is thought to support the specificity of episodic memories. Recent neuroimaging studies suggest that the hippocampus can also access and manipulate semantic information. However, it is unclear whether the hippocampus can pattern separate highly similar semantic representations. Here, we tested multiple neural and behavioral signatures of pattern separation using high-resolution functional MRI during a well-established memory discrimination task where we manipulated semantic similarity in a multidimensional conceptual space using word-embeddings. Thirty young adults (Mage = 21.1, 16 females) saw adjective-noun phrases (e.g., “exotic zoo”) that were later repeated exactly as before or modified with semantically similar adjectives (e.g., “strange zoo”). Crucially, we presented exact and modified repeats both during an incidental encoding and a two-choice recognition phase, where mnemonic discrimination was assessed. Consistent with pattern separation, we found attenuated repetition suppression for modified repeats in repetition sensitive clusters of the hippocampal head, which was evident at both high and low levels of similarity with no difference between two a priori defined similarity bins. In addition, within participants, the neural signature of pattern separation was associated with mnemonic discrimination at recognition. Finally, clusters sensitive to repetitions during encoding differentiated lures from foils at recognition. These results suggest that hippocampal pattern separation is triggered by fine-grained differences in meaning and supports the creation of highly specific representations of memories overlapping in semantic memory.</w:t>
      </w:r>
    </w:p>
    <w:p>
      <w:pPr>
        <w:spacing w:before="120" w:after="120"/>
      </w:pPr>
      <w:r>
        <w:rPr>
          <w:sz w:val="18"/>
        </w:rPr>
        <w:t>——————————————————————————————————————————————————————————————————————</w:t>
      </w:r>
    </w:p>
    <w:p>
      <w:pPr>
        <w:spacing w:before="160" w:after="40" w:line="240" w:lineRule="auto"/>
      </w:pPr>
      <w:r>
        <w:rPr>
          <w:b/>
        </w:rPr>
        <w:t xml:space="preserve">[393] </w:t>
      </w:r>
      <w:hyperlink r:id="rId1137">
        <w:r>
          <w:rPr>
            <w:color w:val="1155CC"/>
            <w:u w:val="single"/>
          </w:rPr>
          <w:t>前部和后部压后皮层在空间编码中采用不同的自我中心-异中心转换策略</w:t>
        </w:r>
      </w:hyperlink>
    </w:p>
    <w:p>
      <w:pPr>
        <w:spacing w:before="0" w:after="80"/>
      </w:pPr>
      <w:r>
        <w:rPr>
          <w:i/>
          <w:sz w:val="20"/>
        </w:rPr>
        <w:t>EN: Anterior and posterior retrosplenial cortex employ distinct strategies for egocentric–allocentric transformation in spatial coding</w:t>
      </w:r>
    </w:p>
    <w:p>
      <w:pPr>
        <w:spacing w:before="0" w:after="120"/>
      </w:pPr>
      <w:r>
        <w:rPr>
          <w:b/>
        </w:rPr>
        <w:t xml:space="preserve">Source: </w:t>
      </w:r>
      <w:r>
        <w:t>Proceedings of the National Academy of Sciences: Keyword search for query</w:t>
      </w:r>
      <w:r>
        <w:t xml:space="preserve">    </w:t>
      </w:r>
      <w:r>
        <w:rPr>
          <w:b/>
        </w:rPr>
        <w:t xml:space="preserve">Pub date: </w:t>
      </w:r>
      <w:r>
        <w:t>2026-07-28 07:00:00+00:00</w:t>
      </w:r>
      <w:r>
        <w:t xml:space="preserve">    </w:t>
      </w:r>
      <w:r>
        <w:rPr>
          <w:b/>
        </w:rPr>
        <w:t xml:space="preserve">DOI: </w:t>
      </w:r>
      <w:hyperlink r:id="rId1138">
        <w:r>
          <w:rPr>
            <w:color w:val="1155CC"/>
            <w:u w:val="single"/>
          </w:rPr>
          <w:t>10.1073/pnas.2600565123</w:t>
        </w:r>
      </w:hyperlink>
    </w:p>
    <w:p>
      <w:pPr>
        <w:spacing w:before="0" w:after="120"/>
      </w:pPr>
      <w:r>
        <w:rPr>
          <w:b/>
        </w:rPr>
        <w:t xml:space="preserve">Notes: </w:t>
      </w:r>
      <w:r>
        <w:t>abstract_source=crossref</w:t>
      </w:r>
    </w:p>
    <w:p>
      <w:pPr>
        <w:spacing w:before="0" w:after="80" w:lineRule="auto" w:line="276"/>
      </w:pPr>
      <w:r>
        <w:rPr>
          <w:b/>
        </w:rPr>
        <w:t xml:space="preserve">摘要（ZH）: </w:t>
      </w:r>
      <w:r>
        <w:t>从自我中心到异中心空间坐标的转换是神经空间计算中的关键过程。假设压后皮质（RSC）充当这种转换的中心枢纽，将自我中心的知觉输入与海马和海马旁回路中的异体中心表征联系起来。然而，RSC 内这一职能的区域和特定于预测的组织仍然不明确。在这项研究中，我们在自由导航的小鼠身上采用了双光子钙成像来剖析 RSC 空间编码。我们确定了沿前后轴的功能差异：前部 RSC (aRSC) 主要以自我中心边界向量 (EBV) 编码为特征，而后部 RSC (pRSC) 则表现出增强的异中心边界表示。它揭示了 pRSC 中的自我中心边界向量细胞 (EBVC) 比 aRSC 中的自我中心边界向量细胞具有更广泛的自我中心调节。尽管如此，pRSC 显示出异中心头部方向信息的更紧密整合，这些信息专门汇聚到专门的结细胞上，从而产生更具选择性的边界表示。至关重要的是，这项工作确定了 RSC 上的功能差异，其中空间编码从 aRSC 中更自我中心转变为 pRSC 中更异中心。此外，它还定义了一条专门的 RSC 到内侧内嗅皮层 (MEC) 的投射通路，该通路针对这些全局调节的结性神经元进行了丰富，为 MEC 提供了高度集成的、世界参考的空间信号，用于构建认知图。我们的发现阐明</w:t>
      </w:r>
    </w:p>
    <w:p>
      <w:pPr>
        <w:spacing w:before="0" w:after="200" w:lineRule="auto" w:line="276"/>
      </w:pPr>
      <w:r>
        <w:rPr>
          <w:b/>
        </w:rPr>
        <w:t xml:space="preserve">Abstract (EN): </w:t>
      </w:r>
      <w:r>
        <w:t>The transformation from egocentric to allocentric spatial coordinates is a critical process in neural spatial computation. The retrosplenial cortex (RSC) is hypothesized to serve as a central hub for this conversion, bridging egocentric perceptual inputs with allocentric representations in hippocampal and parahippocampal circuits. However, the regional and projection-specific organization of this function within the RSC remains poorly defined. In this study, we employed two-photon calcium imaging in freely navigating mice to dissect RSC spatial coding. We identified functional differences along the anteroposterior axis: the anterior RSC (aRSC) was predominantly characterized by egocentric boundary vector (EBV) coding, whereas the posterior RSC (pRSC) exhibited enhanced allocentric boundary representation. And it reveals that egocentric boundary vector cells (EBVCs) in the pRSC possess broader egocentric tuning than those in the aRSC. Despite this, pRSC shows tighter integration of allocentric head direction information, which converges specifically onto specialized conjunctive cells, resulting in a more selective boundary representation. Crucially, this work identifies functional differences along the RSC, where spatial coding transforms from more egocentric in aRSC to more allocentric in pRSC. Furthermore, it defines a specialized RSC to medial entorhinal cortex (MEC) projection pathway that is enriched for these global-tuned, conjunctive neurons, providing the MEC with a highly integrated, world-referenced spatial signal for constructing cognitive maps. Our findings elucidate a functional variance and projection-specific circuitry within the RSC, providing experimental evidence for models of hierarchical spatial processing.</w:t>
      </w:r>
    </w:p>
    <w:p>
      <w:pPr>
        <w:spacing w:before="120" w:after="120"/>
      </w:pPr>
      <w:r>
        <w:rPr>
          <w:sz w:val="18"/>
        </w:rPr>
        <w:t>——————————————————————————————————————————————————————————————————————</w:t>
      </w:r>
    </w:p>
    <w:p>
      <w:pPr>
        <w:spacing w:before="160" w:after="40" w:line="240" w:lineRule="auto"/>
      </w:pPr>
      <w:r>
        <w:rPr>
          <w:b/>
        </w:rPr>
        <w:t xml:space="preserve">[394] </w:t>
      </w:r>
      <w:hyperlink r:id="rId1139">
        <w:r>
          <w:rPr>
            <w:color w:val="1155CC"/>
            <w:u w:val="single"/>
          </w:rPr>
          <w:t>本期</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2026-07-28 07:00:00+00:00</w:t>
      </w:r>
      <w:r>
        <w:t xml:space="preserve">    </w:t>
      </w:r>
      <w:r>
        <w:rPr>
          <w:b/>
        </w:rPr>
        <w:t xml:space="preserve">DOI: </w:t>
      </w:r>
      <w:hyperlink r:id="rId1140">
        <w:r>
          <w:rPr>
            <w:color w:val="1155CC"/>
            <w:u w:val="single"/>
          </w:rPr>
          <w:t>10.1073/iti3026123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[395] </w:t>
      </w:r>
      <w:hyperlink r:id="rId1141">
        <w:r>
          <w:rPr>
            <w:color w:val="1155CC"/>
            <w:u w:val="single"/>
          </w:rPr>
          <w:t>两级系统的混合声光双重修整</w:t>
        </w:r>
      </w:hyperlink>
    </w:p>
    <w:p>
      <w:pPr>
        <w:spacing w:before="0" w:after="80"/>
      </w:pPr>
      <w:r>
        <w:rPr>
          <w:i/>
          <w:sz w:val="20"/>
        </w:rPr>
        <w:t>EN: Hybrid Acousto-Optical Double Dressing of a Two-Level System</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42">
        <w:r>
          <w:rPr>
            <w:color w:val="1155CC"/>
            <w:u w:val="single"/>
          </w:rPr>
          <w:t>10.1103/xjpt-q14w</w:t>
        </w:r>
      </w:hyperlink>
    </w:p>
    <w:p>
      <w:pPr>
        <w:spacing w:before="0" w:after="120"/>
      </w:pPr>
      <w:r>
        <w:rPr>
          <w:b/>
        </w:rPr>
        <w:t xml:space="preserve">Notes: </w:t>
      </w:r>
      <w:r>
        <w:t>abstract_source=rss_description</w:t>
      </w:r>
    </w:p>
    <w:p>
      <w:pPr>
        <w:spacing w:before="0" w:after="80" w:lineRule="auto" w:line="276"/>
      </w:pPr>
      <w:r>
        <w:rPr>
          <w:b/>
        </w:rPr>
        <w:t xml:space="preserve">摘要（ZH）: </w:t>
      </w:r>
      <w:r>
        <w:t>作者：Yuan Zhan、Zixuan Wang、Richard P. Mirin、Kevin L. Silverman 和 Shuo Sun 我们以一种新颖的配置实验研究了两能级系统的共振荧光，其中强激光驱动光学拉比振荡，同时声场参数调制两能级系统的频率。我们观察到发射光谱明显偏离……[物理。莱特牧师。 137, 053602] 于 2026 年 7 月 28 日星期二发布</w:t>
      </w:r>
    </w:p>
    <w:p>
      <w:pPr>
        <w:spacing w:before="0" w:after="200" w:lineRule="auto" w:line="276"/>
      </w:pPr>
      <w:r>
        <w:rPr>
          <w:b/>
        </w:rPr>
        <w:t xml:space="preserve">Abstract (EN): </w:t>
      </w:r>
      <w:r>
        <w:t>Author(s): Yuan Zhan, Zixuan Wang, Richard P. Mirin, Kevin L. Silverman, and Shuo SunWe experimentally investigate resonance fluorescence from a two-level system in a novel configuration where a strong laser drives an optical Rabi oscillation while an acoustic field parametrically modulates the frequency of the two-level system. We observe emission spectra that deviate markedly from…[Phys. Rev. Lett. 137, 053602] Published Tue Jul 28, 2026</w:t>
      </w:r>
    </w:p>
    <w:p>
      <w:pPr>
        <w:spacing w:before="120" w:after="120"/>
      </w:pPr>
      <w:r>
        <w:rPr>
          <w:sz w:val="18"/>
        </w:rPr>
        <w:t>——————————————————————————————————————————————————————————————————————</w:t>
      </w:r>
    </w:p>
    <w:p>
      <w:pPr>
        <w:spacing w:before="160" w:after="40" w:line="240" w:lineRule="auto"/>
      </w:pPr>
      <w:r>
        <w:rPr>
          <w:b/>
        </w:rPr>
        <w:t xml:space="preserve">[396] </w:t>
      </w:r>
      <w:hyperlink r:id="rId1143">
        <w:r>
          <w:rPr>
            <w:color w:val="1155CC"/>
            <w:u w:val="single"/>
          </w:rPr>
          <w:t>CrSBr 中双曲激子极化子的全景观察</w:t>
        </w:r>
      </w:hyperlink>
    </w:p>
    <w:p>
      <w:pPr>
        <w:spacing w:before="0" w:after="80"/>
      </w:pPr>
      <w:r>
        <w:rPr>
          <w:i/>
          <w:sz w:val="20"/>
        </w:rPr>
        <w:t>EN: Panoramic Observation of Hyperbolic Exciton Polaritons in CrSBr</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44">
        <w:r>
          <w:rPr>
            <w:color w:val="1155CC"/>
            <w:u w:val="single"/>
          </w:rPr>
          <w:t>10.1103/fqmh-zxlw</w:t>
        </w:r>
      </w:hyperlink>
    </w:p>
    <w:p>
      <w:pPr>
        <w:spacing w:before="0" w:after="120"/>
      </w:pPr>
      <w:r>
        <w:rPr>
          <w:b/>
        </w:rPr>
        <w:t xml:space="preserve">Notes: </w:t>
      </w:r>
      <w:r>
        <w:t>abstract_source=rss_description</w:t>
      </w:r>
    </w:p>
    <w:p>
      <w:pPr>
        <w:spacing w:before="0" w:after="80" w:lineRule="auto" w:line="276"/>
      </w:pPr>
      <w:r>
        <w:rPr>
          <w:b/>
        </w:rPr>
        <w:t xml:space="preserve">摘要（ZH）: </w:t>
      </w:r>
      <w:r>
        <w:t>作者：张伟哲、王奇、赵合肥、管正、谷瑞哲、张定阳、庄志文、龚启黄、陈祖新和刘文静双曲极化激元表现出非闭合双曲等频轮廓，由于其超大动量和定向传播特性，在集成光子学方面具有广阔的应用前景。然而，由于巨大的动量不匹配，他们的直接远场观察仍然具有挑战性。 H……[物理。莱特牧师。 137, 056902] 2026 年 7 月 28 日星期二发布</w:t>
      </w:r>
    </w:p>
    <w:p>
      <w:pPr>
        <w:spacing w:before="0" w:after="200" w:lineRule="auto" w:line="276"/>
      </w:pPr>
      <w:r>
        <w:rPr>
          <w:b/>
        </w:rPr>
        <w:t xml:space="preserve">Abstract (EN): </w:t>
      </w:r>
      <w:r>
        <w:t>Author(s): Weizhe Zhang, Qi Wang, Hefei Zhao, Zheng Guan, Ruizhe Gu, Dingyang Zhang, Zhiwen Zhuang, Qihuang Gong, Zuxin Chen, and Wenjing LiuHyperbolic polaritons exhibit nonclosed hyperbolic isofrequency contours and hold great promise for integrated photonics due to their ultralarge momentum and directional propagation characteristics. However, their direct far-field observation remains challenging due to the large momentum mismatch. H…[Phys. Rev. Lett. 137, 056902] Published Tue Jul 28, 2026</w:t>
      </w:r>
    </w:p>
    <w:p>
      <w:pPr>
        <w:spacing w:before="120" w:after="120"/>
      </w:pPr>
      <w:r>
        <w:rPr>
          <w:sz w:val="18"/>
        </w:rPr>
        <w:t>——————————————————————————————————————————————————————————————————————</w:t>
      </w:r>
    </w:p>
    <w:p>
      <w:pPr>
        <w:spacing w:before="160" w:after="40" w:line="240" w:lineRule="auto"/>
      </w:pPr>
      <w:r>
        <w:rPr>
          <w:b/>
        </w:rPr>
        <w:t xml:space="preserve">[397] </w:t>
      </w:r>
      <w:hyperlink r:id="rId1145">
        <w:r>
          <w:rPr>
            <w:color w:val="1155CC"/>
            <w:u w:val="single"/>
          </w:rPr>
          <w:t>可调谐双结 Transmon 量子位中的高约瑟夫森谐波</w:t>
        </w:r>
      </w:hyperlink>
    </w:p>
    <w:p>
      <w:pPr>
        <w:spacing w:before="0" w:after="80"/>
      </w:pPr>
      <w:r>
        <w:rPr>
          <w:i/>
          <w:sz w:val="20"/>
        </w:rPr>
        <w:t>EN: Higher Josephson Harmonics in a Tunable Double-Junction Transmon Qubit</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46">
        <w:r>
          <w:rPr>
            <w:color w:val="1155CC"/>
            <w:u w:val="single"/>
          </w:rPr>
          <w:t>10.1103/fr7x-555s</w:t>
        </w:r>
      </w:hyperlink>
    </w:p>
    <w:p>
      <w:pPr>
        <w:spacing w:before="0" w:after="120"/>
      </w:pPr>
      <w:r>
        <w:rPr>
          <w:b/>
        </w:rPr>
        <w:t xml:space="preserve">Notes: </w:t>
      </w:r>
      <w:r>
        <w:t>abstract_source=rss_description</w:t>
      </w:r>
    </w:p>
    <w:p>
      <w:pPr>
        <w:spacing w:before="0" w:after="80" w:lineRule="auto" w:line="276"/>
      </w:pPr>
      <w:r>
        <w:rPr>
          <w:b/>
        </w:rPr>
        <w:t xml:space="preserve">摘要（ZH）: </w:t>
      </w:r>
      <w:r>
        <w:t>作者：Ksenia Shagalov、David Feldstein-Bofill、Leo Uhre Jakobsen、Zhenhai Sun、Casper Wied、Amalie T. J. Paulsen、Johann Bock Severin、Malthe A. Marciniak、Clinton A. Potts、Anders Kringhøj、Jacob Hastrup、Karsten Flensberg、Svend Krøjer 和 Morten KjaergaardTunable Josephson谐波为量子位设计开辟了新途径。我们演示了一种超导电路元件，该元件由隧道结与超导量子干涉装置 (SQUID) 环路串联组成，产生约瑟夫森势，其谐波含量可通过磁强强烈调节……[物理。莱特牧师。 137, 057001] 2026 年 7 月 28 日星期二发布</w:t>
      </w:r>
    </w:p>
    <w:p>
      <w:pPr>
        <w:spacing w:before="0" w:after="200" w:lineRule="auto" w:line="276"/>
      </w:pPr>
      <w:r>
        <w:rPr>
          <w:b/>
        </w:rPr>
        <w:t xml:space="preserve">Abstract (EN): </w:t>
      </w:r>
      <w:r>
        <w:t>Author(s): Ksenia Shagalov, David Feldstein-Bofill, Leo Uhre Jakobsen, Zhenhai Sun, Casper Wied, Amalie T. J. Paulsen, Johann Bock Severin, Malthe A. Marciniak, Clinton A. Potts, Anders Kringhøj, Jacob Hastrup, Karsten Flensberg, Svend Krøjer, and Morten KjaergaardTunable Josephson harmonics open new avenues for qubit design. We demonstrate a superconducting circuit element consisting of a tunnel junction in series with a superconducting quantum interference device (SQUID) loop, yielding a Josephson potential whose harmonic content is strongly tunable by magn…[Phys. Rev. Lett. 137, 057001] Published Tue Jul 28, 2026</w:t>
      </w:r>
    </w:p>
    <w:p>
      <w:pPr>
        <w:spacing w:before="120" w:after="120"/>
      </w:pPr>
      <w:r>
        <w:rPr>
          <w:sz w:val="18"/>
        </w:rPr>
        <w:t>——————————————————————————————————————————————————————————————————————</w:t>
      </w:r>
    </w:p>
    <w:p>
      <w:pPr>
        <w:spacing w:before="160" w:after="40" w:line="240" w:lineRule="auto"/>
      </w:pPr>
      <w:r>
        <w:rPr>
          <w:b/>
        </w:rPr>
        <w:t xml:space="preserve">[398] </w:t>
      </w:r>
      <w:hyperlink r:id="rId1147">
        <w:r>
          <w:rPr>
            <w:color w:val="1155CC"/>
            <w:u w:val="single"/>
          </w:rPr>
          <w:t>通过重置活动粒子进行最佳区域探索</w:t>
        </w:r>
      </w:hyperlink>
    </w:p>
    <w:p>
      <w:pPr>
        <w:spacing w:before="0" w:after="80"/>
      </w:pPr>
      <w:r>
        <w:rPr>
          <w:i/>
          <w:sz w:val="20"/>
        </w:rPr>
        <w:t>EN: Optimal Area Exploration by Resetting Active Particles</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48">
        <w:r>
          <w:rPr>
            <w:color w:val="1155CC"/>
            <w:u w:val="single"/>
          </w:rPr>
          <w:t>10.1103/sytg-m4ms</w:t>
        </w:r>
      </w:hyperlink>
    </w:p>
    <w:p>
      <w:pPr>
        <w:spacing w:before="0" w:after="120"/>
      </w:pPr>
      <w:r>
        <w:rPr>
          <w:b/>
        </w:rPr>
        <w:t xml:space="preserve">Notes: </w:t>
      </w:r>
      <w:r>
        <w:t>abstract_source=rss_description</w:t>
      </w:r>
    </w:p>
    <w:p>
      <w:pPr>
        <w:spacing w:before="0" w:after="80" w:lineRule="auto" w:line="276"/>
      </w:pPr>
      <w:r>
        <w:rPr>
          <w:b/>
        </w:rPr>
        <w:t xml:space="preserve">摘要（ZH）: </w:t>
      </w:r>
      <w:r>
        <w:t>作者：Kristian Stølevik Olsen、Hartmut Löwen 和 Lorenzo Caprini 确定有效空间探索的最佳策略至关重要，对于寻找食物的动物和机器人搜索过程而言，最大化探索区域是基本要求。在这里，我们提出位置重置作为增强空间探索的最佳协议......[Phys。莱特牧师。 137, 057102] 2026 年 7 月 28 日星期二发布</w:t>
      </w:r>
    </w:p>
    <w:p>
      <w:pPr>
        <w:spacing w:before="0" w:after="200" w:lineRule="auto" w:line="276"/>
      </w:pPr>
      <w:r>
        <w:rPr>
          <w:b/>
        </w:rPr>
        <w:t xml:space="preserve">Abstract (EN): </w:t>
      </w:r>
      <w:r>
        <w:t>Author(s): Kristian Stølevik Olsen, Hartmut Löwen, and Lorenzo CapriniIdentifying optimal strategies for efficient spatial exploration is crucial, both for animals seeking food and for robotic search processes, where maximizing the explored area is a fundamental requirement. Here, we propose position resetting as an optimal protocol to enhance spatial exploration in a…[Phys. Rev. Lett. 137, 057102] Published Tue Jul 28, 2026</w:t>
      </w:r>
    </w:p>
    <w:p>
      <w:pPr>
        <w:spacing w:before="120" w:after="120"/>
      </w:pPr>
      <w:r>
        <w:rPr>
          <w:sz w:val="18"/>
        </w:rPr>
        <w:t>——————————————————————————————————————————————————————————————————————</w:t>
      </w:r>
    </w:p>
    <w:p>
      <w:pPr>
        <w:spacing w:before="160" w:after="40" w:line="240" w:lineRule="auto"/>
      </w:pPr>
      <w:r>
        <w:rPr>
          <w:b/>
        </w:rPr>
        <w:t xml:space="preserve">[399] </w:t>
      </w:r>
      <w:hyperlink r:id="rId1149">
        <w:r>
          <w:rPr>
            <w:color w:val="1155CC"/>
            <w:u w:val="single"/>
          </w:rPr>
          <w:t>生长弹性片材的等距不相容性</w:t>
        </w:r>
      </w:hyperlink>
    </w:p>
    <w:p>
      <w:pPr>
        <w:spacing w:before="0" w:after="80"/>
      </w:pPr>
      <w:r>
        <w:rPr>
          <w:i/>
          <w:sz w:val="20"/>
        </w:rPr>
        <w:t>EN: Isometric Incompatibility in Growing Elastic Sheets</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50">
        <w:r>
          <w:rPr>
            <w:color w:val="1155CC"/>
            <w:u w:val="single"/>
          </w:rPr>
          <w:t>10.1103/bczk-bfy5</w:t>
        </w:r>
      </w:hyperlink>
    </w:p>
    <w:p>
      <w:pPr>
        <w:spacing w:before="0" w:after="120"/>
      </w:pPr>
      <w:r>
        <w:rPr>
          <w:b/>
        </w:rPr>
        <w:t xml:space="preserve">Notes: </w:t>
      </w:r>
      <w:r>
        <w:t>abstract_source=rss_description</w:t>
      </w:r>
    </w:p>
    <w:p>
      <w:pPr>
        <w:spacing w:before="0" w:after="80" w:lineRule="auto" w:line="276"/>
      </w:pPr>
      <w:r>
        <w:rPr>
          <w:b/>
        </w:rPr>
        <w:t xml:space="preserve">摘要（ZH）: </w:t>
      </w:r>
      <w:r>
        <w:t>作者：Yafei 张、Michael Moshe 和 Eran Sharon 几何不相容性，即材料无法在欧几里得空间中实现静止状态，是天然和合成薄片形状形成的基础。经典高斯和迈纳迪-科达齐-彼得森不相容性解释了自然界中的许多模式，但它们并没有穷尽机制……[物理学。莱特牧师。 137, 058201] 2026 年 7 月 28 日星期二发布</w:t>
      </w:r>
    </w:p>
    <w:p>
      <w:pPr>
        <w:spacing w:before="0" w:after="200" w:lineRule="auto" w:line="276"/>
      </w:pPr>
      <w:r>
        <w:rPr>
          <w:b/>
        </w:rPr>
        <w:t xml:space="preserve">Abstract (EN): </w:t>
      </w:r>
      <w:r>
        <w:t>Author(s): Yafei Zhang, Michael Moshe, and Eran SharonGeometric incompatibility, the inability of a material’s rest state to be realized in Euclidean space, underlies shape formation in natural and synthetic thin sheets. Classical Gauss and Mainardi-Codazzi-Peterson incompatibilities explain many patterns in nature, but they do not exhaust the mechanis…[Phys. Rev. Lett. 137, 058201] Published Tue Jul 28, 2026</w:t>
      </w:r>
    </w:p>
    <w:p>
      <w:pPr>
        <w:spacing w:before="120" w:after="120"/>
      </w:pPr>
      <w:r>
        <w:rPr>
          <w:sz w:val="18"/>
        </w:rPr>
        <w:t>——————————————————————————————————————————————————————————————————————</w:t>
      </w:r>
    </w:p>
    <w:p>
      <w:pPr>
        <w:spacing w:before="160" w:after="40" w:line="240" w:lineRule="auto"/>
      </w:pPr>
      <w:r>
        <w:rPr>
          <w:b/>
        </w:rPr>
        <w:t xml:space="preserve">[400] </w:t>
      </w:r>
      <w:hyperlink r:id="rId1151">
        <w:r>
          <w:rPr>
            <w:color w:val="1155CC"/>
            <w:u w:val="single"/>
          </w:rPr>
          <w:t>活性聚合物在限制条件下移位速度更快</w:t>
        </w:r>
      </w:hyperlink>
    </w:p>
    <w:p>
      <w:pPr>
        <w:spacing w:before="0" w:after="80"/>
      </w:pPr>
      <w:r>
        <w:rPr>
          <w:i/>
          <w:sz w:val="20"/>
        </w:rPr>
        <w:t>EN: Active Polymers Translocate Faster in Confinement</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52">
        <w:r>
          <w:rPr>
            <w:color w:val="1155CC"/>
            <w:u w:val="single"/>
          </w:rPr>
          <w:t>10.1103/ntm6-dz86</w:t>
        </w:r>
      </w:hyperlink>
    </w:p>
    <w:p>
      <w:pPr>
        <w:spacing w:before="0" w:after="120"/>
      </w:pPr>
      <w:r>
        <w:rPr>
          <w:b/>
        </w:rPr>
        <w:t xml:space="preserve">Notes: </w:t>
      </w:r>
      <w:r>
        <w:t>abstract_source=rss_description</w:t>
      </w:r>
    </w:p>
    <w:p>
      <w:pPr>
        <w:spacing w:before="0" w:after="80" w:lineRule="auto" w:line="276"/>
      </w:pPr>
      <w:r>
        <w:rPr>
          <w:b/>
        </w:rPr>
        <w:t xml:space="preserve">摘要（ZH）: </w:t>
      </w:r>
      <w:r>
        <w:t>作者：K. R. Prathyusha、Paulami Sarkar、Justin Xu 和 Saad Bhamla 生物体采用不同的策略来驾驭有限的环境。受对加州黑虫（Lumbriculus variegatus）易位观察的启发，我们结合生物实验和活性聚合物模拟来研究约束和刚度如何控制易位。活性...[物理。莱特牧师。 137, 058302] 2026 年 7 月 28 日星期二发布</w:t>
      </w:r>
    </w:p>
    <w:p>
      <w:pPr>
        <w:spacing w:before="0" w:after="200" w:lineRule="auto" w:line="276"/>
      </w:pPr>
      <w:r>
        <w:rPr>
          <w:b/>
        </w:rPr>
        <w:t xml:space="preserve">Abstract (EN): </w:t>
      </w:r>
      <w:r>
        <w:t>Author(s): K. R. Prathyusha, Paulami Sarkar, Justin Xu, and Saad BhamlaLiving organisms employ diverse strategies to navigate confined environments. Inspired by translocation observations on California blackworms (Lumbriculus variegatus), we combine biological experiments and active-polymer simulations to examine how confinement and stiffness govern translocation. Acti…[Phys. Rev. Lett. 137, 058302] Published Tue Jul 28, 2026</w:t>
      </w:r>
    </w:p>
    <w:p>
      <w:pPr>
        <w:spacing w:before="120" w:after="120"/>
      </w:pPr>
      <w:r>
        <w:rPr>
          <w:sz w:val="18"/>
        </w:rPr>
        <w:t>——————————————————————————————————————————————————————————————————————</w:t>
      </w:r>
    </w:p>
    <w:p>
      <w:pPr>
        <w:spacing w:before="160" w:after="40" w:line="240" w:lineRule="auto"/>
      </w:pPr>
      <w:r>
        <w:rPr>
          <w:b/>
        </w:rPr>
        <w:t xml:space="preserve">[401] </w:t>
      </w:r>
      <w:hyperlink r:id="rId1153">
        <w:r>
          <w:rPr>
            <w:color w:val="1155CC"/>
            <w:u w:val="single"/>
          </w:rPr>
          <w:t>二维$\mathrm{O}(\mathrm{N})$非线性西格玛模型中的渐近自由度损失：复杂共形场论及其在海森堡自旋链中的实现</w:t>
        </w:r>
      </w:hyperlink>
    </w:p>
    <w:p>
      <w:pPr>
        <w:spacing w:before="0" w:after="80"/>
      </w:pPr>
      <w:r>
        <w:rPr>
          <w:i/>
          <w:sz w:val="20"/>
        </w:rPr>
        <w:t>EN: Loss of Asymptotic Freedom in the Two-Dimensional $\mathrm{O}(\mathrm{N})$ Nonlinear Sigma Model: Complex Conformal Field Theory and Realization in Heisenberg Spin Chains</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54">
        <w:r>
          <w:rPr>
            <w:color w:val="1155CC"/>
            <w:u w:val="single"/>
          </w:rPr>
          <w:t>10.1103/6tsl-d9kn</w:t>
        </w:r>
      </w:hyperlink>
    </w:p>
    <w:p>
      <w:pPr>
        <w:spacing w:before="0" w:after="120"/>
      </w:pPr>
      <w:r>
        <w:rPr>
          <w:b/>
        </w:rPr>
        <w:t xml:space="preserve">Notes: </w:t>
      </w:r>
      <w:r>
        <w:t>abstract_source=rss_description</w:t>
      </w:r>
    </w:p>
    <w:p>
      <w:pPr>
        <w:spacing w:before="0" w:after="80" w:lineRule="auto" w:line="276"/>
      </w:pPr>
      <w:r>
        <w:rPr>
          <w:b/>
        </w:rPr>
        <w:t xml:space="preserve">摘要（ZH）: </w:t>
      </w:r>
      <w:r>
        <w:t>作者：Christopher Yang 和 Thomas Scaffidi二维 $\mathrm{O}(\mathrm{N})$ 非线性 sigma 模型 (NLSM) 对于 $N&gt;2$ 是渐近自由的：它既不表现出非平凡不动点，也不表现出自发对称性破缺。在这里，我们证明了一个非平凡不动点一般确实存在于复耦合平面中，并且描述......[Phys。莱特牧师。 137, 051601] 2026 年 7 月 28 日星期二发布</w:t>
      </w:r>
    </w:p>
    <w:p>
      <w:pPr>
        <w:spacing w:before="0" w:after="200" w:lineRule="auto" w:line="276"/>
      </w:pPr>
      <w:r>
        <w:rPr>
          <w:b/>
        </w:rPr>
        <w:t xml:space="preserve">Abstract (EN): </w:t>
      </w:r>
      <w:r>
        <w:t>Author(s): Christopher Yang and Thomas ScaffidiThe two-dimensional $\mathrm{O}(\mathrm{N})$ nonlinear sigma model (NLSM) is asymptotically free for $N&gt;2$: it exhibits neither a nontrivial fixed point nor spontaneous symmetry breaking. Here, we show that a nontrivial fixed point generically does exist in the complex coupling plane and is descr…[Phys. Rev. Lett. 137, 051601] Published Tue Jul 28, 2026</w:t>
      </w:r>
    </w:p>
    <w:p>
      <w:pPr>
        <w:spacing w:before="120" w:after="120"/>
      </w:pPr>
      <w:r>
        <w:rPr>
          <w:sz w:val="18"/>
        </w:rPr>
        <w:t>——————————————————————————————————————————————————————————————————————</w:t>
      </w:r>
    </w:p>
    <w:p>
      <w:pPr>
        <w:spacing w:before="160" w:after="40" w:line="240" w:lineRule="auto"/>
      </w:pPr>
      <w:r>
        <w:rPr>
          <w:b/>
        </w:rPr>
        <w:t xml:space="preserve">[402] </w:t>
      </w:r>
      <w:hyperlink r:id="rId1155">
        <w:r>
          <w:rPr>
            <w:color w:val="1155CC"/>
            <w:u w:val="single"/>
          </w:rPr>
          <w:t>估算策略中资源引起的相变的理论分析</w:t>
        </w:r>
      </w:hyperlink>
    </w:p>
    <w:p>
      <w:pPr>
        <w:spacing w:before="0" w:after="80"/>
      </w:pPr>
      <w:r>
        <w:rPr>
          <w:i/>
          <w:sz w:val="20"/>
        </w:rPr>
        <w:t>EN: Theoretical Analysis of Resource-Induced Phase Transitions in Estimation Strategies</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56">
        <w:r>
          <w:rPr>
            <w:color w:val="1155CC"/>
            <w:u w:val="single"/>
          </w:rPr>
          <w:t>10.1103/5ynb-7k4v</w:t>
        </w:r>
      </w:hyperlink>
    </w:p>
    <w:p>
      <w:pPr>
        <w:spacing w:before="0" w:after="120"/>
      </w:pPr>
      <w:r>
        <w:rPr>
          <w:b/>
        </w:rPr>
        <w:t xml:space="preserve">Notes: </w:t>
      </w:r>
      <w:r>
        <w:t>abstract_source=rss_description</w:t>
      </w:r>
    </w:p>
    <w:p>
      <w:pPr>
        <w:spacing w:before="0" w:after="80" w:lineRule="auto" w:line="276"/>
      </w:pPr>
      <w:r>
        <w:rPr>
          <w:b/>
        </w:rPr>
        <w:t xml:space="preserve">摘要（ZH）: </w:t>
      </w:r>
      <w:r>
        <w:t>作者：Takehiro Tottori 和 Tetsuya J. Kobayashi 生物体通过将感觉信息与内部记忆相结合来适应不稳定的环境，但它们的信息处理受到资源限制的限制。这些限制可以从根本上改变生物系统中的最佳估计策略。例如，最近的实验表明……[物理学。莱特牧师。 137, 058401] 2026 年 7 月 28 日星期二发布</w:t>
      </w:r>
    </w:p>
    <w:p>
      <w:pPr>
        <w:spacing w:before="0" w:after="200" w:lineRule="auto" w:line="276"/>
      </w:pPr>
      <w:r>
        <w:rPr>
          <w:b/>
        </w:rPr>
        <w:t xml:space="preserve">Abstract (EN): </w:t>
      </w:r>
      <w:r>
        <w:t>Author(s): Takehiro Tottori and Tetsuya J. KobayashiOrganisms adapt to volatile environments by integrating sensory information with internal memory, yet their information processing is constrained by resource limitations. Such limitations can fundamentally alter optimal estimation strategies in biological systems. For example, recent experiments sug…[Phys. Rev. Lett. 137, 058401] Published Tue Jul 28, 2026</w:t>
      </w:r>
    </w:p>
    <w:p>
      <w:pPr>
        <w:spacing w:before="120" w:after="120"/>
      </w:pPr>
      <w:r>
        <w:rPr>
          <w:sz w:val="18"/>
        </w:rPr>
        <w:t>——————————————————————————————————————————————————————————————————————</w:t>
      </w:r>
    </w:p>
    <w:p>
      <w:pPr>
        <w:spacing w:before="160" w:after="40" w:line="240" w:lineRule="auto"/>
      </w:pPr>
      <w:r>
        <w:rPr>
          <w:b/>
        </w:rPr>
        <w:t xml:space="preserve">[403] </w:t>
      </w:r>
      <w:hyperlink r:id="rId1157">
        <w:r>
          <w:rPr>
            <w:color w:val="1155CC"/>
            <w:u w:val="single"/>
          </w:rPr>
          <w:t>通过超出核心孔时钟的 Fano 干扰对超快电荷传输进行定时</w:t>
        </w:r>
      </w:hyperlink>
    </w:p>
    <w:p>
      <w:pPr>
        <w:spacing w:before="0" w:after="80"/>
      </w:pPr>
      <w:r>
        <w:rPr>
          <w:i/>
          <w:sz w:val="20"/>
        </w:rPr>
        <w:t>EN: Timing Ultrafast Charge Transfer via Fano Interference beyond the Core-Hole Clock</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58">
        <w:r>
          <w:rPr>
            <w:color w:val="1155CC"/>
            <w:u w:val="single"/>
          </w:rPr>
          <w:t>10.1103/h6h9-j83r</w:t>
        </w:r>
      </w:hyperlink>
    </w:p>
    <w:p>
      <w:pPr>
        <w:spacing w:before="0" w:after="120"/>
      </w:pPr>
      <w:r>
        <w:rPr>
          <w:b/>
        </w:rPr>
        <w:t xml:space="preserve">Notes: </w:t>
      </w:r>
      <w:r>
        <w:t>abstract_source=rss_description</w:t>
      </w:r>
    </w:p>
    <w:p>
      <w:pPr>
        <w:spacing w:before="0" w:after="80" w:lineRule="auto" w:line="276"/>
      </w:pPr>
      <w:r>
        <w:rPr>
          <w:b/>
        </w:rPr>
        <w:t xml:space="preserve">摘要（ZH）: </w:t>
      </w:r>
      <w:r>
        <w:t>作者：Ji-Cai Liu、Nicolas Velasquez、Victor Kimberg、Sayantan Sarkar、Oksana Travnikova、Iyas Ismail、Renaud Guillemin、Man Zhang、Pavel Krasnov、Marcella Iannuzzi、Michael Odelius、Ralph Püttner、Maria Novella Piancastelli、Marc Simon、Faris Gel’mukhanov 和 Tatiana Marchenko 超快电荷转移(CT) 是分子和电子功能的核心。我们开发了一种基于 Fano 的核心空穴时钟 (FCHC) 方法，该方法捕获共振俄歇散射中局域激子与直接填充的离域 CT 连续体之间的相干耦合。适用于...[物理。莱特牧师。 137, 053202] 2026 年 7 月 28 日星期二发布</w:t>
      </w:r>
    </w:p>
    <w:p>
      <w:pPr>
        <w:spacing w:before="0" w:after="200" w:lineRule="auto" w:line="276"/>
      </w:pPr>
      <w:r>
        <w:rPr>
          <w:b/>
        </w:rPr>
        <w:t xml:space="preserve">Abstract (EN): </w:t>
      </w:r>
      <w:r>
        <w:t>Author(s): Ji-Cai Liu, Nicolas Velasquez, Victor Kimberg, Sayantan Sarkar, Oksana Travnikova, Iyas Ismail, Renaud Guillemin, Man Zhang, Pavel Krasnov, Marcella Iannuzzi, Michael Odelius, Ralph Püttner, Maria Novella Piancastelli, Marc Simon, Faris Gel’mukhanov, and Tatiana MarchenkoUltrafast charge transfer (CT) lies at the heart of molecular and electronic functionality. We develop a Fano-based core-hole clock (FCHC) method that captures coherent coupling between localized excitons and the directly populated delocalized CT continua in resonant Auger scattering. Applied to sul…[Phys. Rev. Lett. 137, 053202] Published Tue Jul 28, 2026</w:t>
      </w:r>
    </w:p>
    <w:p>
      <w:pPr>
        <w:spacing w:before="120" w:after="120"/>
      </w:pPr>
      <w:r>
        <w:rPr>
          <w:sz w:val="18"/>
        </w:rPr>
        <w:t>——————————————————————————————————————————————————————————————————————</w:t>
      </w:r>
    </w:p>
    <w:p>
      <w:pPr>
        <w:spacing w:before="160" w:after="40" w:line="240" w:lineRule="auto"/>
      </w:pPr>
      <w:r>
        <w:rPr>
          <w:b/>
        </w:rPr>
        <w:t xml:space="preserve">[404] </w:t>
      </w:r>
      <w:hyperlink r:id="rId1159">
        <w:r>
          <w:rPr>
            <w:color w:val="1155CC"/>
            <w:u w:val="single"/>
          </w:rPr>
          <w:t>根据回旋加速器频率比得出的 He-4 质量 $^{4}{\mathrm{He}}^{+}/{^{12}\mathrm{C}}^{3+}$</w:t>
        </w:r>
      </w:hyperlink>
    </w:p>
    <w:p>
      <w:pPr>
        <w:spacing w:before="0" w:after="80"/>
      </w:pPr>
      <w:r>
        <w:rPr>
          <w:i/>
          <w:sz w:val="20"/>
        </w:rPr>
        <w:t>EN: Mass of Helium-4 from the Cyclotron Frequency Ratio $^{4}{\mathrm{He}}^{+}/{^{12}\mathrm{C}}^{3+}$</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60">
        <w:r>
          <w:rPr>
            <w:color w:val="1155CC"/>
            <w:u w:val="single"/>
          </w:rPr>
          <w:t>10.1103/xzmk-r533</w:t>
        </w:r>
      </w:hyperlink>
    </w:p>
    <w:p>
      <w:pPr>
        <w:spacing w:before="0" w:after="120"/>
      </w:pPr>
      <w:r>
        <w:rPr>
          <w:b/>
        </w:rPr>
        <w:t xml:space="preserve">Notes: </w:t>
      </w:r>
      <w:r>
        <w:t>abstract_source=rss_description</w:t>
      </w:r>
    </w:p>
    <w:p>
      <w:pPr>
        <w:spacing w:before="0" w:after="80" w:lineRule="auto" w:line="276"/>
      </w:pPr>
      <w:r>
        <w:rPr>
          <w:b/>
        </w:rPr>
        <w:t xml:space="preserve">摘要（ZH）: </w:t>
      </w:r>
      <w:r>
        <w:t>作者：Maria Fernandez Davila、Moisés Medina Restrepo、Cristian A. Navarro 和 Edmund G. Myers 通过测量彭宁陷阱中 $^{4}{\mathrm{He}}^{+}$ 与 ${^{12}\mathrm{C}}^{3+}$ 的回旋加速器频率比，$^{4}\mathrm{He}$ 的质量已确定为4.002 603 254 665(36) u。 [α粒子对应的质量为4.001 506 179 662 (36) u]。这开启了可能性……[物理。莱特牧师。 137, 053001] 2026 年 7 月 28 日星期二发布</w:t>
      </w:r>
    </w:p>
    <w:p>
      <w:pPr>
        <w:spacing w:before="0" w:after="200" w:lineRule="auto" w:line="276"/>
      </w:pPr>
      <w:r>
        <w:rPr>
          <w:b/>
        </w:rPr>
        <w:t xml:space="preserve">Abstract (EN): </w:t>
      </w:r>
      <w:r>
        <w:t>Author(s): Maria Fernandez Davila, Moisés Medina Restrepo, Cristian A. Navarro, and Edmund G. MyersBy measuring the cyclotron frequency ratio of $^{4}{\mathrm{He}}^{+}$ to ${^{12}\mathrm{C}}^{3+}$ in a Penning trap the mass of $^{4}\mathrm{He}$ has been determined to be 4.002 603 254 665(36) u. [The corresponding mass of the alpha particle is 4.001 506 179 662 (36) u]. This opens the possibility …[Phys. Rev. Lett. 137, 053001] Published Tue Jul 28, 2026</w:t>
      </w:r>
    </w:p>
    <w:p>
      <w:pPr>
        <w:spacing w:before="120" w:after="120"/>
      </w:pPr>
      <w:r>
        <w:rPr>
          <w:sz w:val="18"/>
        </w:rPr>
        <w:t>——————————————————————————————————————————————————————————————————————</w:t>
      </w:r>
    </w:p>
    <w:p>
      <w:pPr>
        <w:spacing w:before="160" w:after="40" w:line="240" w:lineRule="auto"/>
      </w:pPr>
      <w:r>
        <w:rPr>
          <w:b/>
        </w:rPr>
        <w:t xml:space="preserve">[405] </w:t>
      </w:r>
      <w:hyperlink r:id="rId1161">
        <w:r>
          <w:rPr>
            <w:color w:val="1155CC"/>
            <w:u w:val="single"/>
          </w:rPr>
          <w:t>$r$-在 $N=82$ 壳闭合周围使用从头算核质量进行核合成</w:t>
        </w:r>
      </w:hyperlink>
    </w:p>
    <w:p>
      <w:pPr>
        <w:spacing w:before="0" w:after="80"/>
      </w:pPr>
      <w:r>
        <w:rPr>
          <w:i/>
          <w:sz w:val="20"/>
        </w:rPr>
        <w:t>EN: $r$-Process Nucleosynthesis with Ab Initio Nuclear Masses around the $N=82$ Shell Closure</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62">
        <w:r>
          <w:rPr>
            <w:color w:val="1155CC"/>
            <w:u w:val="single"/>
          </w:rPr>
          <w:t>10.1103/k4lv-436c</w:t>
        </w:r>
      </w:hyperlink>
    </w:p>
    <w:p>
      <w:pPr>
        <w:spacing w:before="0" w:after="120"/>
      </w:pPr>
      <w:r>
        <w:rPr>
          <w:b/>
        </w:rPr>
        <w:t xml:space="preserve">Notes: </w:t>
      </w:r>
      <w:r>
        <w:t>abstract_source=rss_description</w:t>
      </w:r>
    </w:p>
    <w:p>
      <w:pPr>
        <w:spacing w:before="0" w:after="80" w:lineRule="auto" w:line="276"/>
      </w:pPr>
      <w:r>
        <w:rPr>
          <w:b/>
        </w:rPr>
        <w:t xml:space="preserve">摘要（ZH）: </w:t>
      </w:r>
      <w:r>
        <w:t>作者：J. Kuske、T. Miyagi、A. Arcones 和 A. Schwenk 我们对铁以外的重元素起源的理解依赖于快速中子捕获过程（$r$ 过程），该过程约占其宇宙丰度的一半。然而，$r$过程所需的极端富中子条件涉及许多实验中残留的原子核……[物理。莱特牧师。 137, 052701] 2026 年 7 月 28 日星期二发布</w:t>
      </w:r>
    </w:p>
    <w:p>
      <w:pPr>
        <w:spacing w:before="0" w:after="200" w:lineRule="auto" w:line="276"/>
      </w:pPr>
      <w:r>
        <w:rPr>
          <w:b/>
        </w:rPr>
        <w:t xml:space="preserve">Abstract (EN): </w:t>
      </w:r>
      <w:r>
        <w:t>Author(s): J. Kuske, T. Miyagi, A. Arcones, and A. SchwenkOur understanding of the origin of heavy elements beyond iron relies on the rapid neutron capture process ($r$ process), which accounts for roughly half of their cosmic abundance. However, the extreme neutron-rich conditions required for the $r$ process involve many nuclei that remain experimentally…[Phys. Rev. Lett. 137, 052701] Published Tue Jul 28, 2026</w:t>
      </w:r>
    </w:p>
    <w:p>
      <w:pPr>
        <w:spacing w:before="120" w:after="120"/>
      </w:pPr>
      <w:r>
        <w:rPr>
          <w:sz w:val="18"/>
        </w:rPr>
        <w:t>——————————————————————————————————————————————————————————————————————</w:t>
      </w:r>
    </w:p>
    <w:p>
      <w:pPr>
        <w:spacing w:before="160" w:after="40" w:line="240" w:lineRule="auto"/>
      </w:pPr>
      <w:r>
        <w:rPr>
          <w:b/>
        </w:rPr>
        <w:t xml:space="preserve">[406] </w:t>
      </w:r>
      <w:hyperlink r:id="rId1163">
        <w:r>
          <w:rPr>
            <w:color w:val="1155CC"/>
            <w:u w:val="single"/>
          </w:rPr>
          <w:t>用 ${B}^{0}→{K}^{*0}{ℓ}^{+}{ℓ}^{−}$ 在大双轻子不变质量下衰变来测试轻子味道普遍性</w:t>
        </w:r>
      </w:hyperlink>
    </w:p>
    <w:p>
      <w:pPr>
        <w:spacing w:before="0" w:after="80"/>
      </w:pPr>
      <w:r>
        <w:rPr>
          <w:i/>
          <w:sz w:val="20"/>
        </w:rPr>
        <w:t>EN: Test of Lepton Flavor Universality with ${B}^{0}→{K}^{*0}{ℓ}^{+}{ℓ}^{−}$ Decays at Large Dilepton Invariant Mass</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64">
        <w:r>
          <w:rPr>
            <w:color w:val="1155CC"/>
            <w:u w:val="single"/>
          </w:rPr>
          <w:t>10.1103/vzv9-hcks</w:t>
        </w:r>
      </w:hyperlink>
    </w:p>
    <w:p>
      <w:pPr>
        <w:spacing w:before="0" w:after="120"/>
      </w:pPr>
      <w:r>
        <w:rPr>
          <w:b/>
        </w:rPr>
        <w:t xml:space="preserve">Notes: </w:t>
      </w:r>
      <w:r>
        <w:t>abstract_source=rss_description</w:t>
      </w:r>
    </w:p>
    <w:p>
      <w:pPr>
        <w:spacing w:before="0" w:after="80" w:lineRule="auto" w:line="276"/>
      </w:pPr>
      <w:r>
        <w:rPr>
          <w:b/>
        </w:rPr>
        <w:t xml:space="preserve">摘要（ZH）: </w:t>
      </w:r>
      <w:r>
        <w:t>作者：R. Aaij 等人。 （LHCb 协作）μ 子电子普遍性在 ${B}^{0}→{K}^{*0}{ℓ}^{+}{ℓ}^{−}$ 衰减中进行测试，在 $ψ(2S)$ 共振上方的双轻子不变质量区域中。该分析使用 LHCb 探测器在 7、8 和 13 TeV 的质心能量处记录的质子-质子碰撞中产生的美介子，对应…[Phys.莱特牧师。 137, 051803] 于 2026 年 7 月 28 日星期二发布</w:t>
      </w:r>
    </w:p>
    <w:p>
      <w:pPr>
        <w:spacing w:before="0" w:after="200" w:lineRule="auto" w:line="276"/>
      </w:pPr>
      <w:r>
        <w:rPr>
          <w:b/>
        </w:rPr>
        <w:t xml:space="preserve">Abstract (EN): </w:t>
      </w:r>
      <w:r>
        <w:t>Author(s): R. Aaij et al. (LHCb Collaboration)Muon-electron universality is tested in ${B}^{0}→{K}^{*0}{ℓ}^{+}{ℓ}^{−}$ decays, in the dilepton-invariant-mass region above the $ψ(2S)$ resonance. The analysis uses beauty mesons produced in proton-proton collisions recorded by the LHCb detector at center-of-mass energies of 7, 8, and 13 TeV, corre…[Phys. Rev. Lett. 137, 051803] Published Tue Jul 28, 2026</w:t>
      </w:r>
    </w:p>
    <w:p>
      <w:pPr>
        <w:spacing w:before="120" w:after="120"/>
      </w:pPr>
      <w:r>
        <w:rPr>
          <w:sz w:val="18"/>
        </w:rPr>
        <w:t>——————————————————————————————————————————————————————————————————————</w:t>
      </w:r>
    </w:p>
    <w:p>
      <w:pPr>
        <w:spacing w:before="160" w:after="40" w:line="240" w:lineRule="auto"/>
      </w:pPr>
      <w:r>
        <w:rPr>
          <w:b/>
        </w:rPr>
        <w:t xml:space="preserve">[407] </w:t>
      </w:r>
      <w:hyperlink r:id="rId1165">
        <w:r>
          <w:rPr>
            <w:color w:val="1155CC"/>
            <w:u w:val="single"/>
          </w:rPr>
          <w:t>PSI 超冷中子源中子到镜像中子振荡的新高灵敏度搜索</w:t>
        </w:r>
      </w:hyperlink>
    </w:p>
    <w:p>
      <w:pPr>
        <w:spacing w:before="0" w:after="80"/>
      </w:pPr>
      <w:r>
        <w:rPr>
          <w:i/>
          <w:sz w:val="20"/>
        </w:rPr>
        <w:t>EN: New High-Sensitivity Search for Neutron to Mirror-Neutron Oscillations at the PSI Ultracold Neutron Source</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66">
        <w:r>
          <w:rPr>
            <w:color w:val="1155CC"/>
            <w:u w:val="single"/>
          </w:rPr>
          <w:t>10.1103/2qck-n6mb</w:t>
        </w:r>
      </w:hyperlink>
    </w:p>
    <w:p>
      <w:pPr>
        <w:spacing w:before="0" w:after="120"/>
      </w:pPr>
      <w:r>
        <w:rPr>
          <w:b/>
        </w:rPr>
        <w:t xml:space="preserve">Notes: </w:t>
      </w:r>
      <w:r>
        <w:t>abstract_source=rss_description</w:t>
      </w:r>
    </w:p>
    <w:p>
      <w:pPr>
        <w:spacing w:before="0" w:after="80" w:lineRule="auto" w:line="276"/>
      </w:pPr>
      <w:r>
        <w:rPr>
          <w:b/>
        </w:rPr>
        <w:t xml:space="preserve">摘要（ZH）: </w:t>
      </w:r>
      <w:r>
        <w:t>作者：N. J. Ayres、Z. Berezhiani、G. Bison、K. Bodek、V. Bondar、P.-J. Chiu、M. Daum、C. B. Doorenbos、S. Emmenegger、K. Kirch、V. Kletzl、J. Krempel、B. Lauss、D. Pais、I. Rienäcker、D. Ries、D. Rozpędzik、P. Schmidt-Wellenburg、K. S. Tanaka、J. Zejma、N. Ziehl 和 G. Zsigmond 在寻找潜力中子 ($n$) 信号到镜像中子 $({n}^{′})$ 振荡，以 Paul Scherrer 研究所为中心的一项合作研究了异常现象所声称的剩余参数空间，并使用专用的高灵敏度设备。一个精心设计的磁场映射肛门......[物理。莱特牧师。 137, 051802] 2026 年 7 月 28 日星期二发布</w:t>
      </w:r>
    </w:p>
    <w:p>
      <w:pPr>
        <w:spacing w:before="0" w:after="200" w:lineRule="auto" w:line="276"/>
      </w:pPr>
      <w:r>
        <w:rPr>
          <w:b/>
        </w:rPr>
        <w:t xml:space="preserve">Abstract (EN): </w:t>
      </w:r>
      <w:r>
        <w:t>Author(s): N. J. Ayres, Z. Berezhiani, G. Bison, K. Bodek, V. Bondar, P.-J. Chiu, M. Daum, C. B. Doorenbos, S. Emmenegger, K. Kirch, V. Kletzl, J. Krempel, B. Lauss, D. Pais, I. Rienäcker, D. Ries, D. Rozpędzik, P. Schmidt-Wellenburg, K. S. Tanaka, J. Zejma, N. Ziehl, and G. ZsigmondIn a search for potential signals of neutron ($n$) to mirror-neutron $({n}^{′})$ oscillations, a collaboration centered at the Paul Scherrer Institute investigated the remaining parameter space claimed by anomalies with a dedicated high-sensitivity apparatus. An elaborate magnetic-field-mapping anal…[Phys. Rev. Lett. 137, 051802] Published Tue Jul 28, 2026</w:t>
      </w:r>
    </w:p>
    <w:p>
      <w:pPr>
        <w:spacing w:before="120" w:after="120"/>
      </w:pPr>
      <w:r>
        <w:rPr>
          <w:sz w:val="18"/>
        </w:rPr>
        <w:t>——————————————————————————————————————————————————————————————————————</w:t>
      </w:r>
    </w:p>
    <w:p>
      <w:pPr>
        <w:spacing w:before="160" w:after="40" w:line="240" w:lineRule="auto"/>
      </w:pPr>
      <w:r>
        <w:rPr>
          <w:b/>
        </w:rPr>
        <w:t xml:space="preserve">[408] </w:t>
      </w:r>
      <w:hyperlink r:id="rId1167">
        <w:r>
          <w:rPr>
            <w:color w:val="1155CC"/>
            <w:u w:val="single"/>
          </w:rPr>
          <w:t>罕见衰变的证据 ${B}^{+}→\overline{\mathrm{Λ}}p{μ}^{+}{μ}^{−}$</w:t>
        </w:r>
      </w:hyperlink>
    </w:p>
    <w:p>
      <w:pPr>
        <w:spacing w:before="0" w:after="80"/>
      </w:pPr>
      <w:r>
        <w:rPr>
          <w:i/>
          <w:sz w:val="20"/>
        </w:rPr>
        <w:t>EN: Evidence for the Rare Decay ${B}^{+}→\overline{\mathrm{Λ}}p{μ}^{+}{μ}^{−}$</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68">
        <w:r>
          <w:rPr>
            <w:color w:val="1155CC"/>
            <w:u w:val="single"/>
          </w:rPr>
          <w:t>10.1103/pl88-4435</w:t>
        </w:r>
      </w:hyperlink>
    </w:p>
    <w:p>
      <w:pPr>
        <w:spacing w:before="0" w:after="120"/>
      </w:pPr>
      <w:r>
        <w:rPr>
          <w:b/>
        </w:rPr>
        <w:t xml:space="preserve">Notes: </w:t>
      </w:r>
      <w:r>
        <w:t>abstract_source=rss_description</w:t>
      </w:r>
    </w:p>
    <w:p>
      <w:pPr>
        <w:spacing w:before="0" w:after="80" w:lineRule="auto" w:line="276"/>
      </w:pPr>
      <w:r>
        <w:rPr>
          <w:b/>
        </w:rPr>
        <w:t xml:space="preserve">摘要（ZH）: </w:t>
      </w:r>
      <w:r>
        <w:t>作者：R. Aaij 等人。 （LHCb 合作）利用 LHCb 实验记录的质子-质子碰撞数据，对罕见衰变 ${B}^{+}→\overline{\mathrm{Λ}}p{μ}^{+}{μ}^{−}$ 进行搜索，质心能量为 $\sqrt{s}=13\text{ }\text{ }\mathrm{TeV}$，对应于积分光度$5.4\text{ }\text{ }{\mathr...[物理。莱特牧师。 137, 051801] 2026 年 7 月 28 日星期二发布</w:t>
      </w:r>
    </w:p>
    <w:p>
      <w:pPr>
        <w:spacing w:before="0" w:after="200" w:lineRule="auto" w:line="276"/>
      </w:pPr>
      <w:r>
        <w:rPr>
          <w:b/>
        </w:rPr>
        <w:t xml:space="preserve">Abstract (EN): </w:t>
      </w:r>
      <w:r>
        <w:t>Author(s): R. Aaij et al. (LHCb Collaboration)A search for the rare decay ${B}^{+}→\overline{\mathrm{Λ}}p{μ}^{+}{μ}^{−}$ is performed using proton-proton collision data recorded by the LHCb experiment at a center-of-mass energy of $\sqrt{s}=13\text{ }\text{ }\mathrm{TeV}$, corresponding to an integrated luminosity of $5.4\text{ }\text{ }{\mathr…[Phys. Rev. Lett. 137, 051801] Published Tue Jul 28, 2026</w:t>
      </w:r>
    </w:p>
    <w:p>
      <w:pPr>
        <w:spacing w:before="120" w:after="120"/>
      </w:pPr>
      <w:r>
        <w:rPr>
          <w:sz w:val="18"/>
        </w:rPr>
        <w:t>——————————————————————————————————————————————————————————————————————</w:t>
      </w:r>
    </w:p>
    <w:p>
      <w:pPr>
        <w:spacing w:before="160" w:after="40" w:line="240" w:lineRule="auto"/>
      </w:pPr>
      <w:r>
        <w:rPr>
          <w:b/>
        </w:rPr>
        <w:t xml:space="preserve">[409] </w:t>
      </w:r>
      <w:hyperlink r:id="rId1169">
        <w:r>
          <w:rPr>
            <w:color w:val="1155CC"/>
            <w:u w:val="single"/>
          </w:rPr>
          <w:t>在非极大混沌系统中用跳极法探测弦视界</w:t>
        </w:r>
      </w:hyperlink>
    </w:p>
    <w:p>
      <w:pPr>
        <w:spacing w:before="0" w:after="80"/>
      </w:pPr>
      <w:r>
        <w:rPr>
          <w:i/>
          <w:sz w:val="20"/>
        </w:rPr>
        <w:t>EN: Probing Stringy Horizons with Pole Skipping in Nonmaximal Chaotic Systems</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70">
        <w:r>
          <w:rPr>
            <w:color w:val="1155CC"/>
            <w:u w:val="single"/>
          </w:rPr>
          <w:t>10.1103/cvjn-7kvp</w:t>
        </w:r>
      </w:hyperlink>
    </w:p>
    <w:p>
      <w:pPr>
        <w:spacing w:before="0" w:after="120"/>
      </w:pPr>
      <w:r>
        <w:rPr>
          <w:b/>
        </w:rPr>
        <w:t xml:space="preserve">Notes: </w:t>
      </w:r>
      <w:r>
        <w:t>abstract_source=rss_description</w:t>
      </w:r>
    </w:p>
    <w:p>
      <w:pPr>
        <w:spacing w:before="0" w:after="80" w:lineRule="auto" w:line="276"/>
      </w:pPr>
      <w:r>
        <w:rPr>
          <w:b/>
        </w:rPr>
        <w:t xml:space="preserve">摘要（ZH）: </w:t>
      </w:r>
      <w:r>
        <w:t>作者：高平和刘红在这封信中，我们研究了非极大量子混沌系统中的极跳。使用 Rindler 共形场论和大型 $q$ Sachdev-Ye-Kitaev 链作为说明性示例，我们认为少体算子的跳极点以复杂频率组织成轨迹-...[Phys.莱特牧师。 137, 051602] 2026 年 7 月 28 日星期二发布</w:t>
      </w:r>
    </w:p>
    <w:p>
      <w:pPr>
        <w:spacing w:before="0" w:after="200" w:lineRule="auto" w:line="276"/>
      </w:pPr>
      <w:r>
        <w:rPr>
          <w:b/>
        </w:rPr>
        <w:t xml:space="preserve">Abstract (EN): </w:t>
      </w:r>
      <w:r>
        <w:t>Author(s): Ping Gao and Hong LiuIn this Letter, we study pole skipping in nonmaximally quantum chaotic systems. Using Rindler conformal field theories and the large-$q$ Sachdev-Ye-Kitaev chain as illustrative examples, we argue that the pole skipping points of few-body operators organize into trajectories in the complex frequency-…[Phys. Rev. Lett. 137, 051602] Published Tue Jul 28, 2026</w:t>
      </w:r>
    </w:p>
    <w:p>
      <w:pPr>
        <w:spacing w:before="120" w:after="120"/>
      </w:pPr>
      <w:r>
        <w:rPr>
          <w:sz w:val="18"/>
        </w:rPr>
        <w:t>——————————————————————————————————————————————————————————————————————</w:t>
      </w:r>
    </w:p>
    <w:p>
      <w:pPr>
        <w:spacing w:before="160" w:after="40" w:line="240" w:lineRule="auto"/>
      </w:pPr>
      <w:r>
        <w:rPr>
          <w:b/>
        </w:rPr>
        <w:t xml:space="preserve">[410] </w:t>
      </w:r>
      <w:hyperlink r:id="rId1171">
        <w:r>
          <w:rPr>
            <w:color w:val="1155CC"/>
            <w:u w:val="single"/>
          </w:rPr>
          <w:t>离子三体系统在离子原子费什巴赫共振附近的普遍性</w:t>
        </w:r>
      </w:hyperlink>
    </w:p>
    <w:p>
      <w:pPr>
        <w:spacing w:before="0" w:after="80"/>
      </w:pPr>
      <w:r>
        <w:rPr>
          <w:i/>
          <w:sz w:val="20"/>
        </w:rPr>
        <w:t>EN: Universality in Ionic Three-Body Systems Near an Ion-Atom Feshbach Resonance</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72">
        <w:r>
          <w:rPr>
            <w:color w:val="1155CC"/>
            <w:u w:val="single"/>
          </w:rPr>
          <w:t>10.1103/r7hw-27wv</w:t>
        </w:r>
      </w:hyperlink>
    </w:p>
    <w:p>
      <w:pPr>
        <w:spacing w:before="0" w:after="120"/>
      </w:pPr>
      <w:r>
        <w:rPr>
          <w:b/>
        </w:rPr>
        <w:t xml:space="preserve">Notes: </w:t>
      </w:r>
      <w:r>
        <w:t>abstract_source=rss_description</w:t>
      </w:r>
    </w:p>
    <w:p>
      <w:pPr>
        <w:spacing w:before="0" w:after="80" w:lineRule="auto" w:line="276"/>
      </w:pPr>
      <w:r>
        <w:rPr>
          <w:b/>
        </w:rPr>
        <w:t xml:space="preserve">摘要（ZH）: </w:t>
      </w:r>
      <w:r>
        <w:t>作者：Jacek Gębala、Michał Tomza 和 José P. D’Incao 我们计算了由两个中性原子和一个靠近离子原子费什巴赫共振的离子组成的系统的束缚和散射特性。我们的结果表明，长程离子-原子相互作用会导致与接触或范德华势产生的普遍行为发生显着偏差。我们发现……[物理。莱特牧师。 137, 053402] 2026 年 7 月 28 日星期二发布</w:t>
      </w:r>
    </w:p>
    <w:p>
      <w:pPr>
        <w:spacing w:before="0" w:after="200" w:lineRule="auto" w:line="276"/>
      </w:pPr>
      <w:r>
        <w:rPr>
          <w:b/>
        </w:rPr>
        <w:t xml:space="preserve">Abstract (EN): </w:t>
      </w:r>
      <w:r>
        <w:t>Author(s): Jacek Gębala, Michał Tomza, and José P. D’IncaoWe calculate the bound and scattering properties of a system of two neutral atoms and an ion near an ion-atom Feshbach resonance. Our results indicate that long-range ion-atom interactions lead to significant deviations from universal behavior derived from contact or van der Waals potentials. We fin…[Phys. Rev. Lett. 137, 053402] Published Tue Jul 28, 2026</w:t>
      </w:r>
    </w:p>
    <w:p>
      <w:pPr>
        <w:spacing w:before="120" w:after="120"/>
      </w:pPr>
      <w:r>
        <w:rPr>
          <w:sz w:val="18"/>
        </w:rPr>
        <w:t>——————————————————————————————————————————————————————————————————————</w:t>
      </w:r>
    </w:p>
    <w:p>
      <w:pPr>
        <w:spacing w:before="160" w:after="40" w:line="240" w:lineRule="auto"/>
      </w:pPr>
      <w:r>
        <w:rPr>
          <w:b/>
        </w:rPr>
        <w:t xml:space="preserve">[411] </w:t>
      </w:r>
      <w:hyperlink r:id="rId1173">
        <w:r>
          <w:rPr>
            <w:color w:val="1155CC"/>
            <w:u w:val="single"/>
          </w:rPr>
          <w:t>外延 IrMn/FeNi 双层中的非常规单向自旋霍尔磁阻</w:t>
        </w:r>
      </w:hyperlink>
    </w:p>
    <w:p>
      <w:pPr>
        <w:spacing w:before="0" w:after="80"/>
      </w:pPr>
      <w:r>
        <w:rPr>
          <w:i/>
          <w:sz w:val="20"/>
        </w:rPr>
        <w:t>EN: Unconventional Unidirectional Spin Hall Magnetoresistance in Epitaxial IrMn/FeNi Bilayer</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74">
        <w:r>
          <w:rPr>
            <w:color w:val="1155CC"/>
            <w:u w:val="single"/>
          </w:rPr>
          <w:t>10.1103/wm6r-kdnk</w:t>
        </w:r>
      </w:hyperlink>
    </w:p>
    <w:p>
      <w:pPr>
        <w:spacing w:before="0" w:after="120"/>
      </w:pPr>
      <w:r>
        <w:rPr>
          <w:b/>
        </w:rPr>
        <w:t xml:space="preserve">Notes: </w:t>
      </w:r>
      <w:r>
        <w:t>abstract_source=rss_description</w:t>
      </w:r>
    </w:p>
    <w:p>
      <w:pPr>
        <w:spacing w:before="0" w:after="80" w:lineRule="auto" w:line="276"/>
      </w:pPr>
      <w:r>
        <w:rPr>
          <w:b/>
        </w:rPr>
        <w:t xml:space="preserve">摘要（ZH）: </w:t>
      </w:r>
      <w:r>
        <w:t>Author(s): Haiming Xu, Yong Xiao, Chuangwen Wu, Xiao Deng, Mingyu Wei, Yu Liu, Yining Wang, Yang Cao, Chenglong Jia, Yalu Zuo, Hao Wu, Tao Zhu, Junwei Zhang, Yong Peng, Dingfu Shao, Guoqiang Yu, Xiaoxi Liu, Desheng Xue, Jingsheng Chen, Dezheng Yang, Baoshan Cui, and Li XiUnidirectional spin Hall magnetoresistance (USMR), arising from the interaction between nonequilibrium spin accumulation and magnetization, has been proposed as a simple two-terminal method for electrically detecting magnetic states in heavy-metal/ferromagnet bilayers. However, conventional spin pol…[Phys. Rev. Lett. 137, 056704] Published Tue Jul 28, 2026</w:t>
      </w:r>
    </w:p>
    <w:p>
      <w:pPr>
        <w:spacing w:before="0" w:after="200" w:lineRule="auto" w:line="276"/>
      </w:pPr>
      <w:r>
        <w:rPr>
          <w:b/>
        </w:rPr>
        <w:t xml:space="preserve">Abstract (EN): </w:t>
      </w:r>
      <w:r>
        <w:t>Author(s): Haiming Xu, Yong Xiao, Chuangwen Wu, Xiao Deng, Mingyu Wei, Yu Liu, Yining Wang, Yang Cao, Chenglong Jia, Yalu Zuo, Hao Wu, Tao Zhu, Junwei Zhang, Yong Peng, Dingfu Shao, Guoqiang Yu, Xiaoxi Liu, Desheng Xue, Jingsheng Chen, Dezheng Yang, Baoshan Cui, and Li XiUnidirectional spin Hall magnetoresistance (USMR), arising from the interaction between nonequilibrium spin accumulation and magnetization, has been proposed as a simple two-terminal method for electrically detecting magnetic states in heavy-metal/ferromagnet bilayers. However, conventional spin pol…[Phys. Rev. Lett. 137, 056704] Published Tue Jul 28, 2026</w:t>
      </w:r>
    </w:p>
    <w:p>
      <w:pPr>
        <w:spacing w:before="120" w:after="120"/>
      </w:pPr>
      <w:r>
        <w:rPr>
          <w:sz w:val="18"/>
        </w:rPr>
        <w:t>——————————————————————————————————————————————————————————————————————</w:t>
      </w:r>
    </w:p>
    <w:p>
      <w:pPr>
        <w:spacing w:before="160" w:after="40" w:line="240" w:lineRule="auto"/>
      </w:pPr>
      <w:r>
        <w:rPr>
          <w:b/>
        </w:rPr>
        <w:t xml:space="preserve">[412] </w:t>
      </w:r>
      <w:hyperlink r:id="rId1175">
        <w:r>
          <w:rPr>
            <w:color w:val="1155CC"/>
            <w:u w:val="single"/>
          </w:rPr>
          <w:t>$S=1/2$三角格子${J}_{1}\text{−}{J}_{2}$海森堡模型中的竞争态：动态密度矩阵重正化群研究</w:t>
        </w:r>
      </w:hyperlink>
    </w:p>
    <w:p>
      <w:pPr>
        <w:spacing w:before="0" w:after="80"/>
      </w:pPr>
      <w:r>
        <w:rPr>
          <w:i/>
          <w:sz w:val="20"/>
        </w:rPr>
        <w:t>EN: Competing States in the $S=1/2$ Triangular-Lattice ${J}_{1}\text{−}{J}_{2}$ Heisenberg Model: A Dynamical Density-Matrix Renormalization Group Study</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76">
        <w:r>
          <w:rPr>
            <w:color w:val="1155CC"/>
            <w:u w:val="single"/>
          </w:rPr>
          <w:t>10.1103/zmnz-tkq2</w:t>
        </w:r>
      </w:hyperlink>
    </w:p>
    <w:p>
      <w:pPr>
        <w:spacing w:before="0" w:after="120"/>
      </w:pPr>
      <w:r>
        <w:rPr>
          <w:b/>
        </w:rPr>
        <w:t xml:space="preserve">Notes: </w:t>
      </w:r>
      <w:r>
        <w:t>abstract_source=rss_description</w:t>
      </w:r>
    </w:p>
    <w:p>
      <w:pPr>
        <w:spacing w:before="0" w:after="80" w:lineRule="auto" w:line="276"/>
      </w:pPr>
      <w:r>
        <w:rPr>
          <w:b/>
        </w:rPr>
        <w:t xml:space="preserve">摘要（ZH）: </w:t>
      </w:r>
      <w:r>
        <w:t>作者：蒋晟韬、Steven R. White、Steven A. Kivelson 和 Hong-Chen Jiang 之前对 $S=1/2$ 三角晶格 ${J}_{1}\text{−}{J}_{2}$ 海森堡反铁磁体的研究已经推断出 ${J}_{2}$ 中间范围内存在非磁性基态相，但对于是否是带隙存在分歧${\mathbb{Z}}_{2}$量子自旋液体（QSL），...[物理。莱特牧师。 137, 056703] 2026 年 7 月 28 日星期二发布</w:t>
      </w:r>
    </w:p>
    <w:p>
      <w:pPr>
        <w:spacing w:before="0" w:after="200" w:lineRule="auto" w:line="276"/>
      </w:pPr>
      <w:r>
        <w:rPr>
          <w:b/>
        </w:rPr>
        <w:t xml:space="preserve">Abstract (EN): </w:t>
      </w:r>
      <w:r>
        <w:t>Author(s): Shengtao Jiang (蒋晟韬), Steven R. White, Steven A. Kivelson, and Hong-Chen JiangPrevious studies of the $S=1/2$ triangular-lattice ${J}_{1}\text{−}{J}_{2}$ Heisenberg antiferromagnet have inferred the existence of a nonmagnetic ground-state phase for an intermediate range of ${J}_{2}$, but disagree concerning whether it is a gapped ${\mathbb{Z}}_{2}$ quantum spin liquid (QSL), …[Phys. Rev. Lett. 137, 056703] Published Tue Jul 28, 2026</w:t>
      </w:r>
    </w:p>
    <w:p>
      <w:pPr>
        <w:spacing w:before="120" w:after="120"/>
      </w:pPr>
      <w:r>
        <w:rPr>
          <w:sz w:val="18"/>
        </w:rPr>
        <w:t>——————————————————————————————————————————————————————————————————————</w:t>
      </w:r>
    </w:p>
    <w:p>
      <w:pPr>
        <w:spacing w:before="160" w:after="40" w:line="240" w:lineRule="auto"/>
      </w:pPr>
      <w:r>
        <w:rPr>
          <w:b/>
        </w:rPr>
        <w:t xml:space="preserve">[413] </w:t>
      </w:r>
      <w:hyperlink r:id="rId1177">
        <w:r>
          <w:rPr>
            <w:color w:val="1155CC"/>
            <w:u w:val="single"/>
          </w:rPr>
          <w:t>使用核能级密度的系统分析证明铋核中的高壳阻尼率</w:t>
        </w:r>
      </w:hyperlink>
    </w:p>
    <w:p>
      <w:pPr>
        <w:spacing w:before="0" w:after="80"/>
      </w:pPr>
      <w:r>
        <w:rPr>
          <w:i/>
          <w:sz w:val="20"/>
        </w:rPr>
        <w:t>EN: Evidence for high shell-damping rate in bismuth nuclei using a systematic analysis of nuclear level density</w:t>
      </w:r>
    </w:p>
    <w:p>
      <w:pPr>
        <w:spacing w:before="0" w:after="120"/>
      </w:pPr>
      <w:r>
        <w:rPr>
          <w:b/>
        </w:rPr>
        <w:t xml:space="preserve">Source: </w:t>
      </w:r>
      <w:r>
        <w:t>Recent Articles in Phys. Rev. C</w:t>
      </w:r>
      <w:r>
        <w:t xml:space="preserve">    </w:t>
      </w:r>
      <w:r>
        <w:rPr>
          <w:b/>
        </w:rPr>
        <w:t xml:space="preserve">Pub date: </w:t>
      </w:r>
      <w:r>
        <w:t>2026-07-28 10:00:00+00:00</w:t>
      </w:r>
      <w:r>
        <w:t xml:space="preserve">    </w:t>
      </w:r>
      <w:r>
        <w:rPr>
          <w:b/>
        </w:rPr>
        <w:t xml:space="preserve">DOI: </w:t>
      </w:r>
      <w:hyperlink r:id="rId1178">
        <w:r>
          <w:rPr>
            <w:color w:val="1155CC"/>
            <w:u w:val="single"/>
          </w:rPr>
          <w:t>10.1103/4pp1-dxw6</w:t>
        </w:r>
      </w:hyperlink>
    </w:p>
    <w:p>
      <w:pPr>
        <w:spacing w:before="0" w:after="120"/>
      </w:pPr>
      <w:r>
        <w:rPr>
          <w:b/>
        </w:rPr>
        <w:t xml:space="preserve">Notes: </w:t>
      </w:r>
      <w:r>
        <w:t>abstract_source=rss_description</w:t>
      </w:r>
    </w:p>
    <w:p>
      <w:pPr>
        <w:spacing w:before="0" w:after="80" w:lineRule="auto" w:line="276"/>
      </w:pPr>
      <w:r>
        <w:rPr>
          <w:b/>
        </w:rPr>
        <w:t xml:space="preserve">摘要（ZH）: </w:t>
      </w:r>
      <w:r>
        <w:t>作者：R. Shil、K. Banerjee、J. Sadhukhan、Pratap Roy 和 A. Chakraborty 对 $^{204,206,207,208}\mathrm{Bi}$ 和 $^{209}\mathrm{Po}$ 核实验测量的核能级密度进行了系统的贝叶斯分析，以研究随着激发能量的增加壳层效应的阻尼。分析表明壳阻尼率较高 (${γ}...[Phys. Rev. C 114, 014633] 2026 年 7 月 28 日星期二发布</w:t>
      </w:r>
    </w:p>
    <w:p>
      <w:pPr>
        <w:spacing w:before="0" w:after="200" w:lineRule="auto" w:line="276"/>
      </w:pPr>
      <w:r>
        <w:rPr>
          <w:b/>
        </w:rPr>
        <w:t xml:space="preserve">Abstract (EN): </w:t>
      </w:r>
      <w:r>
        <w:t>Author(s): R. Shil, K. Banerjee, J. Sadhukhan, Pratap Roy, and A. ChakrabortyA systematic Bayesian analysis of experimentally measured nuclear level densities for $^{204,206,207,208}\mathrm{Bi}$ and $^{209}\mathrm{Po}$ nuclei has been performed to investigate the damping of shell effects with increasing excitation energy. The analysis indicates high shell-damping rates (${γ}…[Phys. Rev. C 114, 014633] Published Tue Jul 28, 2026</w:t>
      </w:r>
    </w:p>
    <w:p>
      <w:pPr>
        <w:spacing w:before="120" w:after="120"/>
      </w:pPr>
      <w:r>
        <w:rPr>
          <w:sz w:val="18"/>
        </w:rPr>
        <w:t>——————————————————————————————————————————————————————————————————————</w:t>
      </w:r>
    </w:p>
    <w:p>
      <w:pPr>
        <w:spacing w:before="160" w:after="40" w:line="240" w:lineRule="auto"/>
      </w:pPr>
      <w:r>
        <w:rPr>
          <w:b/>
        </w:rPr>
        <w:t xml:space="preserve">[414] </w:t>
      </w:r>
      <w:hyperlink r:id="rId1179">
        <w:r>
          <w:rPr>
            <w:color w:val="1155CC"/>
            <w:u w:val="single"/>
          </w:rPr>
          <w:t>量子应力张量涨落的重正化和半经典引力的极限</w:t>
        </w:r>
      </w:hyperlink>
    </w:p>
    <w:p>
      <w:pPr>
        <w:spacing w:before="0" w:after="80"/>
      </w:pPr>
      <w:r>
        <w:rPr>
          <w:i/>
          <w:sz w:val="20"/>
        </w:rPr>
        <w:t>EN: Renormalization of the Quantum Stress Tensor Fluctuations and the Limits of Semiclassical Gravity</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80">
        <w:r>
          <w:rPr>
            <w:color w:val="1155CC"/>
            <w:u w:val="single"/>
          </w:rPr>
          <w:t>10.1103/jvj4-hk16</w:t>
        </w:r>
      </w:hyperlink>
    </w:p>
    <w:p>
      <w:pPr>
        <w:spacing w:before="0" w:after="120"/>
      </w:pPr>
      <w:r>
        <w:rPr>
          <w:b/>
        </w:rPr>
        <w:t xml:space="preserve">Notes: </w:t>
      </w:r>
      <w:r>
        <w:t>abstract_source=rss_description</w:t>
      </w:r>
    </w:p>
    <w:p>
      <w:pPr>
        <w:spacing w:before="0" w:after="80" w:lineRule="auto" w:line="276"/>
      </w:pPr>
      <w:r>
        <w:rPr>
          <w:b/>
        </w:rPr>
        <w:t xml:space="preserve">摘要（ZH）: </w:t>
      </w:r>
      <w:r>
        <w:t>作者：Alejandro Perez 和 Daniel Sudarsky 我们分析了弯曲时空量子场论中能量动量张量的期望值及其涨落。半经典引力概念一致性的一个普遍接受的条件是，能量动量张量的波动与其相比仍然很小……[物理。莱特牧师。 137, 051501] 2026 年 7 月 28 日星期二发布</w:t>
      </w:r>
    </w:p>
    <w:p>
      <w:pPr>
        <w:spacing w:before="0" w:after="200" w:lineRule="auto" w:line="276"/>
      </w:pPr>
      <w:r>
        <w:rPr>
          <w:b/>
        </w:rPr>
        <w:t xml:space="preserve">Abstract (EN): </w:t>
      </w:r>
      <w:r>
        <w:t>Author(s): Alejandro Perez and Daniel SudarskyWe analyze the expectation value of the energy-momentum tensor and its fluctuations in quantum field theory on curved spacetimes. A generally accepeted condition for the conceptual consistency of semiclassical gravity is that the fluctuations of the energy momentum tensor remain small compared to it…[Phys. Rev. Lett. 137, 051501] Published Tue Jul 28, 2026</w:t>
      </w:r>
    </w:p>
    <w:p>
      <w:pPr>
        <w:spacing w:before="120" w:after="120"/>
      </w:pPr>
      <w:r>
        <w:rPr>
          <w:sz w:val="18"/>
        </w:rPr>
        <w:t>——————————————————————————————————————————————————————————————————————</w:t>
      </w:r>
    </w:p>
    <w:p>
      <w:pPr>
        <w:spacing w:before="160" w:after="40" w:line="240" w:lineRule="auto"/>
      </w:pPr>
      <w:r>
        <w:rPr>
          <w:b/>
        </w:rPr>
        <w:t xml:space="preserve">[415] </w:t>
      </w:r>
      <w:hyperlink r:id="rId1181">
        <w:r>
          <w:rPr>
            <w:color w:val="1155CC"/>
            <w:u w:val="single"/>
          </w:rPr>
          <w:t>尘埃落定后沸腾：在暗能量统治期间约束一阶相变</w:t>
        </w:r>
      </w:hyperlink>
    </w:p>
    <w:p>
      <w:pPr>
        <w:spacing w:before="0" w:after="80"/>
      </w:pPr>
      <w:r>
        <w:rPr>
          <w:i/>
          <w:sz w:val="20"/>
        </w:rPr>
        <w:t>EN: Boiling After the Dust Settles: Constraining First-Order Phase Transitions During Dark Energy Domination</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82">
        <w:r>
          <w:rPr>
            <w:color w:val="1155CC"/>
            <w:u w:val="single"/>
          </w:rPr>
          <w:t>10.1103/1vyz-xdkb</w:t>
        </w:r>
      </w:hyperlink>
    </w:p>
    <w:p>
      <w:pPr>
        <w:spacing w:before="0" w:after="120"/>
      </w:pPr>
      <w:r>
        <w:rPr>
          <w:b/>
        </w:rPr>
        <w:t xml:space="preserve">Notes: </w:t>
      </w:r>
      <w:r>
        <w:t>abstract_source=rss_description</w:t>
      </w:r>
    </w:p>
    <w:p>
      <w:pPr>
        <w:spacing w:before="0" w:after="80" w:lineRule="auto" w:line="276"/>
      </w:pPr>
      <w:r>
        <w:rPr>
          <w:b/>
        </w:rPr>
        <w:t xml:space="preserve">摘要（ZH）: </w:t>
      </w:r>
      <w:r>
        <w:t>作者：Seth Koren、Yuhsin Tsai 和 Runqing Wang 当真空能量开始主导能量密度 ($z≲0.3$) 并将一些潜热转化为其他形式（例如不可见辐射）时，宇宙晚期可能会发生一级相变。这种普遍的可能性在粒子物理模型中也有具体的动机，它调用……[物理。莱特牧师。 137, 051002] 2026 年 7 月 28 日星期二发布</w:t>
      </w:r>
    </w:p>
    <w:p>
      <w:pPr>
        <w:spacing w:before="0" w:after="200" w:lineRule="auto" w:line="276"/>
      </w:pPr>
      <w:r>
        <w:rPr>
          <w:b/>
        </w:rPr>
        <w:t xml:space="preserve">Abstract (EN): </w:t>
      </w:r>
      <w:r>
        <w:t>Author(s): Seth Koren, Yuhsin Tsai, and Runqing WangA first-order phase transition could occur in the late Universe when vacuum energy begins dominating the energy density ($z≲0.3$) and convert some latent heat into other forms such as invisible radiation. This generic possibility also has concrete motivation in particle physics models, which invoke …[Phys. Rev. Lett. 137, 051002] Published Tue Jul 28, 2026</w:t>
      </w:r>
    </w:p>
    <w:p>
      <w:pPr>
        <w:spacing w:before="120" w:after="120"/>
      </w:pPr>
      <w:r>
        <w:rPr>
          <w:sz w:val="18"/>
        </w:rPr>
        <w:t>——————————————————————————————————————————————————————————————————————</w:t>
      </w:r>
    </w:p>
    <w:p>
      <w:pPr>
        <w:spacing w:before="160" w:after="40" w:line="240" w:lineRule="auto"/>
      </w:pPr>
      <w:r>
        <w:rPr>
          <w:b/>
        </w:rPr>
        <w:t xml:space="preserve">[416] </w:t>
      </w:r>
      <w:hyperlink r:id="rId1183">
        <w:r>
          <w:rPr>
            <w:color w:val="1155CC"/>
            <w:u w:val="single"/>
          </w:rPr>
          <w:t>量子流体中涡旋脱落的普遍临界动力学</w:t>
        </w:r>
      </w:hyperlink>
    </w:p>
    <w:p>
      <w:pPr>
        <w:spacing w:before="0" w:after="80"/>
      </w:pPr>
      <w:r>
        <w:rPr>
          <w:i/>
          <w:sz w:val="20"/>
        </w:rPr>
        <w:t>EN: Universal Critical Dynamics of Vortex Shedding in Quantum Fluids</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84">
        <w:r>
          <w:rPr>
            <w:color w:val="1155CC"/>
            <w:u w:val="single"/>
          </w:rPr>
          <w:t>10.1103/pd91-32q3</w:t>
        </w:r>
      </w:hyperlink>
    </w:p>
    <w:p>
      <w:pPr>
        <w:spacing w:before="0" w:after="120"/>
      </w:pPr>
      <w:r>
        <w:rPr>
          <w:b/>
        </w:rPr>
        <w:t xml:space="preserve">Notes: </w:t>
      </w:r>
      <w:r>
        <w:t>abstract_source=rss_description</w:t>
      </w:r>
    </w:p>
    <w:p>
      <w:pPr>
        <w:spacing w:before="0" w:after="80" w:lineRule="auto" w:line="276"/>
      </w:pPr>
      <w:r>
        <w:rPr>
          <w:b/>
        </w:rPr>
        <w:t xml:space="preserve">摘要（ZH）: </w:t>
      </w:r>
      <w:r>
        <w:t>作者：Niccolò Geracitano、Francesco Viola、Paolo Luchini 和 Vincenzo Citro 在经典流体动力学中，钝体后面的冯·卡门涡街是用于研究涡形成和动力学的典型示例。这是由局部霍普夫分岔控制的，它驱动尾流中涡旋结构的连续和异步释放。在超流体系统中……[物理。莱特牧师。 137, 056004] 2026 年 7 月 28 日星期二发布</w:t>
      </w:r>
    </w:p>
    <w:p>
      <w:pPr>
        <w:spacing w:before="0" w:after="200" w:lineRule="auto" w:line="276"/>
      </w:pPr>
      <w:r>
        <w:rPr>
          <w:b/>
        </w:rPr>
        <w:t xml:space="preserve">Abstract (EN): </w:t>
      </w:r>
      <w:r>
        <w:t>Author(s): Niccolò Geracitano, Francesco Viola, Paolo Luchini, and Vincenzo CitroIn classical fluid dynamics, the von Kármán vortex street behind a bluff body is the canonical example used to study vortex formation and dynamics. This is governed by a local Hopf bifurcation, which drives the continuous and asynchronous release of vortical structures in the wake. In superfluid sys…[Phys. Rev. Lett. 137, 056004] Published Tue Jul 28, 2026</w:t>
      </w:r>
    </w:p>
    <w:p>
      <w:pPr>
        <w:spacing w:before="120" w:after="120"/>
      </w:pPr>
      <w:r>
        <w:rPr>
          <w:sz w:val="18"/>
        </w:rPr>
        <w:t>——————————————————————————————————————————————————————————————————————</w:t>
      </w:r>
    </w:p>
    <w:p>
      <w:pPr>
        <w:spacing w:before="160" w:after="40" w:line="240" w:lineRule="auto"/>
      </w:pPr>
      <w:r>
        <w:rPr>
          <w:b/>
        </w:rPr>
        <w:t xml:space="preserve">[417] </w:t>
      </w:r>
      <w:hyperlink r:id="rId1185">
        <w:r>
          <w:rPr>
            <w:color w:val="1155CC"/>
            <w:u w:val="single"/>
          </w:rPr>
          <w:t>超辐射相是双光子过程中的有限尺寸效应</w:t>
        </w:r>
      </w:hyperlink>
    </w:p>
    <w:p>
      <w:pPr>
        <w:spacing w:before="0" w:after="80"/>
      </w:pPr>
      <w:r>
        <w:rPr>
          <w:i/>
          <w:sz w:val="20"/>
        </w:rPr>
        <w:t>EN: Superradiant Phase is a Finite Size Effect in Two-photon Processes</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86">
        <w:r>
          <w:rPr>
            <w:color w:val="1155CC"/>
            <w:u w:val="single"/>
          </w:rPr>
          <w:t>10.1103/syq9-z93n</w:t>
        </w:r>
      </w:hyperlink>
    </w:p>
    <w:p>
      <w:pPr>
        <w:spacing w:before="0" w:after="120"/>
      </w:pPr>
      <w:r>
        <w:rPr>
          <w:b/>
        </w:rPr>
        <w:t xml:space="preserve">Notes: </w:t>
      </w:r>
      <w:r>
        <w:t>abstract_source=rss_description</w:t>
      </w:r>
    </w:p>
    <w:p>
      <w:pPr>
        <w:spacing w:before="0" w:after="80" w:lineRule="auto" w:line="276"/>
      </w:pPr>
      <w:r>
        <w:rPr>
          <w:b/>
        </w:rPr>
        <w:t xml:space="preserve">摘要（ZH）: </w:t>
      </w:r>
      <w:r>
        <w:t>作者：Fabrizio Ramírez、David Villaseñor、Nahum Vázquez 和 Jorge G. Hirsch 双光子光与物质相互作用表现出光谱塌缩等独特特征。据报道，双光子迪克模型表现出超辐射相，这在量子应用中可能有用。在这里，我们证明这种超辐射相不是真正的热力学相，而是……[物理。莱特牧师。 137, 053603] 2026 年 7 月 28 日星期二发布</w:t>
      </w:r>
    </w:p>
    <w:p>
      <w:pPr>
        <w:spacing w:before="0" w:after="200" w:lineRule="auto" w:line="276"/>
      </w:pPr>
      <w:r>
        <w:rPr>
          <w:b/>
        </w:rPr>
        <w:t xml:space="preserve">Abstract (EN): </w:t>
      </w:r>
      <w:r>
        <w:t>Author(s): Fabrizio Ramírez, David Villaseñor, Nahum Vázquez, and Jorge G. HirschTwo-photon light-matter interactions exhibit distinctive features such as spectral collapse. The two-photon Dicke model has been reported to exhibit a superradiant phase which could be useful in quantum applications. Here we show that this superradiant phase is not a genuine thermodynamic phase but …[Phys. Rev. Lett. 137, 053603] Published Tue Jul 28, 2026</w:t>
      </w:r>
    </w:p>
    <w:p>
      <w:pPr>
        <w:spacing w:before="120" w:after="120"/>
      </w:pPr>
      <w:r>
        <w:rPr>
          <w:sz w:val="18"/>
        </w:rPr>
        <w:t>——————————————————————————————————————————————————————————————————————</w:t>
      </w:r>
    </w:p>
    <w:p>
      <w:pPr>
        <w:spacing w:before="160" w:after="40" w:line="240" w:lineRule="auto"/>
      </w:pPr>
      <w:r>
        <w:rPr>
          <w:b/>
        </w:rPr>
        <w:t xml:space="preserve">[418] </w:t>
      </w:r>
      <w:hyperlink r:id="rId1187">
        <w:r>
          <w:rPr>
            <w:color w:val="1155CC"/>
            <w:u w:val="single"/>
          </w:rPr>
          <w:t>电子卡皮查-狄拉克效应的相干体系</w:t>
        </w:r>
      </w:hyperlink>
    </w:p>
    <w:p>
      <w:pPr>
        <w:spacing w:before="0" w:after="80"/>
      </w:pPr>
      <w:r>
        <w:rPr>
          <w:i/>
          <w:sz w:val="20"/>
        </w:rPr>
        <w:t>EN: Coherent Regime of Kapitza-Dirac Effect with Electrons</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88">
        <w:r>
          <w:rPr>
            <w:color w:val="1155CC"/>
            <w:u w:val="single"/>
          </w:rPr>
          <w:t>10.1103/9gg2-zy3l</w:t>
        </w:r>
      </w:hyperlink>
    </w:p>
    <w:p>
      <w:pPr>
        <w:spacing w:before="0" w:after="120"/>
      </w:pPr>
      <w:r>
        <w:rPr>
          <w:b/>
        </w:rPr>
        <w:t xml:space="preserve">Notes: </w:t>
      </w:r>
      <w:r>
        <w:t>abstract_source=rss_description</w:t>
      </w:r>
    </w:p>
    <w:p>
      <w:pPr>
        <w:spacing w:before="0" w:after="80" w:lineRule="auto" w:line="276"/>
      </w:pPr>
      <w:r>
        <w:rPr>
          <w:b/>
        </w:rPr>
        <w:t xml:space="preserve">摘要（ZH）: </w:t>
      </w:r>
      <w:r>
        <w:t>作者：Kamila Moriová、Petr Koutenský、Neli Laštovičková Streshkova、Marius Constantin Chirita Mihaila、Zbyněk Šobáň、Jaromír Kopeček、Andreas Schertel 和 Martin Kozák 电子物质波在穿过由两个干涉光波形成的光周期结构时会发生相干衍射。在这种所谓的卡皮查-狄拉克效应中，电子动量由于受激康普顿散射吸收和发射光子而发生变化。到现在为止，效果……【物理。莱特牧师。 137, 053604] 2026 年 7 月 28 日星期二发布</w:t>
      </w:r>
    </w:p>
    <w:p>
      <w:pPr>
        <w:spacing w:before="0" w:after="200" w:lineRule="auto" w:line="276"/>
      </w:pPr>
      <w:r>
        <w:rPr>
          <w:b/>
        </w:rPr>
        <w:t xml:space="preserve">Abstract (EN): </w:t>
      </w:r>
      <w:r>
        <w:t>Author(s): Kamila Moriová, Petr Koutenský, Neli Laštovičková Streshkova, Marius Constantin Chirita Mihaila, Zbyněk Šobáň, Jaromír Kopeček, Andreas Schertel, and Martin KozákElectron matter waves coherently diffract when passing through a periodic structure of light formed by two interfering light waves. In this so-called Kapitza-Dirac effect, the electron momentum changes due to absorption and emission of photons via stimulated Compton scattering. Until now, the effect…[Phys. Rev. Lett. 137, 053604] Published Tue Jul 28, 2026</w:t>
      </w:r>
    </w:p>
    <w:p>
      <w:pPr>
        <w:spacing w:before="120" w:after="120"/>
      </w:pPr>
      <w:r>
        <w:rPr>
          <w:sz w:val="18"/>
        </w:rPr>
        <w:t>——————————————————————————————————————————————————————————————————————</w:t>
      </w:r>
    </w:p>
    <w:p>
      <w:pPr>
        <w:spacing w:before="160" w:after="40" w:line="240" w:lineRule="auto"/>
      </w:pPr>
      <w:r>
        <w:rPr>
          <w:b/>
        </w:rPr>
        <w:t xml:space="preserve">[419] </w:t>
      </w:r>
      <w:hyperlink r:id="rId1189">
        <w:r>
          <w:rPr>
            <w:color w:val="1155CC"/>
            <w:u w:val="single"/>
          </w:rPr>
          <w:t>里德伯超原子中的不完美封锁</w:t>
        </w:r>
      </w:hyperlink>
    </w:p>
    <w:p>
      <w:pPr>
        <w:spacing w:before="0" w:after="80"/>
      </w:pPr>
      <w:r>
        <w:rPr>
          <w:i/>
          <w:sz w:val="20"/>
        </w:rPr>
        <w:t>EN: Imperfect Blockade in Rydberg Superatoms</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90">
        <w:r>
          <w:rPr>
            <w:color w:val="1155CC"/>
            <w:u w:val="single"/>
          </w:rPr>
          <w:t>10.1103/sbk8-n8y3</w:t>
        </w:r>
      </w:hyperlink>
    </w:p>
    <w:p>
      <w:pPr>
        <w:spacing w:before="0" w:after="120"/>
      </w:pPr>
      <w:r>
        <w:rPr>
          <w:b/>
        </w:rPr>
        <w:t xml:space="preserve">Notes: </w:t>
      </w:r>
      <w:r>
        <w:t>abstract_source=rss_description</w:t>
      </w:r>
    </w:p>
    <w:p>
      <w:pPr>
        <w:spacing w:before="0" w:after="80" w:lineRule="auto" w:line="276"/>
      </w:pPr>
      <w:r>
        <w:rPr>
          <w:b/>
        </w:rPr>
        <w:t xml:space="preserve">摘要（ZH）: </w:t>
      </w:r>
      <w:r>
        <w:t>作者：瓦伦丁·马格罗 (Valentin Magro)、塞巴斯蒂安·加西亚 (Sébastien Garcia) 和阿列克谢·乌尔乔姆采夫 (Alexei Ourjoumtsev) 开发并通过实验验证了不完美里德堡封锁理论，为量子技术带来了更高质量的元素。莱特牧师。 137, 053605] 2026 年 7 月 28 日星期二发布</w:t>
      </w:r>
    </w:p>
    <w:p>
      <w:pPr>
        <w:spacing w:before="0" w:after="200" w:lineRule="auto" w:line="276"/>
      </w:pPr>
      <w:r>
        <w:rPr>
          <w:b/>
        </w:rPr>
        <w:t xml:space="preserve">Abstract (EN): </w:t>
      </w:r>
      <w:r>
        <w:t>Author(s): Valentin Magro, Sébastien Garcia, and Alexei OurjoumtsevA theory of imperfect Rydberg blockade is developed and experimentally verified, promising higher-quality elements for quantum technologies.[Phys. Rev. Lett. 137, 053605] Published Tue Jul 28, 2026</w:t>
      </w:r>
    </w:p>
    <w:p>
      <w:pPr>
        <w:spacing w:before="120" w:after="120"/>
      </w:pPr>
      <w:r>
        <w:rPr>
          <w:sz w:val="18"/>
        </w:rPr>
        <w:t>——————————————————————————————————————————————————————————————————————</w:t>
      </w:r>
    </w:p>
    <w:p>
      <w:pPr>
        <w:spacing w:before="160" w:after="40" w:line="240" w:lineRule="auto"/>
      </w:pPr>
      <w:r>
        <w:rPr>
          <w:b/>
        </w:rPr>
        <w:t xml:space="preserve">[420] </w:t>
      </w:r>
      <w:hyperlink r:id="rId1191">
        <w:r>
          <w:rPr>
            <w:color w:val="1155CC"/>
            <w:u w:val="single"/>
          </w:rPr>
          <w:t>潜在几何对应：用图论揭示隐藏的对称群</w:t>
        </w:r>
      </w:hyperlink>
    </w:p>
    <w:p>
      <w:pPr>
        <w:spacing w:before="0" w:after="80"/>
      </w:pPr>
      <w:r>
        <w:rPr>
          <w:i/>
          <w:sz w:val="20"/>
        </w:rPr>
        <w:t>EN: Latent-Geometry Correspondence: Unraveling Hidden Symmetry Groups with Graph Theory</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92">
        <w:r>
          <w:rPr>
            <w:color w:val="1155CC"/>
            <w:u w:val="single"/>
          </w:rPr>
          <w:t>10.1103/hrdv-qcf6</w:t>
        </w:r>
      </w:hyperlink>
    </w:p>
    <w:p>
      <w:pPr>
        <w:spacing w:before="0" w:after="120"/>
      </w:pPr>
      <w:r>
        <w:rPr>
          <w:b/>
        </w:rPr>
        <w:t xml:space="preserve">Notes: </w:t>
      </w:r>
      <w:r>
        <w:t>abstract_source=rss_description</w:t>
      </w:r>
    </w:p>
    <w:p>
      <w:pPr>
        <w:spacing w:before="0" w:after="80" w:lineRule="auto" w:line="276"/>
      </w:pPr>
      <w:r>
        <w:rPr>
          <w:b/>
        </w:rPr>
        <w:t xml:space="preserve">摘要（ZH）: </w:t>
      </w:r>
      <w:r>
        <w:t>作者：张新宇、叶若涛、马尔特·伦琴、陈梦琳、魏素怀、张爽和高文龙 为了寻求不明显的对称性，物理学家探索了从经典系统到量子系统中隐藏的对称性。广义几何对称的框架，被称为“潜在对称”，其存在可以完全用代数来优雅地辨别，重新推动了这一努力……[物理学。莱特牧师。 137, 056602] 2026 年 7 月 28 日星期二发布</w:t>
      </w:r>
    </w:p>
    <w:p>
      <w:pPr>
        <w:spacing w:before="0" w:after="200" w:lineRule="auto" w:line="276"/>
      </w:pPr>
      <w:r>
        <w:rPr>
          <w:b/>
        </w:rPr>
        <w:t xml:space="preserve">Abstract (EN): </w:t>
      </w:r>
      <w:r>
        <w:t>Author(s): Xinyu Zhang, Ruotao Ye, Malte Röntgen, Menglin L. N. Chen, Su-Huai Wei, Shuang Zhang, and Wenlong GaoSeeking symmetry where it is not manifest, physicists have explored hidden symmetries throughout classical to quantum systems. A framework of generalized geometric symmetries, dubbed “latent symmetries,” whose existence can be elegantly discerned entirely algebraically, has fueled this endeavor anew…[Phys. Rev. Lett. 137, 056602] Published Tue Jul 28, 2026</w:t>
      </w:r>
    </w:p>
    <w:p>
      <w:pPr>
        <w:spacing w:before="120" w:after="120"/>
      </w:pPr>
      <w:r>
        <w:rPr>
          <w:sz w:val="18"/>
        </w:rPr>
        <w:t>——————————————————————————————————————————————————————————————————————</w:t>
      </w:r>
    </w:p>
    <w:p>
      <w:pPr>
        <w:spacing w:before="160" w:after="40" w:line="240" w:lineRule="auto"/>
      </w:pPr>
      <w:r>
        <w:rPr>
          <w:b/>
        </w:rPr>
        <w:t xml:space="preserve">[421] </w:t>
      </w:r>
      <w:hyperlink r:id="rId1193">
        <w:r>
          <w:rPr>
            <w:color w:val="1155CC"/>
            <w:u w:val="single"/>
          </w:rPr>
          <w:t>量子基态运动中的光机械圆盘谐振器</w:t>
        </w:r>
      </w:hyperlink>
    </w:p>
    <w:p>
      <w:pPr>
        <w:spacing w:before="0" w:after="80"/>
      </w:pPr>
      <w:r>
        <w:rPr>
          <w:i/>
          <w:sz w:val="20"/>
        </w:rPr>
        <w:t>EN: Optomechanical Disk Resonator in the Quantum Ground State of Motion</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94">
        <w:r>
          <w:rPr>
            <w:color w:val="1155CC"/>
            <w:u w:val="single"/>
          </w:rPr>
          <w:t>10.1103/r7gg-w6kg</w:t>
        </w:r>
      </w:hyperlink>
    </w:p>
    <w:p>
      <w:pPr>
        <w:spacing w:before="0" w:after="120"/>
      </w:pPr>
      <w:r>
        <w:rPr>
          <w:b/>
        </w:rPr>
        <w:t xml:space="preserve">Notes: </w:t>
      </w:r>
      <w:r>
        <w:t>abstract_source=rss_description</w:t>
      </w:r>
    </w:p>
    <w:p>
      <w:pPr>
        <w:spacing w:before="0" w:after="80" w:lineRule="auto" w:line="276"/>
      </w:pPr>
      <w:r>
        <w:rPr>
          <w:b/>
        </w:rPr>
        <w:t xml:space="preserve">摘要（ZH）: </w:t>
      </w:r>
      <w:r>
        <w:t>作者：Andrea Barbero、Samuel Pautrel、Bertrand Evrard、Jérémy Bon、Romain Dezert、Martina Morassi、Aristide Lemaître、Adrien Borne 和 Ivan Favero 虽然光机械圆盘谐振器在光力学领域取得了一些进展，但尚未具备在量子运动领域运行的资格。我们展示了在量子基态下制备的光机械盘谐振器的实验演示。随着...[物理。莱特牧师。 137, 053601] 2026 年 7 月 28 日星期二发布</w:t>
      </w:r>
    </w:p>
    <w:p>
      <w:pPr>
        <w:spacing w:before="0" w:after="200" w:lineRule="auto" w:line="276"/>
      </w:pPr>
      <w:r>
        <w:rPr>
          <w:b/>
        </w:rPr>
        <w:t xml:space="preserve">Abstract (EN): </w:t>
      </w:r>
      <w:r>
        <w:t>Author(s): Andrea Barbero, Samuel Pautrel, Bertrand Evrard, Jérémy Bon, Romain Dezert, Martina Morassi, Aristide Lemaître, Adrien Borne, and Ivan FaveroAlthough they enabled several advances in the field of optomechanics, optomechanical disk resonators have not yet been qualified for operation in the quantum regime of motion. We present the experimental demonstration of an optomechanical disk resonator prepared in the quantum ground state. With a g…[Phys. Rev. Lett. 137, 053601] Published Tue Jul 28, 2026</w:t>
      </w:r>
    </w:p>
    <w:p>
      <w:pPr>
        <w:spacing w:before="120" w:after="120"/>
      </w:pPr>
      <w:r>
        <w:rPr>
          <w:sz w:val="18"/>
        </w:rPr>
        <w:t>——————————————————————————————————————————————————————————————————————</w:t>
      </w:r>
    </w:p>
    <w:p>
      <w:pPr>
        <w:spacing w:before="160" w:after="40" w:line="240" w:lineRule="auto"/>
      </w:pPr>
      <w:r>
        <w:rPr>
          <w:b/>
        </w:rPr>
        <w:t xml:space="preserve">[422] </w:t>
      </w:r>
      <w:hyperlink r:id="rId1195">
        <w:r>
          <w:rPr>
            <w:color w:val="1155CC"/>
            <w:u w:val="single"/>
          </w:rPr>
          <w:t>量子霍尔跃迁时自平均的分解</w:t>
        </w:r>
      </w:hyperlink>
    </w:p>
    <w:p>
      <w:pPr>
        <w:spacing w:before="0" w:after="80"/>
      </w:pPr>
      <w:r>
        <w:rPr>
          <w:i/>
          <w:sz w:val="20"/>
        </w:rPr>
        <w:t>EN: Breakdown of Self-Averaging at Quantum Hall Transitions</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96">
        <w:r>
          <w:rPr>
            <w:color w:val="1155CC"/>
            <w:u w:val="single"/>
          </w:rPr>
          <w:t>10.1103/7cnz-jsg1</w:t>
        </w:r>
      </w:hyperlink>
    </w:p>
    <w:p>
      <w:pPr>
        <w:spacing w:before="0" w:after="120"/>
      </w:pPr>
      <w:r>
        <w:rPr>
          <w:b/>
        </w:rPr>
        <w:t xml:space="preserve">Notes: </w:t>
      </w:r>
      <w:r>
        <w:t>abstract_source=rss_description</w:t>
      </w:r>
    </w:p>
    <w:p>
      <w:pPr>
        <w:spacing w:before="0" w:after="80" w:lineRule="auto" w:line="276"/>
      </w:pPr>
      <w:r>
        <w:rPr>
          <w:b/>
        </w:rPr>
        <w:t xml:space="preserve">摘要（ZH）: </w:t>
      </w:r>
      <w:r>
        <w:t>作者：Emuna Rimon、Eytan Grosfeld 和 Yevgeny Bar Lev我们研究了跨无序实现的整数量子霍尔效应晶格模型中零温度霍尔电导率的完整分布。在平台过渡附近，分布出现指数 $α≈2.2−2.5$ 的重幂律尾部，这意味着有限均值但发散 va…[Phys.莱特牧师。 137, 056603] 于 2026 年 7 月 28 日星期二发布</w:t>
      </w:r>
    </w:p>
    <w:p>
      <w:pPr>
        <w:spacing w:before="0" w:after="200" w:lineRule="auto" w:line="276"/>
      </w:pPr>
      <w:r>
        <w:rPr>
          <w:b/>
        </w:rPr>
        <w:t xml:space="preserve">Abstract (EN): </w:t>
      </w:r>
      <w:r>
        <w:t>Author(s): Emuna Rimon, Eytan Grosfeld, and Yevgeny Bar LevWe study the full distribution of the zero-temperature Hall conductivity in a lattice model of the integer quantum Hall effect across disorder realizations. Near the plateau transition, the distributions develop heavy power-law tails with exponent $α≈2.2−2.5$, implying a finite mean but divergent va…[Phys. Rev. Lett. 137, 056603] Published Tue Jul 28, 2026</w:t>
      </w:r>
    </w:p>
    <w:p>
      <w:pPr>
        <w:spacing w:before="120" w:after="120"/>
      </w:pPr>
      <w:r>
        <w:rPr>
          <w:sz w:val="18"/>
        </w:rPr>
        <w:t>——————————————————————————————————————————————————————————————————————</w:t>
      </w:r>
    </w:p>
    <w:p>
      <w:pPr>
        <w:spacing w:before="160" w:after="40" w:line="240" w:lineRule="auto"/>
      </w:pPr>
      <w:r>
        <w:rPr>
          <w:b/>
        </w:rPr>
        <w:t xml:space="preserve">[423] </w:t>
      </w:r>
      <w:hyperlink r:id="rId1197">
        <w:r>
          <w:rPr>
            <w:color w:val="1155CC"/>
            <w:u w:val="single"/>
          </w:rPr>
          <w:t>超电流隧道二极管的卡皮查摆路线</w:t>
        </w:r>
      </w:hyperlink>
    </w:p>
    <w:p>
      <w:pPr>
        <w:spacing w:before="0" w:after="80"/>
      </w:pPr>
      <w:r>
        <w:rPr>
          <w:i/>
          <w:sz w:val="20"/>
        </w:rPr>
        <w:t>EN: Kapitza Pendulum Route to Supercurrent Tunnel Diodes</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198">
        <w:r>
          <w:rPr>
            <w:color w:val="1155CC"/>
            <w:u w:val="single"/>
          </w:rPr>
          <w:t>10.1103/jn4z-j1ll</w:t>
        </w:r>
      </w:hyperlink>
    </w:p>
    <w:p>
      <w:pPr>
        <w:spacing w:before="0" w:after="120"/>
      </w:pPr>
      <w:r>
        <w:rPr>
          <w:b/>
        </w:rPr>
        <w:t xml:space="preserve">Notes: </w:t>
      </w:r>
      <w:r>
        <w:t>abstract_source=rss_description</w:t>
      </w:r>
    </w:p>
    <w:p>
      <w:pPr>
        <w:spacing w:before="0" w:after="80" w:lineRule="auto" w:line="276"/>
      </w:pPr>
      <w:r>
        <w:rPr>
          <w:b/>
        </w:rPr>
        <w:t xml:space="preserve">摘要（ZH）: </w:t>
      </w:r>
      <w:r>
        <w:t>作者：Yuriy Yerin、Stefan-Ludwig Drechsler、A. A. Varlamov、Francesco Giazotto、Jeroen van den Brink 和 Mario Cuoco 支持不可逆超电流的超导二极管原则上构成了超导电子器件的有吸引力的、非耗散的电路元件。但它们的实现面临着根本性的挑战，因为传统的约瑟夫森隧道连接点本质上是相互的。所以……[物理。莱特牧师。 137, 056002] 于 2026 年 7 月 28 日星期二发布</w:t>
      </w:r>
    </w:p>
    <w:p>
      <w:pPr>
        <w:spacing w:before="0" w:after="200" w:lineRule="auto" w:line="276"/>
      </w:pPr>
      <w:r>
        <w:rPr>
          <w:b/>
        </w:rPr>
        <w:t xml:space="preserve">Abstract (EN): </w:t>
      </w:r>
      <w:r>
        <w:t>Author(s): Yuriy Yerin, Stefan-Ludwig Drechsler, A. A. Varlamov, Francesco Giazotto, Jeroen van den Brink, and Mario CuocoSuperconducting diodes that support nonreciprocal supercurrent flow in principle constitute attractive, nondissipative, circuit elements for superconducting electronics. But their realization faces fundamental challenges, as conventional Josephson tunnel junctions are inherently reciprocal. The so f…[Phys. Rev. Lett. 137, 056002] Published Tue Jul 28, 2026</w:t>
      </w:r>
    </w:p>
    <w:p>
      <w:pPr>
        <w:spacing w:before="120" w:after="120"/>
      </w:pPr>
      <w:r>
        <w:rPr>
          <w:sz w:val="18"/>
        </w:rPr>
        <w:t>——————————————————————————————————————————————————————————————————————</w:t>
      </w:r>
    </w:p>
    <w:p>
      <w:pPr>
        <w:spacing w:before="160" w:after="40" w:line="240" w:lineRule="auto"/>
      </w:pPr>
      <w:r>
        <w:rPr>
          <w:b/>
        </w:rPr>
        <w:t xml:space="preserve">[424] </w:t>
      </w:r>
      <w:hyperlink r:id="rId1199">
        <w:r>
          <w:rPr>
            <w:color w:val="1155CC"/>
            <w:u w:val="single"/>
          </w:rPr>
          <w:t>${\mathrm{Sr}}_{1−x}{\mathrm{Ca}}_{x}{\mathrm{TiO}}_{3}$ 中的初始调制相位</w:t>
        </w:r>
      </w:hyperlink>
    </w:p>
    <w:p>
      <w:pPr>
        <w:spacing w:before="0" w:after="80"/>
      </w:pPr>
      <w:r>
        <w:rPr>
          <w:i/>
          <w:sz w:val="20"/>
        </w:rPr>
        <w:t>EN: Incipient Modulated Phase in ${\mathrm{Sr}}_{1−x}{\mathrm{Ca}}_{x}{\mathrm{TiO}}_{3}$</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200">
        <w:r>
          <w:rPr>
            <w:color w:val="1155CC"/>
            <w:u w:val="single"/>
          </w:rPr>
          <w:t>10.1103/mpx9-b5x3</w:t>
        </w:r>
      </w:hyperlink>
    </w:p>
    <w:p>
      <w:pPr>
        <w:spacing w:before="0" w:after="120"/>
      </w:pPr>
      <w:r>
        <w:rPr>
          <w:b/>
        </w:rPr>
        <w:t xml:space="preserve">Notes: </w:t>
      </w:r>
      <w:r>
        <w:t>abstract_source=rss_description</w:t>
      </w:r>
    </w:p>
    <w:p>
      <w:pPr>
        <w:spacing w:before="0" w:after="80" w:lineRule="auto" w:line="276"/>
      </w:pPr>
      <w:r>
        <w:rPr>
          <w:b/>
        </w:rPr>
        <w:t xml:space="preserve">摘要（ZH）: </w:t>
      </w:r>
      <w:r>
        <w:t>作者：Benoit Fauque、Daniel A. Chaney、Philippe Bourges、Arno Hiess、Paul Steffens、Benoît Baptiste、Luigi Paolasini、Alexei Bosak、Kamran Behnia 和 Yasuhide Tomioka 当多个自由度相互作用时，复杂材料中会自发出现纳米尺度的调制。在这里，我们证明铁电 ${\mathrm{Sr}}_{1−x}{\mathrm{Ca}}_{x}{\mathrm{TiO}}_{3}$ 非常接近与趋势相关的有限 $q$ 晶格不稳定性......[Phys.牧师神父。莱特。 137, 056101] 7 月 28 日星期二发布，</w:t>
      </w:r>
    </w:p>
    <w:p>
      <w:pPr>
        <w:spacing w:before="0" w:after="200" w:lineRule="auto" w:line="276"/>
      </w:pPr>
      <w:r>
        <w:rPr>
          <w:b/>
        </w:rPr>
        <w:t xml:space="preserve">Abstract (EN): </w:t>
      </w:r>
      <w:r>
        <w:t>Author(s): Benoît Fauqué, Daniel A. Chaney, Philippe Bourges, Stéphane Raymond, Frédéric Bourdarot, Arno Hiess, Paul Steffens, Benoît Baptiste, Luigi Paolasini, Alexeï Bosak, Kamran Behnia, and Yasuhide TomiokaNanometer-scale modulations can spontaneously emerge in complex materials when multiple degrees of freedom interact. Here we demonstrate that ferroelectric ${\mathrm{Sr}}_{1−x}{\mathrm{Ca}}_{x}{\mathrm{TiO}}_{3}$ lies in close proximity to a finite-$q$ lattice instability associated with a tendency …[Phys. Rev. Lett. 137, 056101] Published Tue Jul 28, 2026</w:t>
      </w:r>
    </w:p>
    <w:p>
      <w:pPr>
        <w:spacing w:before="120" w:after="120"/>
      </w:pPr>
      <w:r>
        <w:rPr>
          <w:sz w:val="18"/>
        </w:rPr>
        <w:t>——————————————————————————————————————————————————————————————————————</w:t>
      </w:r>
    </w:p>
    <w:p>
      <w:pPr>
        <w:spacing w:before="160" w:after="40" w:line="240" w:lineRule="auto"/>
      </w:pPr>
      <w:r>
        <w:rPr>
          <w:b/>
        </w:rPr>
        <w:t xml:space="preserve">[425] </w:t>
      </w:r>
      <w:hyperlink r:id="rId1201">
        <w:r>
          <w:rPr>
            <w:color w:val="1155CC"/>
            <w:u w:val="single"/>
          </w:rPr>
          <w:t>莫尔工程声子平带中的无序孤子能量传输</w:t>
        </w:r>
      </w:hyperlink>
    </w:p>
    <w:p>
      <w:pPr>
        <w:spacing w:before="0" w:after="80"/>
      </w:pPr>
      <w:r>
        <w:rPr>
          <w:i/>
          <w:sz w:val="20"/>
        </w:rPr>
        <w:t>EN: Disorder-Free Solitonlike Energy Transport in Moiré-Engineered Phononic Flat Bands</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202">
        <w:r>
          <w:rPr>
            <w:color w:val="1155CC"/>
            <w:u w:val="single"/>
          </w:rPr>
          <w:t>10.1103/jdbw-p719</w:t>
        </w:r>
      </w:hyperlink>
    </w:p>
    <w:p>
      <w:pPr>
        <w:spacing w:before="0" w:after="120"/>
      </w:pPr>
      <w:r>
        <w:rPr>
          <w:b/>
        </w:rPr>
        <w:t xml:space="preserve">Notes: </w:t>
      </w:r>
      <w:r>
        <w:t>abstract_source=rss_description</w:t>
      </w:r>
    </w:p>
    <w:p>
      <w:pPr>
        <w:spacing w:before="0" w:after="80" w:lineRule="auto" w:line="276"/>
      </w:pPr>
      <w:r>
        <w:rPr>
          <w:b/>
        </w:rPr>
        <w:t xml:space="preserve">摘要（ZH）: </w:t>
      </w:r>
      <w:r>
        <w:t>作者：李春江、张天成、程家豪、赵旭哲、张爽、方伟、吴俊桥、李家辰、董凯辰追求低损耗、定向能量传输和热局域化对于混合量子计算、热物理和材料科学等前沿领域至关重要。局域声子模式具有空间限制的振动能量和抑制的扩散散射，提供了有前途的……[物理。莱特牧师。 137, 056102] 2026 年 7 月 28 日星期二发布</w:t>
      </w:r>
    </w:p>
    <w:p>
      <w:pPr>
        <w:spacing w:before="0" w:after="200" w:lineRule="auto" w:line="276"/>
      </w:pPr>
      <w:r>
        <w:rPr>
          <w:b/>
        </w:rPr>
        <w:t xml:space="preserve">Abstract (EN): </w:t>
      </w:r>
      <w:r>
        <w:t>Author(s): Chunjiang Li, Tiancheng Zhang, Jiahao Cheng, Xuzhe Zhao, Shuang Zhang, Nicholas X. Fang, Junqiao Wu, Jiachen Li, and Kaichen DongThe pursuit of low-loss, directional energy transport and heat localization is critical in frontier fields such as hybrid quantum computing, thermophysics, and materials science. Localized phonon modes, with spatially confined vibrational energy and suppressed diffusive scattering, provide promising…[Phys. Rev. Lett. 137, 056102] Published Tue Jul 28, 2026</w:t>
      </w:r>
    </w:p>
    <w:p>
      <w:pPr>
        <w:spacing w:before="120" w:after="120"/>
      </w:pPr>
      <w:r>
        <w:rPr>
          <w:sz w:val="18"/>
        </w:rPr>
        <w:t>——————————————————————————————————————————————————————————————————————</w:t>
      </w:r>
    </w:p>
    <w:p>
      <w:pPr>
        <w:spacing w:before="160" w:after="40" w:line="240" w:lineRule="auto"/>
      </w:pPr>
      <w:r>
        <w:rPr>
          <w:b/>
        </w:rPr>
        <w:t xml:space="preserve">[426] </w:t>
      </w:r>
      <w:hyperlink r:id="rId1203">
        <w:r>
          <w:rPr>
            <w:color w:val="1155CC"/>
            <w:u w:val="single"/>
          </w:rPr>
          <w:t>热霍尔丹晶格的实现</w:t>
        </w:r>
      </w:hyperlink>
    </w:p>
    <w:p>
      <w:pPr>
        <w:spacing w:before="0" w:after="80"/>
      </w:pPr>
      <w:r>
        <w:rPr>
          <w:i/>
          <w:sz w:val="20"/>
        </w:rPr>
        <w:t>EN: Realization of the Thermal Haldane Lattice</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204">
        <w:r>
          <w:rPr>
            <w:color w:val="1155CC"/>
            <w:u w:val="single"/>
          </w:rPr>
          <w:t>10.1103/qjq1-4k8c</w:t>
        </w:r>
      </w:hyperlink>
    </w:p>
    <w:p>
      <w:pPr>
        <w:spacing w:before="0" w:after="120"/>
      </w:pPr>
      <w:r>
        <w:rPr>
          <w:b/>
        </w:rPr>
        <w:t xml:space="preserve">Notes: </w:t>
      </w:r>
      <w:r>
        <w:t>abstract_source=rss_description</w:t>
      </w:r>
    </w:p>
    <w:p>
      <w:pPr>
        <w:spacing w:before="0" w:after="80" w:lineRule="auto" w:line="276"/>
      </w:pPr>
      <w:r>
        <w:rPr>
          <w:b/>
        </w:rPr>
        <w:t xml:space="preserve">摘要（ZH）: </w:t>
      </w:r>
      <w:r>
        <w:t>Author(s): Jiaxin Li, Chengxin Xu, Shuihua Yang, Zifu Xu, Guoqiang Xu, Lizhou Dai, Kaipeng Liu, Jianfeng Chen, Guangming Tao, Ghim Wei Ho, Tianlong Li, and Cheng-Wei QiuA thermal analogue of the Haldane model supports one-way chiral edge states of heat, extending the framework of Chern insulators to thermal diffusion systems.[Phys. Rev. Lett. 137, 056301] Published Tue Jul 28, 2026</w:t>
      </w:r>
    </w:p>
    <w:p>
      <w:pPr>
        <w:spacing w:before="0" w:after="200" w:lineRule="auto" w:line="276"/>
      </w:pPr>
      <w:r>
        <w:rPr>
          <w:b/>
        </w:rPr>
        <w:t xml:space="preserve">Abstract (EN): </w:t>
      </w:r>
      <w:r>
        <w:t>Author(s): Jiaxin Li, Chengxin Xu, Shuihua Yang, Zifu Xu, Guoqiang Xu, Lizhou Dai, Kaipeng Liu, Jianfeng Chen, Guangming Tao, Ghim Wei Ho, Tianlong Li, and Cheng-Wei QiuA thermal analogue of the Haldane model supports one-way chiral edge states of heat, extending the framework of Chern insulators to thermal diffusion systems.[Phys. Rev. Lett. 137, 056301] Published Tue Jul 28, 2026</w:t>
      </w:r>
    </w:p>
    <w:p>
      <w:pPr>
        <w:spacing w:before="120" w:after="120"/>
      </w:pPr>
      <w:r>
        <w:rPr>
          <w:sz w:val="18"/>
        </w:rPr>
        <w:t>——————————————————————————————————————————————————————————————————————</w:t>
      </w:r>
    </w:p>
    <w:p>
      <w:pPr>
        <w:spacing w:before="160" w:after="40" w:line="240" w:lineRule="auto"/>
      </w:pPr>
      <w:r>
        <w:rPr>
          <w:b/>
        </w:rPr>
        <w:t xml:space="preserve">[427] </w:t>
      </w:r>
      <w:hyperlink r:id="rId1205">
        <w:r>
          <w:rPr>
            <w:color w:val="1155CC"/>
            <w:u w:val="single"/>
          </w:rPr>
          <w:t>需要对称化或反对称化的波函数的蒙特卡罗采样</w:t>
        </w:r>
      </w:hyperlink>
    </w:p>
    <w:p>
      <w:pPr>
        <w:spacing w:before="0" w:after="80"/>
      </w:pPr>
      <w:r>
        <w:rPr>
          <w:i/>
          <w:sz w:val="20"/>
        </w:rPr>
        <w:t>EN: Monte Carlo Sampling for Wave Functions Requiring Symmetrization or Antisymmetrization</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206">
        <w:r>
          <w:rPr>
            <w:color w:val="1155CC"/>
            <w:u w:val="single"/>
          </w:rPr>
          <w:t>10.1103/d9xb-4vq9</w:t>
        </w:r>
      </w:hyperlink>
    </w:p>
    <w:p>
      <w:pPr>
        <w:spacing w:before="0" w:after="120"/>
      </w:pPr>
      <w:r>
        <w:rPr>
          <w:b/>
        </w:rPr>
        <w:t xml:space="preserve">Notes: </w:t>
      </w:r>
      <w:r>
        <w:t>abstract_source=rss_description</w:t>
      </w:r>
    </w:p>
    <w:p>
      <w:pPr>
        <w:spacing w:before="0" w:after="80" w:lineRule="auto" w:line="276"/>
      </w:pPr>
      <w:r>
        <w:rPr>
          <w:b/>
        </w:rPr>
        <w:t xml:space="preserve">摘要（ZH）: </w:t>
      </w:r>
      <w:r>
        <w:t>作者：Koyena Bose、Steven H. Simon 和 Ajit C. Balram 许多强相关态，例如在分数量子霍尔效应和自旋液体中出现的态，都是通过将粒子分成多个簇、在每个簇中构造一个易于评估的波函数以及跨这些簇进行（反）对称而获得的波函数来描述的。莱特牧师。 137, 056502] 2026 年 7 月 28 日星期二发布</w:t>
      </w:r>
    </w:p>
    <w:p>
      <w:pPr>
        <w:spacing w:before="0" w:after="200" w:lineRule="auto" w:line="276"/>
      </w:pPr>
      <w:r>
        <w:rPr>
          <w:b/>
        </w:rPr>
        <w:t xml:space="preserve">Abstract (EN): </w:t>
      </w:r>
      <w:r>
        <w:t>Author(s): Koyena Bose, Steven H. Simon, and Ajit C. BalramMany strongly correlated states, such as those arising in the fractional quantum Hall effect and spin liquids, are described by wave functions obtained by dividing particles into multiple clusters, constructing a readily evaluable wave function in each cluster, and (anti)symmetrizing across these cl…[Phys. Rev. Lett. 137, 056502] Published Tue Jul 28, 2026</w:t>
      </w:r>
    </w:p>
    <w:p>
      <w:pPr>
        <w:spacing w:before="120" w:after="120"/>
      </w:pPr>
      <w:r>
        <w:rPr>
          <w:sz w:val="18"/>
        </w:rPr>
        <w:t>——————————————————————————————————————————————————————————————————————</w:t>
      </w:r>
    </w:p>
    <w:p>
      <w:pPr>
        <w:spacing w:before="160" w:after="40" w:line="240" w:lineRule="auto"/>
      </w:pPr>
      <w:r>
        <w:rPr>
          <w:b/>
        </w:rPr>
        <w:t xml:space="preserve">[428] </w:t>
      </w:r>
      <w:hyperlink r:id="rId1207">
        <w:r>
          <w:rPr>
            <w:color w:val="1155CC"/>
            <w:u w:val="single"/>
          </w:rPr>
          <w:t>交变磁莫特绝缘体角分辨光电发射光谱理论</w:t>
        </w:r>
      </w:hyperlink>
    </w:p>
    <w:p>
      <w:pPr>
        <w:spacing w:before="0" w:after="80"/>
      </w:pPr>
      <w:r>
        <w:rPr>
          <w:i/>
          <w:sz w:val="20"/>
        </w:rPr>
        <w:t>EN: Theory of Angle Resolved Photoemission Spectroscopy of Altermagnetic Mott Insulators</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208">
        <w:r>
          <w:rPr>
            <w:color w:val="1155CC"/>
            <w:u w:val="single"/>
          </w:rPr>
          <w:t>10.1103/1d1n-cssv</w:t>
        </w:r>
      </w:hyperlink>
    </w:p>
    <w:p>
      <w:pPr>
        <w:spacing w:before="0" w:after="120"/>
      </w:pPr>
      <w:r>
        <w:rPr>
          <w:b/>
        </w:rPr>
        <w:t xml:space="preserve">Notes: </w:t>
      </w:r>
      <w:r>
        <w:t>abstract_source=rss_description</w:t>
      </w:r>
    </w:p>
    <w:p>
      <w:pPr>
        <w:spacing w:before="0" w:after="80" w:lineRule="auto" w:line="276"/>
      </w:pPr>
      <w:r>
        <w:rPr>
          <w:b/>
        </w:rPr>
        <w:t xml:space="preserve">摘要（ZH）: </w:t>
      </w:r>
      <w:r>
        <w:t>作者：Lorenzo Lanzini、Purnendu Das 和 Michael Knap 异磁性已成为一种具有空间旋转对称性的共线磁性的非常规形式，尽管存在潜在的完全补偿的反铁磁序，但仍会产生强烈的自旋分裂带。在这里，我们开发了角分辨光电子能谱研究的理论……[物理。莱特牧师。 137, 056501] 2026 年 7 月 28 日星期二发布</w:t>
      </w:r>
    </w:p>
    <w:p>
      <w:pPr>
        <w:spacing w:before="0" w:after="200" w:lineRule="auto" w:line="276"/>
      </w:pPr>
      <w:r>
        <w:rPr>
          <w:b/>
        </w:rPr>
        <w:t xml:space="preserve">Abstract (EN): </w:t>
      </w:r>
      <w:r>
        <w:t>Author(s): Lorenzo Lanzini, Purnendu Das, and Michael KnapAltermagnetism has emerged as an unconventional form of collinear magnetism with spatial rotational symmetries, that give rise to strongly spin-split bands despite an underlying fully compensated antiferromagnetic order. Here, we develop a theory for the angle resolved photoemission spectroscopy res…[Phys. Rev. Lett. 137, 056501] Published Tue Jul 28, 2026</w:t>
      </w:r>
    </w:p>
    <w:p>
      <w:pPr>
        <w:spacing w:before="120" w:after="120"/>
      </w:pPr>
      <w:r>
        <w:rPr>
          <w:sz w:val="18"/>
        </w:rPr>
        <w:t>——————————————————————————————————————————————————————————————————————</w:t>
      </w:r>
    </w:p>
    <w:p>
      <w:pPr>
        <w:spacing w:before="160" w:after="40" w:line="240" w:lineRule="auto"/>
      </w:pPr>
      <w:r>
        <w:rPr>
          <w:b/>
        </w:rPr>
        <w:t xml:space="preserve">[429] </w:t>
      </w:r>
      <w:hyperlink r:id="rId1209">
        <w:r>
          <w:rPr>
            <w:color w:val="1155CC"/>
            <w:u w:val="single"/>
          </w:rPr>
          <w:t>近边缘磁芯损耗映射中的原子分辨率超出了传统的离域限制</w:t>
        </w:r>
      </w:hyperlink>
    </w:p>
    <w:p>
      <w:pPr>
        <w:spacing w:before="0" w:after="80"/>
      </w:pPr>
      <w:r>
        <w:rPr>
          <w:i/>
          <w:sz w:val="20"/>
        </w:rPr>
        <w:t>EN: Atomic Resolution in Near-Edge Core-Loss Mapping Beyond the Conventional Delocalization Limit</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210">
        <w:r>
          <w:rPr>
            <w:color w:val="1155CC"/>
            <w:u w:val="single"/>
          </w:rPr>
          <w:t>10.1103/9y69-62kf</w:t>
        </w:r>
      </w:hyperlink>
    </w:p>
    <w:p>
      <w:pPr>
        <w:spacing w:before="0" w:after="120"/>
      </w:pPr>
      <w:r>
        <w:rPr>
          <w:b/>
        </w:rPr>
        <w:t xml:space="preserve">Notes: </w:t>
      </w:r>
      <w:r>
        <w:t>abstract_source=rss_description</w:t>
      </w:r>
    </w:p>
    <w:p>
      <w:pPr>
        <w:spacing w:before="0" w:after="80" w:lineRule="auto" w:line="276"/>
      </w:pPr>
      <w:r>
        <w:rPr>
          <w:b/>
        </w:rPr>
        <w:t xml:space="preserve">摘要（ZH）: </w:t>
      </w:r>
      <w:r>
        <w:t>作者：Jiayi Wu、Juri Barthel、Leslie J. Allen 和 Mitsutaka Haruta 核心损耗电子能量损失光谱 (EELS) 的空间分辨率受到长程库仑相互作用产生的非弹性散射离域的限制，特别是对于低能量损失的轻元素边缘。在这里，我们演示了 Si 中 Si $L$ 边缘的原子分辨率成像……[Phys.莱特牧师。 137, 056402] 2026 年 7 月 28 日星期二发布</w:t>
      </w:r>
    </w:p>
    <w:p>
      <w:pPr>
        <w:spacing w:before="0" w:after="200" w:lineRule="auto" w:line="276"/>
      </w:pPr>
      <w:r>
        <w:rPr>
          <w:b/>
        </w:rPr>
        <w:t xml:space="preserve">Abstract (EN): </w:t>
      </w:r>
      <w:r>
        <w:t>Author(s): Jiayi Wu, Juri Barthel, Leslie J. Allen, and Mitsutaka HarutaThe spatial resolution of core-loss electron energy-loss spectroscopy (EELS) is limited by the delocalization of inelastic scattering from long-range Coulomb interactions, especially for light-element edges at low energy losses. Here we demonstrate atomic-resolution imaging of the Si $L$ edge in Si …[Phys. Rev. Lett. 137, 056402] Published Tue Jul 28, 2026</w:t>
      </w:r>
    </w:p>
    <w:p>
      <w:pPr>
        <w:spacing w:before="120" w:after="120"/>
      </w:pPr>
      <w:r>
        <w:rPr>
          <w:sz w:val="18"/>
        </w:rPr>
        <w:t>——————————————————————————————————————————————————————————————————————</w:t>
      </w:r>
    </w:p>
    <w:p>
      <w:pPr>
        <w:spacing w:before="160" w:after="40" w:line="240" w:lineRule="auto"/>
      </w:pPr>
      <w:r>
        <w:rPr>
          <w:b/>
        </w:rPr>
        <w:t xml:space="preserve">[430] </w:t>
      </w:r>
      <w:hyperlink r:id="rId1211">
        <w:r>
          <w:rPr>
            <w:color w:val="1155CC"/>
            <w:u w:val="single"/>
          </w:rPr>
          <w:t>通过自旋分辨光电发射揭示隐藏的自旋偏振 Bi(110) 表面态</w:t>
        </w:r>
      </w:hyperlink>
    </w:p>
    <w:p>
      <w:pPr>
        <w:spacing w:before="0" w:after="80"/>
      </w:pPr>
      <w:r>
        <w:rPr>
          <w:i/>
          <w:sz w:val="20"/>
        </w:rPr>
        <w:t>EN: Unveiling the Hidden Spin-Polarized Bi(110) Surface States by Spin-Resolved Photoemission</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212">
        <w:r>
          <w:rPr>
            <w:color w:val="1155CC"/>
            <w:u w:val="single"/>
          </w:rPr>
          <w:t>10.1103/3vs9-4y1y</w:t>
        </w:r>
      </w:hyperlink>
    </w:p>
    <w:p>
      <w:pPr>
        <w:spacing w:before="0" w:after="120"/>
      </w:pPr>
      <w:r>
        <w:rPr>
          <w:b/>
        </w:rPr>
        <w:t xml:space="preserve">Notes: </w:t>
      </w:r>
      <w:r>
        <w:t>abstract_source=rss_description</w:t>
      </w:r>
    </w:p>
    <w:p>
      <w:pPr>
        <w:spacing w:before="0" w:after="80" w:lineRule="auto" w:line="276"/>
      </w:pPr>
      <w:r>
        <w:rPr>
          <w:b/>
        </w:rPr>
        <w:t xml:space="preserve">摘要（ZH）: </w:t>
      </w:r>
      <w:r>
        <w:t>作者：Taichi Okuda、Tatsuya Shishidou、Munisa Nurmamat、Kazuki Sumida、Eike Schwier、Koji Miyamoto 和 Michael Weinert 利用自旋和角度分辨光电子能谱研究了 Bi(110) 表面态的完整三维自旋织构。观察到的复杂面内自旋织构与之前的报道和第一性原理计算基本一致，并且之前的u…[Phys.莱特牧师。 137, 056401] 2026 年 7 月 28 日星期二发布</w:t>
      </w:r>
    </w:p>
    <w:p>
      <w:pPr>
        <w:spacing w:before="0" w:after="200" w:lineRule="auto" w:line="276"/>
      </w:pPr>
      <w:r>
        <w:rPr>
          <w:b/>
        </w:rPr>
        <w:t xml:space="preserve">Abstract (EN): </w:t>
      </w:r>
      <w:r>
        <w:t>Author(s): Taichi Okuda, Tatsuya Shishidou, Munisa Nurmamat, Kazuki Sumida, Eike Schwier, Koji Miyamoto, and Michael WeinertThe full three-dimensional spin texture of the Bi(110) surface states has been investigated by means of spin- and angle-resolved photoemission spectroscopy. The observed complex in-plane spin texture is in basic agreement with the prior reports and first-principles calculations, and the previously u…[Phys. Rev. Lett. 137, 056401] Published Tue Jul 28, 2026</w:t>
      </w:r>
    </w:p>
    <w:p>
      <w:pPr>
        <w:spacing w:before="120" w:after="120"/>
      </w:pPr>
      <w:r>
        <w:rPr>
          <w:sz w:val="18"/>
        </w:rPr>
        <w:t>——————————————————————————————————————————————————————————————————————</w:t>
      </w:r>
    </w:p>
    <w:p>
      <w:pPr>
        <w:spacing w:before="160" w:after="40" w:line="240" w:lineRule="auto"/>
      </w:pPr>
      <w:r>
        <w:rPr>
          <w:b/>
        </w:rPr>
        <w:t xml:space="preserve">[431] </w:t>
      </w:r>
      <w:hyperlink r:id="rId1213">
        <w:r>
          <w:rPr>
            <w:color w:val="1155CC"/>
            <w:u w:val="single"/>
          </w:rPr>
          <w:t>使用 DAMPE 太空任务测量 10 GeV/n 至 2 TeV/n 的宇宙射线镍能谱</w:t>
        </w:r>
      </w:hyperlink>
    </w:p>
    <w:p>
      <w:pPr>
        <w:spacing w:before="0" w:after="80"/>
      </w:pPr>
      <w:r>
        <w:rPr>
          <w:i/>
          <w:sz w:val="20"/>
        </w:rPr>
        <w:t>EN: Measurement of the Cosmic Ray Nickel Energy Spectrum from 10 GeV/n to 2 TeV/n with the DAMPE Space Mission</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214">
        <w:r>
          <w:rPr>
            <w:color w:val="1155CC"/>
            <w:u w:val="single"/>
          </w:rPr>
          <w:t>10.1103/p9zs-g8ky</w:t>
        </w:r>
      </w:hyperlink>
    </w:p>
    <w:p>
      <w:pPr>
        <w:spacing w:before="0" w:after="120"/>
      </w:pPr>
      <w:r>
        <w:rPr>
          <w:b/>
        </w:rPr>
        <w:t xml:space="preserve">Notes: </w:t>
      </w:r>
      <w:r>
        <w:t>abstract_source=rss_description</w:t>
      </w:r>
    </w:p>
    <w:p>
      <w:pPr>
        <w:spacing w:before="0" w:after="80" w:lineRule="auto" w:line="276"/>
      </w:pPr>
      <w:r>
        <w:rPr>
          <w:b/>
        </w:rPr>
        <w:t xml:space="preserve">摘要（ZH）: </w:t>
      </w:r>
      <w:r>
        <w:t>作者：F. Alemanno 等人。 （DAMPE 合作）镍是与铁结合最紧密的原子核之一，是宇宙射线中除铁之外最丰富的重元素。凭借 DAMPE 出色的电荷分辨率和广泛的能量范围，高精度能谱为重核和 t 的加速源提供了宝贵的见解……[Phys.莱特牧师。 137, 051001] 2026 年 7 月 28 日星期二发布</w:t>
      </w:r>
    </w:p>
    <w:p>
      <w:pPr>
        <w:spacing w:before="0" w:after="200" w:lineRule="auto" w:line="276"/>
      </w:pPr>
      <w:r>
        <w:rPr>
          <w:b/>
        </w:rPr>
        <w:t xml:space="preserve">Abstract (EN): </w:t>
      </w:r>
      <w:r>
        <w:t>Author(s): F. Alemanno et al. (DAMPE Collaboration)Nickel, one of the most tightly bound nuclei alongside iron, is the most abundant heavy element beyond iron in cosmic rays. With DAMPE’s excellent charge resolution and broad energy range, a high-precision energy spectrum provides valuable insights into the acceleration sources of heavy nuclei and t…[Phys. Rev. Lett. 137, 051001] Published Tue Jul 28, 2026</w:t>
      </w:r>
    </w:p>
    <w:p>
      <w:pPr>
        <w:spacing w:before="120" w:after="120"/>
      </w:pPr>
      <w:r>
        <w:rPr>
          <w:sz w:val="18"/>
        </w:rPr>
        <w:t>——————————————————————————————————————————————————————————————————————</w:t>
      </w:r>
    </w:p>
    <w:p>
      <w:pPr>
        <w:spacing w:before="160" w:after="40" w:line="240" w:lineRule="auto"/>
      </w:pPr>
      <w:r>
        <w:rPr>
          <w:b/>
        </w:rPr>
        <w:t xml:space="preserve">[432] </w:t>
      </w:r>
      <w:hyperlink r:id="rId1215">
        <w:r>
          <w:rPr>
            <w:color w:val="1155CC"/>
            <w:u w:val="single"/>
          </w:rPr>
          <w:t>通过应变下的弹热效应探测候选交变磁体 ${\mathrm{MnF}}_{2}$ 中的多极序</w:t>
        </w:r>
      </w:hyperlink>
    </w:p>
    <w:p>
      <w:pPr>
        <w:spacing w:before="0" w:after="80"/>
      </w:pPr>
      <w:r>
        <w:rPr>
          <w:i/>
          <w:sz w:val="20"/>
        </w:rPr>
        <w:t>EN: Probing Multipolar Order in the Candidate Altermagnet ${\mathrm{MnF}}_{2}$ through the Elastocaloric Effect under Strain</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216">
        <w:r>
          <w:rPr>
            <w:color w:val="1155CC"/>
            <w:u w:val="single"/>
          </w:rPr>
          <w:t>10.1103/svrz-315w</w:t>
        </w:r>
      </w:hyperlink>
    </w:p>
    <w:p>
      <w:pPr>
        <w:spacing w:before="0" w:after="120"/>
      </w:pPr>
      <w:r>
        <w:rPr>
          <w:b/>
        </w:rPr>
        <w:t xml:space="preserve">Notes: </w:t>
      </w:r>
      <w:r>
        <w:t>abstract_source=rss_description</w:t>
      </w:r>
    </w:p>
    <w:p>
      <w:pPr>
        <w:spacing w:before="0" w:after="80" w:lineRule="auto" w:line="276"/>
      </w:pPr>
      <w:r>
        <w:rPr>
          <w:b/>
        </w:rPr>
        <w:t xml:space="preserve">摘要（ZH）: </w:t>
      </w:r>
      <w:r>
        <w:t>作者：Rahel Ohlendorf、Luca Buiarelli、Hilary M. L. Noad、Andrew P. Mackenzie、Rafael M. Fernandes、Turan Birol、Jörg Schmarian 和 Elena Gati 通过将对称引导应变和磁场调谐与高度灵敏的弹热测量和第一原理相结合，实现了 MnF2 交变磁性的首次明确整体确认理论。[物理。莱特牧师。 137, 056702] 2026 年 7 月 28 日星期二发布</w:t>
      </w:r>
    </w:p>
    <w:p>
      <w:pPr>
        <w:spacing w:before="0" w:after="200" w:lineRule="auto" w:line="276"/>
      </w:pPr>
      <w:r>
        <w:rPr>
          <w:b/>
        </w:rPr>
        <w:t xml:space="preserve">Abstract (EN): </w:t>
      </w:r>
      <w:r>
        <w:t>Author(s): Rahel Ohlendorf, Luca Buiarelli, Hilary M. L. Noad, Andrew P. Mackenzie, Rafael M. Fernandes, Turan Birol, Jörg Schmalian, and Elena GatiThe first unambiguous bulk confirmation of altermagnetism in MnF2 is achieved by combining symmetry-guided strain and magnetic-field tuning with highly sensitive elastocaloric measurements and first-principles theory.[Phys. Rev. Lett. 137, 056702] Published Tue Jul 28, 2026</w:t>
      </w:r>
    </w:p>
    <w:p>
      <w:pPr>
        <w:spacing w:before="120" w:after="120"/>
      </w:pPr>
      <w:r>
        <w:rPr>
          <w:sz w:val="18"/>
        </w:rPr>
        <w:t>——————————————————————————————————————————————————————————————————————</w:t>
      </w:r>
    </w:p>
    <w:p>
      <w:pPr>
        <w:spacing w:before="160" w:after="40" w:line="240" w:lineRule="auto"/>
      </w:pPr>
      <w:r>
        <w:rPr>
          <w:b/>
        </w:rPr>
        <w:t xml:space="preserve">[433] </w:t>
      </w:r>
      <w:hyperlink r:id="rId1217">
        <w:r>
          <w:rPr>
            <w:color w:val="1155CC"/>
            <w:u w:val="single"/>
          </w:rPr>
          <w:t>相对论电子束与强激光以掠射角相互作用产生相干阿秒脉冲</w:t>
        </w:r>
      </w:hyperlink>
    </w:p>
    <w:p>
      <w:pPr>
        <w:spacing w:before="0" w:after="80"/>
      </w:pPr>
      <w:r>
        <w:rPr>
          <w:i/>
          <w:sz w:val="20"/>
        </w:rPr>
        <w:t>EN: Coherent Attosecond Pulses Generated by a Relativistic Electron Beam Interacting with an Intense Laser at a Grazing Angle</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218">
        <w:r>
          <w:rPr>
            <w:color w:val="1155CC"/>
            <w:u w:val="single"/>
          </w:rPr>
          <w:t>10.1103/7hy5-kf31</w:t>
        </w:r>
      </w:hyperlink>
    </w:p>
    <w:p>
      <w:pPr>
        <w:spacing w:before="0" w:after="120"/>
      </w:pPr>
      <w:r>
        <w:rPr>
          <w:b/>
        </w:rPr>
        <w:t xml:space="preserve">Notes: </w:t>
      </w:r>
      <w:r>
        <w:t>abstract_source=rss_description</w:t>
      </w:r>
    </w:p>
    <w:p>
      <w:pPr>
        <w:spacing w:before="0" w:after="80" w:lineRule="auto" w:line="276"/>
      </w:pPr>
      <w:r>
        <w:rPr>
          <w:b/>
        </w:rPr>
        <w:t xml:space="preserve">摘要（ZH）: </w:t>
      </w:r>
      <w:r>
        <w:t>作者：H. Peng、T. W. Huang、C. N. Wu、K. Jiang、R. Li、C. Riconda、S. Weber 和 C. T. Zhou 相对论电子束与强激光场之间的相互作用已被广泛研究以产生高能辐射。然而，从这种相互作用中实现相干辐射需要精确控制辐射电子的相位匹配，这已被证明是……[物理。莱特牧师。 137, 055101] 2026 年 7 月 28 日星期二发布</w:t>
      </w:r>
    </w:p>
    <w:p>
      <w:pPr>
        <w:spacing w:before="0" w:after="200" w:lineRule="auto" w:line="276"/>
      </w:pPr>
      <w:r>
        <w:rPr>
          <w:b/>
        </w:rPr>
        <w:t xml:space="preserve">Abstract (EN): </w:t>
      </w:r>
      <w:r>
        <w:t>Author(s): H. Peng, T. W. Huang, C. N. Wu, K. Jiang, R. Li, C. Riconda, S. Weber, and C. T. ZhouThe interaction between relativistic electron beams and intense laser fields has been extensively studied for generating high-energy radiation. However, achieving coherent radiation from such interactions needs to precisely control the phase matching of the radiating electrons, which has proven to b…[Phys. Rev. Lett. 137, 055101] Published Tue Jul 28, 2026</w:t>
      </w:r>
    </w:p>
    <w:p>
      <w:pPr>
        <w:spacing w:before="120" w:after="120"/>
      </w:pPr>
      <w:r>
        <w:rPr>
          <w:sz w:val="18"/>
        </w:rPr>
        <w:t>——————————————————————————————————————————————————————————————————————</w:t>
      </w:r>
    </w:p>
    <w:p>
      <w:pPr>
        <w:spacing w:before="160" w:after="40" w:line="240" w:lineRule="auto"/>
      </w:pPr>
      <w:r>
        <w:rPr>
          <w:b/>
        </w:rPr>
        <w:t xml:space="preserve">[434] </w:t>
      </w:r>
      <w:hyperlink r:id="rId1219">
        <w:r>
          <w:rPr>
            <w:color w:val="1155CC"/>
            <w:u w:val="single"/>
          </w:rPr>
          <w:t>开放量子系统反馈控制的确定性方程</w:t>
        </w:r>
      </w:hyperlink>
    </w:p>
    <w:p>
      <w:pPr>
        <w:spacing w:before="0" w:after="80"/>
      </w:pPr>
      <w:r>
        <w:rPr>
          <w:i/>
          <w:sz w:val="20"/>
        </w:rPr>
        <w:t>EN: Deterministic Equations for Feedback Control of Open Quantum Systems</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220">
        <w:r>
          <w:rPr>
            <w:color w:val="1155CC"/>
            <w:u w:val="single"/>
          </w:rPr>
          <w:t>10.1103/pg2p-h529</w:t>
        </w:r>
      </w:hyperlink>
    </w:p>
    <w:p>
      <w:pPr>
        <w:spacing w:before="0" w:after="120"/>
      </w:pPr>
      <w:r>
        <w:rPr>
          <w:b/>
        </w:rPr>
        <w:t xml:space="preserve">Notes: </w:t>
      </w:r>
      <w:r>
        <w:t>abstract_source=rss_description</w:t>
      </w:r>
    </w:p>
    <w:p>
      <w:pPr>
        <w:spacing w:before="0" w:after="80" w:lineRule="auto" w:line="276"/>
      </w:pPr>
      <w:r>
        <w:rPr>
          <w:b/>
        </w:rPr>
        <w:t xml:space="preserve">摘要（ZH）: </w:t>
      </w:r>
      <w:r>
        <w:t>作者：Alberto J. B. Rosal、Patrick P. Potts 和 Gabriel T. Landi 开放量子动力学中的反馈控制对于各种相干平台的进步至关重要。然而，目前文献中只存在少数反馈主方程，这些方程仅限于特定类型的反馈。在这封信中，我们首先介绍一个统一的框架，……[物理。莱特牧师。 137, 050401] 于 2026 年 7 月 28 日星期二发布</w:t>
      </w:r>
    </w:p>
    <w:p>
      <w:pPr>
        <w:spacing w:before="0" w:after="200" w:lineRule="auto" w:line="276"/>
      </w:pPr>
      <w:r>
        <w:rPr>
          <w:b/>
        </w:rPr>
        <w:t xml:space="preserve">Abstract (EN): </w:t>
      </w:r>
      <w:r>
        <w:t>Author(s): Alberto J. B. Rosal, Patrick P. Potts, and Gabriel T. LandiFeedback control in open quantum dynamics is crucial for the advancement of various coherent platforms. However, currently only a handful of feedback master equations exist in the literature, which are restricted to specific types of feedback. In this letter we first introduce a unifying framework, …[Phys. Rev. Lett. 137, 050401] Published Tue Jul 28, 2026</w:t>
      </w:r>
    </w:p>
    <w:p>
      <w:pPr>
        <w:spacing w:before="120" w:after="120"/>
      </w:pPr>
      <w:r>
        <w:rPr>
          <w:sz w:val="18"/>
        </w:rPr>
        <w:t>——————————————————————————————————————————————————————————————————————</w:t>
      </w:r>
    </w:p>
    <w:p>
      <w:pPr>
        <w:spacing w:before="160" w:after="40" w:line="240" w:lineRule="auto"/>
      </w:pPr>
      <w:r>
        <w:rPr>
          <w:b/>
        </w:rPr>
        <w:t xml:space="preserve">[435] </w:t>
      </w:r>
      <w:hyperlink r:id="rId1221">
        <w:r>
          <w:rPr>
            <w:color w:val="1155CC"/>
            <w:u w:val="single"/>
          </w:rPr>
          <w:t>量子淬灭敏化的悬浮纳米加速度计</w:t>
        </w:r>
      </w:hyperlink>
    </w:p>
    <w:p>
      <w:pPr>
        <w:spacing w:before="0" w:after="80"/>
      </w:pPr>
      <w:r>
        <w:rPr>
          <w:i/>
          <w:sz w:val="20"/>
        </w:rPr>
        <w:t>EN: Levitated Nano-accelerometer Sensitized by Quantum Quench</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222">
        <w:r>
          <w:rPr>
            <w:color w:val="1155CC"/>
            <w:u w:val="single"/>
          </w:rPr>
          <w:t>10.1103/js43-kq48</w:t>
        </w:r>
      </w:hyperlink>
    </w:p>
    <w:p>
      <w:pPr>
        <w:spacing w:before="0" w:after="120"/>
      </w:pPr>
      <w:r>
        <w:rPr>
          <w:b/>
        </w:rPr>
        <w:t xml:space="preserve">Notes: </w:t>
      </w:r>
      <w:r>
        <w:t>abstract_source=rss_description</w:t>
      </w:r>
    </w:p>
    <w:p>
      <w:pPr>
        <w:spacing w:before="0" w:after="80" w:lineRule="auto" w:line="276"/>
      </w:pPr>
      <w:r>
        <w:rPr>
          <w:b/>
        </w:rPr>
        <w:t xml:space="preserve">摘要（ZH）: </w:t>
      </w:r>
      <w:r>
        <w:t>作者：M. Kamba、S. Otabe、K. Funo、T. Sakawa 和 K. Aikawa 我们实现了一种纳米级加速度计，其中带有接近基态的悬浮纳米粒子，利用其捕获势的突然淬灭所触发的动力学行为。我们发现快速猝灭提供了一个读出时间，其中灵敏度提高了 2 个数量级……[Phys.莱特牧师。 137, 050801] 2026 年 7 月 28 日星期二发布</w:t>
      </w:r>
    </w:p>
    <w:p>
      <w:pPr>
        <w:spacing w:before="0" w:after="200" w:lineRule="auto" w:line="276"/>
      </w:pPr>
      <w:r>
        <w:rPr>
          <w:b/>
        </w:rPr>
        <w:t xml:space="preserve">Abstract (EN): </w:t>
      </w:r>
      <w:r>
        <w:t>Author(s): M. Kamba, S. Otabe, K. Funo, T. Sagawa, and K. AikawaWe realize a nanoscale accelerometer with a levitated nanoparticle near the ground state, exploiting its dynamical behavior triggered by the abrupt quench of its trapping potential. We find that rapid quenching provides a readout time at which the sensitivity is enhanced by 2 orders of magnitude wit…[Phys. Rev. Lett. 137, 050801] Published Tue Jul 28, 2026</w:t>
      </w:r>
    </w:p>
    <w:p>
      <w:pPr>
        <w:spacing w:before="120" w:after="120"/>
      </w:pPr>
      <w:r>
        <w:rPr>
          <w:sz w:val="18"/>
        </w:rPr>
        <w:t>——————————————————————————————————————————————————————————————————————</w:t>
      </w:r>
    </w:p>
    <w:p>
      <w:pPr>
        <w:spacing w:before="160" w:after="40" w:line="240" w:lineRule="auto"/>
      </w:pPr>
      <w:r>
        <w:rPr>
          <w:b/>
        </w:rPr>
        <w:t xml:space="preserve">[436] </w:t>
      </w:r>
      <w:hyperlink r:id="rId1223">
        <w:r>
          <w:rPr>
            <w:color w:val="1155CC"/>
            <w:u w:val="single"/>
          </w:rPr>
          <w:t>观察可调谐超导玻色-哈伯德模拟器中的量子相关动力学</w:t>
        </w:r>
      </w:hyperlink>
    </w:p>
    <w:p>
      <w:pPr>
        <w:spacing w:before="0" w:after="80"/>
      </w:pPr>
      <w:r>
        <w:rPr>
          <w:i/>
          <w:sz w:val="20"/>
        </w:rPr>
        <w:t>EN: Observing Quantum Correlation Dynamics in Tunable Superconducting Bose-Hubbard Simulators</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224">
        <w:r>
          <w:rPr>
            <w:color w:val="1155CC"/>
            <w:u w:val="single"/>
          </w:rPr>
          <w:t>10.1103/hj9h-3tjc</w:t>
        </w:r>
      </w:hyperlink>
    </w:p>
    <w:p>
      <w:pPr>
        <w:spacing w:before="0" w:after="120"/>
      </w:pPr>
      <w:r>
        <w:rPr>
          <w:b/>
        </w:rPr>
        <w:t xml:space="preserve">Notes: </w:t>
      </w:r>
      <w:r>
        <w:t>abstract_source=rss_description</w:t>
      </w:r>
    </w:p>
    <w:p>
      <w:pPr>
        <w:spacing w:before="0" w:after="80" w:lineRule="auto" w:line="276"/>
      </w:pPr>
      <w:r>
        <w:rPr>
          <w:b/>
        </w:rPr>
        <w:t xml:space="preserve">摘要（ZH）: </w:t>
      </w:r>
      <w:r>
        <w:t>作者：Z. T. Wang、Si-Yun Zhou、Yun-Hao Shi、Kaixuan Huang、Z. H. Yang、Jingning Zhu、Kui Chao、Yueshan Xu、Hao Li、S.K. Zhao、Yulong Feng、Guangming Xu、Yu Liu、Wei-Guo Ma、Cai-Ping Fang、Hao-Tian Liu、Yong-Yi Wang、Kai Xu、Haipeng Yu、Heng Fan 和 S.P. Zhao量子关联的动力学对于理解量子关联的动力学至关重要量子系统的许多物理特性。在这里，我们通过超导 Bose-Hubbard qutrit 阵列中的双粒子量子行走实验研究相关动力学，并通过 Floquet 实现可调节的现场相互作用 $U$ ...[Phys.莱特牧师。 137, 050603] 2026 年 7 月 28 日星期二发布</w:t>
      </w:r>
    </w:p>
    <w:p>
      <w:pPr>
        <w:spacing w:before="0" w:after="200" w:lineRule="auto" w:line="276"/>
      </w:pPr>
      <w:r>
        <w:rPr>
          <w:b/>
        </w:rPr>
        <w:t xml:space="preserve">Abstract (EN): </w:t>
      </w:r>
      <w:r>
        <w:t>Author(s): Z. T. Wang, Si-Yun Zhou, Yun-Hao Shi, Kaixuan Huang, Z. H. Yang, Jingning Zhang, Kui Zhao, Yueshan Xu, Hao Li, S. K. Zhao, Yulong Feng, Guangming Xue, Yu Liu, Wei-Guo Ma, Cai-Ping Fang, Hao-Tian Liu, Yong-Yi Wang, Kai Xu, Haifeng Yu, Heng Fan, and S. P. ZhaoThe dynamics of quantum correlations are central to understanding many physical properties of quantum systems. Here we experimentally study the correlation dynamics via two-particle quantum walks in superconducting Bose-Hubbard qutrit arrays, with tunable on-site interaction $U$ realized by Floquet …[Phys. Rev. Lett. 137, 050603] Published Tue Jul 28, 2026</w:t>
      </w:r>
    </w:p>
    <w:p>
      <w:pPr>
        <w:spacing w:before="120" w:after="120"/>
      </w:pPr>
      <w:r>
        <w:rPr>
          <w:sz w:val="18"/>
        </w:rPr>
        <w:t>——————————————————————————————————————————————————————————————————————</w:t>
      </w:r>
    </w:p>
    <w:p>
      <w:pPr>
        <w:spacing w:before="160" w:after="40" w:line="240" w:lineRule="auto"/>
      </w:pPr>
      <w:r>
        <w:rPr>
          <w:b/>
        </w:rPr>
        <w:t xml:space="preserve">[437] </w:t>
      </w:r>
      <w:hyperlink r:id="rId1225">
        <w:r>
          <w:rPr>
            <w:color w:val="1155CC"/>
            <w:u w:val="single"/>
          </w:rPr>
          <w:t>随机通道中轨道角动量纠缠的拓扑鲁棒性</w:t>
        </w:r>
      </w:hyperlink>
    </w:p>
    <w:p>
      <w:pPr>
        <w:spacing w:before="0" w:after="80"/>
      </w:pPr>
      <w:r>
        <w:rPr>
          <w:i/>
          <w:sz w:val="20"/>
        </w:rPr>
        <w:t>EN: Topological Robustness of Orbital Angular Momentum Entanglement in Stochastic Channels</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226">
        <w:r>
          <w:rPr>
            <w:color w:val="1155CC"/>
            <w:u w:val="single"/>
          </w:rPr>
          <w:t>10.1103/9pdm-1d27</w:t>
        </w:r>
      </w:hyperlink>
    </w:p>
    <w:p>
      <w:pPr>
        <w:spacing w:before="0" w:after="120"/>
      </w:pPr>
      <w:r>
        <w:rPr>
          <w:b/>
        </w:rPr>
        <w:t xml:space="preserve">Notes: </w:t>
      </w:r>
      <w:r>
        <w:t>abstract_source=rss_description</w:t>
      </w:r>
    </w:p>
    <w:p>
      <w:pPr>
        <w:spacing w:before="0" w:after="80" w:lineRule="auto" w:line="276"/>
      </w:pPr>
      <w:r>
        <w:rPr>
          <w:b/>
        </w:rPr>
        <w:t xml:space="preserve">摘要（ZH）: </w:t>
      </w:r>
      <w:r>
        <w:t>作者：Tatjana Kleine、Pedro Ornelas、Cade Peters、Zhenyuuo、Bereneice Sephton、Isaac Nape、Yijie Shen 和 Andrew Forbes 轨道角动量 (OAM) 纠缠可以访问多个量子比特和高维希尔伯特空间，但不幸的是容易受到干扰，在现实世界的噪声通道中衰减。在这里，我们证明了由 OAM 纠缠产生的底层拓扑对于这种通道仍然具有鲁棒性......[Phys。莱特牧师。 137, 050602] 2026 年 7 月 28 日星期二发布</w:t>
      </w:r>
    </w:p>
    <w:p>
      <w:pPr>
        <w:spacing w:before="0" w:after="200" w:lineRule="auto" w:line="276"/>
      </w:pPr>
      <w:r>
        <w:rPr>
          <w:b/>
        </w:rPr>
        <w:t xml:space="preserve">Abstract (EN): </w:t>
      </w:r>
      <w:r>
        <w:t>Author(s): Tatjana Kleine, Pedro Ornelas, Cade Peters, Zhenyu Guo, Bereneice Sephton, Isaac Nape, Yijie Shen, and Andrew ForbesOrbital angular momentum (OAM) entanglement gives access to multiple qubit and high dimensional Hilbert spaces but is unfortunately susceptible to disturbance, decaying in real-world noisy channels. Here, we show that an underlying topology arising from OAM entanglement remains robust to such channe…[Phys. Rev. Lett. 137, 050602] Published Tue Jul 28, 2026</w:t>
      </w:r>
    </w:p>
    <w:p>
      <w:pPr>
        <w:spacing w:before="120" w:after="120"/>
      </w:pPr>
      <w:r>
        <w:rPr>
          <w:sz w:val="18"/>
        </w:rPr>
        <w:t>——————————————————————————————————————————————————————————————————————</w:t>
      </w:r>
    </w:p>
    <w:p>
      <w:pPr>
        <w:spacing w:before="160" w:after="40" w:line="240" w:lineRule="auto"/>
      </w:pPr>
      <w:r>
        <w:rPr>
          <w:b/>
        </w:rPr>
        <w:t xml:space="preserve">[438] </w:t>
      </w:r>
      <w:hyperlink r:id="rId1227">
        <w:r>
          <w:rPr>
            <w:color w:val="1155CC"/>
            <w:u w:val="single"/>
          </w:rPr>
          <w:t>反集中（几乎）就是你所需要的</w:t>
        </w:r>
      </w:hyperlink>
    </w:p>
    <w:p>
      <w:pPr>
        <w:spacing w:before="0" w:after="80"/>
      </w:pPr>
      <w:r>
        <w:rPr>
          <w:i/>
          <w:sz w:val="20"/>
        </w:rPr>
        <w:t>EN: Anticoncentration is (Almost) All You Need</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228">
        <w:r>
          <w:rPr>
            <w:color w:val="1155CC"/>
            <w:u w:val="single"/>
          </w:rPr>
          <w:t>10.1103/z3mp-5gml</w:t>
        </w:r>
      </w:hyperlink>
    </w:p>
    <w:p>
      <w:pPr>
        <w:spacing w:before="0" w:after="120"/>
      </w:pPr>
      <w:r>
        <w:rPr>
          <w:b/>
        </w:rPr>
        <w:t xml:space="preserve">Notes: </w:t>
      </w:r>
      <w:r>
        <w:t>abstract_source=rss_description</w:t>
      </w:r>
    </w:p>
    <w:p>
      <w:pPr>
        <w:spacing w:before="0" w:after="80" w:lineRule="auto" w:line="276"/>
      </w:pPr>
      <w:r>
        <w:rPr>
          <w:b/>
        </w:rPr>
        <w:t xml:space="preserve">摘要（ZH）: </w:t>
      </w:r>
      <w:r>
        <w:t>作者：Markus Heinrich、Jonas Haferkamp、Ingo Roth 和 Jonas Helsen 直到最近，人们普遍认为（近似）2-设计性质严格强于随机量子电路的反集中，主要是因为研究表明后者在对数深度上反集中，而前者通常需要线性深度电路。你……[物理。莱特牧师。 137, 050601] 2026 年 7 月 28 日星期二发布</w:t>
      </w:r>
    </w:p>
    <w:p>
      <w:pPr>
        <w:spacing w:before="0" w:after="200" w:lineRule="auto" w:line="276"/>
      </w:pPr>
      <w:r>
        <w:rPr>
          <w:b/>
        </w:rPr>
        <w:t xml:space="preserve">Abstract (EN): </w:t>
      </w:r>
      <w:r>
        <w:t>Author(s): Markus Heinrich, Jonas Haferkamp, Ingo Roth, and Jonas HelsenUntil very recently, it was generally believed that the (approximate) 2-design property is strictly stronger than anticoncentration of random quantum circuits, mainly because it was shown that the latter anticoncentrate in logarithmic depth, while the former generally need linear depth circuits. Thi…[Phys. Rev. Lett. 137, 050601] Published Tue Jul 28, 2026</w:t>
      </w:r>
    </w:p>
    <w:p>
      <w:pPr>
        <w:spacing w:before="120" w:after="120"/>
      </w:pPr>
      <w:r>
        <w:rPr>
          <w:sz w:val="18"/>
        </w:rPr>
        <w:t>——————————————————————————————————————————————————————————————————————</w:t>
      </w:r>
    </w:p>
    <w:p>
      <w:pPr>
        <w:spacing w:before="160" w:after="40" w:line="240" w:lineRule="auto"/>
      </w:pPr>
      <w:r>
        <w:rPr>
          <w:b/>
        </w:rPr>
        <w:t xml:space="preserve">[439] </w:t>
      </w:r>
      <w:hyperlink r:id="rId1229">
        <w:r>
          <w:rPr>
            <w:color w:val="1155CC"/>
            <w:u w:val="single"/>
          </w:rPr>
          <w:t>$^{98–106}\mathrm{Ru}$ 同位素中的形状相变、共存和混合</w:t>
        </w:r>
      </w:hyperlink>
    </w:p>
    <w:p>
      <w:pPr>
        <w:spacing w:before="0" w:after="80"/>
      </w:pPr>
      <w:r>
        <w:rPr>
          <w:i/>
          <w:sz w:val="20"/>
        </w:rPr>
        <w:t>EN: Shape phase transition, coexistence, and mixing in the $^{98–106}\mathrm{Ru}$ isotopes</w:t>
      </w:r>
    </w:p>
    <w:p>
      <w:pPr>
        <w:spacing w:before="0" w:after="120"/>
      </w:pPr>
      <w:r>
        <w:rPr>
          <w:b/>
        </w:rPr>
        <w:t xml:space="preserve">Source: </w:t>
      </w:r>
      <w:r>
        <w:t>Recent Articles in Phys. Rev. C</w:t>
      </w:r>
      <w:r>
        <w:t xml:space="preserve">    </w:t>
      </w:r>
      <w:r>
        <w:rPr>
          <w:b/>
        </w:rPr>
        <w:t xml:space="preserve">Pub date: </w:t>
      </w:r>
      <w:r>
        <w:t>2026-07-28 10:00:00+00:00</w:t>
      </w:r>
      <w:r>
        <w:t xml:space="preserve">    </w:t>
      </w:r>
      <w:r>
        <w:rPr>
          <w:b/>
        </w:rPr>
        <w:t xml:space="preserve">DOI: </w:t>
      </w:r>
      <w:hyperlink r:id="rId1230">
        <w:r>
          <w:rPr>
            <w:color w:val="1155CC"/>
            <w:u w:val="single"/>
          </w:rPr>
          <w:t>10.1103/tr8y-kcyq</w:t>
        </w:r>
      </w:hyperlink>
    </w:p>
    <w:p>
      <w:pPr>
        <w:spacing w:before="0" w:after="120"/>
      </w:pPr>
      <w:r>
        <w:rPr>
          <w:b/>
        </w:rPr>
        <w:t xml:space="preserve">Notes: </w:t>
      </w:r>
      <w:r>
        <w:t>abstract_source=rss_description</w:t>
      </w:r>
    </w:p>
    <w:p>
      <w:pPr>
        <w:spacing w:before="0" w:after="80" w:lineRule="auto" w:line="276"/>
      </w:pPr>
      <w:r>
        <w:rPr>
          <w:b/>
        </w:rPr>
        <w:t xml:space="preserve">摘要（ZH）: </w:t>
      </w:r>
      <w:r>
        <w:t>作者：R. Budaca、P. Buganu、F. El Ouardi 和 A. Lahbas$^{98–106}\mathrm{Ru}$ 偶偶同位素链内的变形特性通过协变密度泛函理论和密度相关的点耦合 x 参数化进行研究。所考虑的原子核被发现表现出非常浅的扁长形和三轴地面......[物理。 Rev. C 114, 014335] 于 2026 年 7 月 28 日星期二发布</w:t>
      </w:r>
    </w:p>
    <w:p>
      <w:pPr>
        <w:spacing w:before="0" w:after="200" w:lineRule="auto" w:line="276"/>
      </w:pPr>
      <w:r>
        <w:rPr>
          <w:b/>
        </w:rPr>
        <w:t xml:space="preserve">Abstract (EN): </w:t>
      </w:r>
      <w:r>
        <w:t>Author(s): R. Budaca, P. Buganu, F. El Ouardi, and A. LahbasThe deformation properties within the $^{98–106}\mathrm{Ru}$ even-even isotopic chain, are investigated by means of the covariant density functional theory with a density-dependent point-coupling x parametrization. The considered nuclei are found to exhibit very shallow prolate and triaxial ground-s…[Phys. Rev. C 114, 014335] Published Tue Jul 28, 2026</w:t>
      </w:r>
    </w:p>
    <w:p>
      <w:pPr>
        <w:spacing w:before="120" w:after="120"/>
      </w:pPr>
      <w:r>
        <w:rPr>
          <w:sz w:val="18"/>
        </w:rPr>
        <w:t>——————————————————————————————————————————————————————————————————————</w:t>
      </w:r>
    </w:p>
    <w:p>
      <w:pPr>
        <w:spacing w:before="160" w:after="40" w:line="240" w:lineRule="auto"/>
      </w:pPr>
      <w:r>
        <w:rPr>
          <w:b/>
        </w:rPr>
        <w:t xml:space="preserve">[440] </w:t>
      </w:r>
      <w:hyperlink r:id="rId1231">
        <w:r>
          <w:rPr>
            <w:color w:val="1155CC"/>
            <w:u w:val="single"/>
          </w:rPr>
          <w:t>与非旁观者片段的包容性分解反应：Ichimura-Austern-Vincent 和规则的推广</w:t>
        </w:r>
      </w:hyperlink>
    </w:p>
    <w:p>
      <w:pPr>
        <w:spacing w:before="0" w:after="80"/>
      </w:pPr>
      <w:r>
        <w:rPr>
          <w:i/>
          <w:sz w:val="20"/>
        </w:rPr>
        <w:t>EN: Inclusive breakup reactions with nonspectator fragments: Generalization of the Ichimura-Austern-Vincent sum rules</w:t>
      </w:r>
    </w:p>
    <w:p>
      <w:pPr>
        <w:spacing w:before="0" w:after="120"/>
      </w:pPr>
      <w:r>
        <w:rPr>
          <w:b/>
        </w:rPr>
        <w:t xml:space="preserve">Source: </w:t>
      </w:r>
      <w:r>
        <w:t>Recent Articles in Phys. Rev. C</w:t>
      </w:r>
      <w:r>
        <w:t xml:space="preserve">    </w:t>
      </w:r>
      <w:r>
        <w:rPr>
          <w:b/>
        </w:rPr>
        <w:t xml:space="preserve">Pub date: </w:t>
      </w:r>
      <w:r>
        <w:t>2026-07-28 10:00:00+00:00</w:t>
      </w:r>
      <w:r>
        <w:t xml:space="preserve">    </w:t>
      </w:r>
      <w:r>
        <w:rPr>
          <w:b/>
        </w:rPr>
        <w:t xml:space="preserve">DOI: </w:t>
      </w:r>
      <w:hyperlink r:id="rId1232">
        <w:r>
          <w:rPr>
            <w:color w:val="1155CC"/>
            <w:u w:val="single"/>
          </w:rPr>
          <w:t>10.1103/rbph-64rs</w:t>
        </w:r>
      </w:hyperlink>
    </w:p>
    <w:p>
      <w:pPr>
        <w:spacing w:before="0" w:after="120"/>
      </w:pPr>
      <w:r>
        <w:rPr>
          <w:b/>
        </w:rPr>
        <w:t xml:space="preserve">Notes: </w:t>
      </w:r>
      <w:r>
        <w:t>abstract_source=rss_description</w:t>
      </w:r>
    </w:p>
    <w:p>
      <w:pPr>
        <w:spacing w:before="0" w:after="80" w:lineRule="auto" w:line="276"/>
      </w:pPr>
      <w:r>
        <w:rPr>
          <w:b/>
        </w:rPr>
        <w:t xml:space="preserve">摘要（ZH）: </w:t>
      </w:r>
      <w:r>
        <w:t>作者：Jin Lei 包容性分解反应 $a+A→b+\mathrm{anything}$ 的 Ichimura-Austern-Vincent (IAV) 求和规则形式主义将检测到的片段 $b$ 视为旁观者，通过用光学势代替其与目标的相互作用。当 $b$ 是一个松散绑定的组合时，这个假设就变得有问题了……[Phys. Rev. C 114, 014632] 于 2026 年 7 月 28 日星期二发布</w:t>
      </w:r>
    </w:p>
    <w:p>
      <w:pPr>
        <w:spacing w:before="0" w:after="200" w:lineRule="auto" w:line="276"/>
      </w:pPr>
      <w:r>
        <w:rPr>
          <w:b/>
        </w:rPr>
        <w:t xml:space="preserve">Abstract (EN): </w:t>
      </w:r>
      <w:r>
        <w:t>Author(s): Jin LeiThe Ichimura-Austern-Vincent (IAV) sum-rule formalism for inclusive breakup reactions $a+A→b+\mathrm{anything}$ treats the detected fragment $b$ as a spectator by replacing its interaction with the target by an optical potential. This assumption becomes questionable when $b$ is a loosely bound compo…[Phys. Rev. C 114, 014632] Published Tue Jul 28, 2026</w:t>
      </w:r>
    </w:p>
    <w:p>
      <w:pPr>
        <w:spacing w:before="120" w:after="120"/>
      </w:pPr>
      <w:r>
        <w:rPr>
          <w:sz w:val="18"/>
        </w:rPr>
        <w:t>——————————————————————————————————————————————————————————————————————</w:t>
      </w:r>
    </w:p>
    <w:p>
      <w:pPr>
        <w:spacing w:before="160" w:after="40" w:line="240" w:lineRule="auto"/>
      </w:pPr>
      <w:r>
        <w:rPr>
          <w:b/>
        </w:rPr>
        <w:t xml:space="preserve">[441] </w:t>
      </w:r>
      <w:hyperlink r:id="rId1233">
        <w:r>
          <w:rPr>
            <w:color w:val="1155CC"/>
            <w:u w:val="single"/>
          </w:rPr>
          <w:t>八极变形核中的摆动运动。二.单粒子构型的影响</w:t>
        </w:r>
      </w:hyperlink>
    </w:p>
    <w:p>
      <w:pPr>
        <w:spacing w:before="0" w:after="80"/>
      </w:pPr>
      <w:r>
        <w:rPr>
          <w:i/>
          <w:sz w:val="20"/>
        </w:rPr>
        <w:t>EN: Wobbling motion in octupole deformed nuclei. II. Effect of single-particle configuration</w:t>
      </w:r>
    </w:p>
    <w:p>
      <w:pPr>
        <w:spacing w:before="0" w:after="120"/>
      </w:pPr>
      <w:r>
        <w:rPr>
          <w:b/>
        </w:rPr>
        <w:t xml:space="preserve">Source: </w:t>
      </w:r>
      <w:r>
        <w:t>Recent Articles in Phys. Rev. C</w:t>
      </w:r>
      <w:r>
        <w:t xml:space="preserve">    </w:t>
      </w:r>
      <w:r>
        <w:rPr>
          <w:b/>
        </w:rPr>
        <w:t xml:space="preserve">Pub date: </w:t>
      </w:r>
      <w:r>
        <w:t>2026-07-28 10:00:00+00:00</w:t>
      </w:r>
      <w:r>
        <w:t xml:space="preserve">    </w:t>
      </w:r>
      <w:r>
        <w:rPr>
          <w:b/>
        </w:rPr>
        <w:t xml:space="preserve">DOI: </w:t>
      </w:r>
      <w:hyperlink r:id="rId1234">
        <w:r>
          <w:rPr>
            <w:color w:val="1155CC"/>
            <w:u w:val="single"/>
          </w:rPr>
          <w:t>10.1103/jlfb-m2qd</w:t>
        </w:r>
      </w:hyperlink>
    </w:p>
    <w:p>
      <w:pPr>
        <w:spacing w:before="0" w:after="120"/>
      </w:pPr>
      <w:r>
        <w:rPr>
          <w:b/>
        </w:rPr>
        <w:t xml:space="preserve">Notes: </w:t>
      </w:r>
      <w:r>
        <w:t>abstract_source=rss_description</w:t>
      </w:r>
    </w:p>
    <w:p>
      <w:pPr>
        <w:spacing w:before="0" w:after="80" w:lineRule="auto" w:line="276"/>
      </w:pPr>
      <w:r>
        <w:rPr>
          <w:b/>
        </w:rPr>
        <w:t xml:space="preserve">摘要（ZH）: </w:t>
      </w:r>
      <w:r>
        <w:t>作者：Yeruoxi Chen, H. L. Yu, Q. B. Chen, R. V. Jolos基于八极核-准粒子耦合模型，研究了不同八极相关构型$π(2{p}_{3/2},1{g}_{9/2})、π(2{d}_{5/2},1{h}_{11/2})$和$π(2{f}_{7/2},1{i}_{13/2})$——系统地研究了八极变形奇数$A$核中的摆动运动。自旋凝聚……[物理。 Rev. C 114, 014336] 于 2026 年 7 月 28 日星期二发布</w:t>
      </w:r>
    </w:p>
    <w:p>
      <w:pPr>
        <w:spacing w:before="0" w:after="200" w:lineRule="auto" w:line="276"/>
      </w:pPr>
      <w:r>
        <w:rPr>
          <w:b/>
        </w:rPr>
        <w:t xml:space="preserve">Abstract (EN): </w:t>
      </w:r>
      <w:r>
        <w:t>Author(s): Yeruoxi Chen, H. L. Yu, Q. B. Chen, and R. V. JolosBased on the octupole core-quasiparticle coupling model, the effect of different octupole-correlated configurations—$π(2{p}_{3/2},1{g}_{9/2}), π(2{d}_{5/2},1{h}_{11/2})$, and $π(2{f}_{7/2},1{i}_{13/2})$—on wobbling motion in octupole deformed odd-$A$ nuclei is systematically investigated. Spin coher…[Phys. Rev. C 114, 014336] Published Tue Jul 28, 2026</w:t>
      </w:r>
    </w:p>
    <w:p>
      <w:pPr>
        <w:spacing w:before="120" w:after="120"/>
      </w:pPr>
      <w:r>
        <w:rPr>
          <w:sz w:val="18"/>
        </w:rPr>
        <w:t>——————————————————————————————————————————————————————————————————————</w:t>
      </w:r>
    </w:p>
    <w:p>
      <w:pPr>
        <w:spacing w:before="160" w:after="40" w:line="240" w:lineRule="auto"/>
      </w:pPr>
      <w:r>
        <w:rPr>
          <w:b/>
        </w:rPr>
        <w:t xml:space="preserve">[442] </w:t>
      </w:r>
      <w:hyperlink r:id="rId1235">
        <w:r>
          <w:rPr>
            <w:color w:val="1155CC"/>
            <w:u w:val="single"/>
          </w:rPr>
          <w:t>倾斜、自引力、黑洞盘的多信使特征</w:t>
        </w:r>
      </w:hyperlink>
    </w:p>
    <w:p>
      <w:pPr>
        <w:spacing w:before="0" w:after="80"/>
      </w:pPr>
      <w:r>
        <w:rPr>
          <w:i/>
          <w:sz w:val="20"/>
        </w:rPr>
        <w:t>EN: Multimessenger Signatures of Tilted, Self-Gravitating, Black Hole Disks</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236">
        <w:r>
          <w:rPr>
            <w:color w:val="1155CC"/>
            <w:u w:val="single"/>
          </w:rPr>
          <w:t>10.1103/7zd8-yygd</w:t>
        </w:r>
      </w:hyperlink>
    </w:p>
    <w:p>
      <w:pPr>
        <w:spacing w:before="0" w:after="120"/>
      </w:pPr>
      <w:r>
        <w:rPr>
          <w:b/>
        </w:rPr>
        <w:t xml:space="preserve">Notes: </w:t>
      </w:r>
      <w:r>
        <w:t>abstract_source=rss_description</w:t>
      </w:r>
    </w:p>
    <w:p>
      <w:pPr>
        <w:spacing w:before="0" w:after="80" w:lineRule="auto" w:line="276"/>
      </w:pPr>
      <w:r>
        <w:rPr>
          <w:b/>
        </w:rPr>
        <w:t xml:space="preserve">摘要（ZH）: </w:t>
      </w:r>
      <w:r>
        <w:t>作者：Milton Ruiz、Antonios Tsokaros 和 Stuart L. Shapiro 我们对磁化自引力黑洞盘 (BHD) 系统进行完全相对论广义相对论磁流体动力学模拟，其中黑洞自旋与盘角动量不重合。巨大的圆盘（圆盘与黑洞的质量比为 16%–28%）围绕着快速旋转……[物理。莱特牧师。 137, 051402] 2026 年 7 月 28 日星期二发布</w:t>
      </w:r>
    </w:p>
    <w:p>
      <w:pPr>
        <w:spacing w:before="0" w:after="200" w:lineRule="auto" w:line="276"/>
      </w:pPr>
      <w:r>
        <w:rPr>
          <w:b/>
        </w:rPr>
        <w:t xml:space="preserve">Abstract (EN): </w:t>
      </w:r>
      <w:r>
        <w:t>Author(s): Milton Ruiz, Antonios Tsokaros, and Stuart L. ShapiroWe perform fully relativistic general-relativistic magnetohydrodynamics simulations of magnetized, self-gravitating black hole disk (BHD) systems in which the black hole spin is misaligned with the disk angular momentum. Massive disks (disk to black hole mass ratios of 16%–28%) around rapidly rotati…[Phys. Rev. Lett. 137, 051402] Published Tue Jul 28, 2026</w:t>
      </w:r>
    </w:p>
    <w:p>
      <w:pPr>
        <w:spacing w:before="120" w:after="120"/>
      </w:pPr>
      <w:r>
        <w:rPr>
          <w:sz w:val="18"/>
        </w:rPr>
        <w:t>——————————————————————————————————————————————————————————————————————</w:t>
      </w:r>
    </w:p>
    <w:p>
      <w:pPr>
        <w:spacing w:before="160" w:after="40" w:line="240" w:lineRule="auto"/>
      </w:pPr>
      <w:r>
        <w:rPr>
          <w:b/>
        </w:rPr>
        <w:t xml:space="preserve">[443] </w:t>
      </w:r>
      <w:hyperlink r:id="rId1237">
        <w:r>
          <w:rPr>
            <w:color w:val="1155CC"/>
            <w:u w:val="single"/>
          </w:rPr>
          <w:t>与中子俘获截面相关的 $^{59}\mathrm{Fe}$ 核能级密度的测量</w:t>
        </w:r>
      </w:hyperlink>
    </w:p>
    <w:p>
      <w:pPr>
        <w:spacing w:before="0" w:after="80"/>
      </w:pPr>
      <w:r>
        <w:rPr>
          <w:i/>
          <w:sz w:val="20"/>
        </w:rPr>
        <w:t>EN: Measurement of nuclear level density of $^{59}\mathrm{Fe}$ relevant for neutron-capture cross sections</w:t>
      </w:r>
    </w:p>
    <w:p>
      <w:pPr>
        <w:spacing w:before="0" w:after="120"/>
      </w:pPr>
      <w:r>
        <w:rPr>
          <w:b/>
        </w:rPr>
        <w:t xml:space="preserve">Source: </w:t>
      </w:r>
      <w:r>
        <w:t>Recent Articles in Phys. Rev. C</w:t>
      </w:r>
      <w:r>
        <w:t xml:space="preserve">    </w:t>
      </w:r>
      <w:r>
        <w:rPr>
          <w:b/>
        </w:rPr>
        <w:t xml:space="preserve">Pub date: </w:t>
      </w:r>
      <w:r>
        <w:t>2026-07-28 10:00:00+00:00</w:t>
      </w:r>
      <w:r>
        <w:t xml:space="preserve">    </w:t>
      </w:r>
      <w:r>
        <w:rPr>
          <w:b/>
        </w:rPr>
        <w:t xml:space="preserve">DOI: </w:t>
      </w:r>
      <w:hyperlink r:id="rId1238">
        <w:r>
          <w:rPr>
            <w:color w:val="1155CC"/>
            <w:u w:val="single"/>
          </w:rPr>
          <w:t>10.1103/qzmf-1g4j</w:t>
        </w:r>
      </w:hyperlink>
    </w:p>
    <w:p>
      <w:pPr>
        <w:spacing w:before="0" w:after="120"/>
      </w:pPr>
      <w:r>
        <w:rPr>
          <w:b/>
        </w:rPr>
        <w:t xml:space="preserve">Notes: </w:t>
      </w:r>
      <w:r>
        <w:t>abstract_source=rss_description</w:t>
      </w:r>
    </w:p>
    <w:p>
      <w:pPr>
        <w:spacing w:before="0" w:after="80" w:lineRule="auto" w:line="276"/>
      </w:pPr>
      <w:r>
        <w:rPr>
          <w:b/>
        </w:rPr>
        <w:t xml:space="preserve">摘要（ZH）: </w:t>
      </w:r>
      <w:r>
        <w:t>作者：Payal Taya、S. Santra、P. C. Rout、M. Meher、A. Pal、A. Baishya、H. Kumawat、T. Santhosh、Tanya Singh、Ramandeep Gandhi、G. Mohanto、Jyotisankar Das 和 R. Palit质子蒸发光谱已在 $^{60}\mathrm{Co}$ 的独家实验中测量，该实验中填充的$^{57}\mathrm{Fe}$($^{7}\mathrm{Li},α$) 反应并衰减为 $^{59}\mathrm{Fe}+\mathrm{p}$。对重合质子光谱的统计模型分析使得…[物理。 Rev. C 114, 014634] 于 2026 年 7 月 28 日星期二发布</w:t>
      </w:r>
    </w:p>
    <w:p>
      <w:pPr>
        <w:spacing w:before="0" w:after="200" w:lineRule="auto" w:line="276"/>
      </w:pPr>
      <w:r>
        <w:rPr>
          <w:b/>
        </w:rPr>
        <w:t xml:space="preserve">Abstract (EN): </w:t>
      </w:r>
      <w:r>
        <w:t>Author(s): Payal Taya, S. Santra, P. C. Rout, M. Meher, A. Pal, A. Baishya, H. Kumawat, T. Santhosh, Tanya Singh, Ramandeep Gandhi, G. Mohanto, Jyotisankar Das, and R. PalitThe proton evaporation spectrum has been measured in an exclusive experiment for $^{60}\mathrm{Co}$, which is populated in the $^{57}\mathrm{Fe}$($^{7}\mathrm{Li},α$) reaction and decays into $^{59}\mathrm{Fe}+\mathrm{p}$. A statistical-model analysis of the coincident proton spectra enabled the ext…[Phys. Rev. C 114, 014634] Published Tue Jul 28, 2026</w:t>
      </w:r>
    </w:p>
    <w:p>
      <w:pPr>
        <w:spacing w:before="120" w:after="120"/>
      </w:pPr>
      <w:r>
        <w:rPr>
          <w:sz w:val="18"/>
        </w:rPr>
        <w:t>——————————————————————————————————————————————————————————————————————</w:t>
      </w:r>
    </w:p>
    <w:p>
      <w:pPr>
        <w:spacing w:before="160" w:after="40" w:line="240" w:lineRule="auto"/>
      </w:pPr>
      <w:r>
        <w:rPr>
          <w:b/>
        </w:rPr>
        <w:t xml:space="preserve">[444] </w:t>
      </w:r>
      <w:hyperlink r:id="rId1239">
        <w:r>
          <w:rPr>
            <w:color w:val="1155CC"/>
            <w:u w:val="single"/>
          </w:rPr>
          <w:t>热强子介质中 ${K}_{1}(1270)→{π}^{+}{π}^{−}{K}^{+}$ 的热改性</w:t>
        </w:r>
      </w:hyperlink>
    </w:p>
    <w:p>
      <w:pPr>
        <w:spacing w:before="0" w:after="80"/>
      </w:pPr>
      <w:r>
        <w:rPr>
          <w:i/>
          <w:sz w:val="20"/>
        </w:rPr>
        <w:t>EN: Thermal modification of ${K}_{1}(1270)→{π}^{+}{π}^{−}{K}^{+}$ in a hot hadronic medium</w:t>
      </w:r>
    </w:p>
    <w:p>
      <w:pPr>
        <w:spacing w:before="0" w:after="120"/>
      </w:pPr>
      <w:r>
        <w:rPr>
          <w:b/>
        </w:rPr>
        <w:t xml:space="preserve">Source: </w:t>
      </w:r>
      <w:r>
        <w:t>Recent Articles in Phys. Rev. C</w:t>
      </w:r>
      <w:r>
        <w:t xml:space="preserve">    </w:t>
      </w:r>
      <w:r>
        <w:rPr>
          <w:b/>
        </w:rPr>
        <w:t xml:space="preserve">Pub date: </w:t>
      </w:r>
      <w:r>
        <w:t>2026-07-28 10:00:00+00:00</w:t>
      </w:r>
      <w:r>
        <w:t xml:space="preserve">    </w:t>
      </w:r>
      <w:r>
        <w:rPr>
          <w:b/>
        </w:rPr>
        <w:t xml:space="preserve">DOI: </w:t>
      </w:r>
      <w:hyperlink r:id="rId1240">
        <w:r>
          <w:rPr>
            <w:color w:val="1155CC"/>
            <w:u w:val="single"/>
          </w:rPr>
          <w:t>10.1103/jsq7-hxsj</w:t>
        </w:r>
      </w:hyperlink>
    </w:p>
    <w:p>
      <w:pPr>
        <w:spacing w:before="0" w:after="120"/>
      </w:pPr>
      <w:r>
        <w:rPr>
          <w:b/>
        </w:rPr>
        <w:t xml:space="preserve">Notes: </w:t>
      </w:r>
      <w:r>
        <w:t>abstract_source=rss_description</w:t>
      </w:r>
    </w:p>
    <w:p>
      <w:pPr>
        <w:spacing w:before="0" w:after="80" w:lineRule="auto" w:line="276"/>
      </w:pPr>
      <w:r>
        <w:rPr>
          <w:b/>
        </w:rPr>
        <w:t xml:space="preserve">摘要（ZH）: </w:t>
      </w:r>
      <w:r>
        <w:t>作者：Seung-il Nam研究了热强子介质中排他衰变${K}_{1}^{+}(1270)→{π}^{+}{π}^{−}{K}^{+}$的热修改。衰变幅度是根据 $ρ$- 和 ${K}^{*}$-极贡献主导的有效强子相互作用构建的，从而能够对 t…[Phys. Rev. C 114, 014918] 于 2026 年 7 月 28 日星期二发布</w:t>
      </w:r>
    </w:p>
    <w:p>
      <w:pPr>
        <w:spacing w:before="0" w:after="200" w:lineRule="auto" w:line="276"/>
      </w:pPr>
      <w:r>
        <w:rPr>
          <w:b/>
        </w:rPr>
        <w:t xml:space="preserve">Abstract (EN): </w:t>
      </w:r>
      <w:r>
        <w:t>Author(s): Seung-il NamThe thermal modification of the exclusive decay ${K}_{1}^{+}(1270)→{π}^{+}{π}^{−}{K}^{+}$ in a hot hadronic medium is studied. The decay amplitude is constructed from effective hadronic interactions dominated by the $ρ$- and ${K}^{*}$-pole contributions, thereby enabling a Dalitz-level analysis of t…[Phys. Rev. C 114, 014918] Published Tue Jul 28, 2026</w:t>
      </w:r>
    </w:p>
    <w:p>
      <w:pPr>
        <w:spacing w:before="120" w:after="120"/>
      </w:pPr>
      <w:r>
        <w:rPr>
          <w:sz w:val="18"/>
        </w:rPr>
        <w:t>——————————————————————————————————————————————————————————————————————</w:t>
      </w:r>
    </w:p>
    <w:p>
      <w:pPr>
        <w:spacing w:before="160" w:after="40" w:line="240" w:lineRule="auto"/>
      </w:pPr>
      <w:r>
        <w:rPr>
          <w:b/>
        </w:rPr>
        <w:t xml:space="preserve">[445] </w:t>
      </w:r>
      <w:hyperlink r:id="rId1241">
        <w:r>
          <w:rPr>
            <w:color w:val="1155CC"/>
            <w:u w:val="single"/>
          </w:rPr>
          <w:t>踢动量子电池</w:t>
        </w:r>
      </w:hyperlink>
    </w:p>
    <w:p>
      <w:pPr>
        <w:spacing w:before="0" w:after="80"/>
      </w:pPr>
      <w:r>
        <w:rPr>
          <w:i/>
          <w:sz w:val="20"/>
        </w:rPr>
        <w:t>EN: Kicked-Ising Quantum Battery</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242">
        <w:r>
          <w:rPr>
            <w:color w:val="1155CC"/>
            <w:u w:val="single"/>
          </w:rPr>
          <w:t>10.1103/j35s-xv5k</w:t>
        </w:r>
      </w:hyperlink>
    </w:p>
    <w:p>
      <w:pPr>
        <w:spacing w:before="0" w:after="120"/>
      </w:pPr>
      <w:r>
        <w:rPr>
          <w:b/>
        </w:rPr>
        <w:t xml:space="preserve">Notes: </w:t>
      </w:r>
      <w:r>
        <w:t>abstract_source=rss_description</w:t>
      </w:r>
    </w:p>
    <w:p>
      <w:pPr>
        <w:spacing w:before="0" w:after="80" w:lineRule="auto" w:line="276"/>
      </w:pPr>
      <w:r>
        <w:rPr>
          <w:b/>
        </w:rPr>
        <w:t xml:space="preserve">摘要（ZH）: </w:t>
      </w:r>
      <w:r>
        <w:t>作者：Sebastián V. Romero、Xi Chen 和 Yue Ban 纠缠已被确定为增强量子电池充电性能的关键资源。我们表明，自对偶点的踢伊辛模型提供了明确的充电机制，其中最大的纠缠增长产生最大的能量注入。识别 Floquet d...[物理。莱特牧师。 137, 050404] 2026 年 7 月 28 日星期二发布</w:t>
      </w:r>
    </w:p>
    <w:p>
      <w:pPr>
        <w:spacing w:before="0" w:after="200" w:lineRule="auto" w:line="276"/>
      </w:pPr>
      <w:r>
        <w:rPr>
          <w:b/>
        </w:rPr>
        <w:t xml:space="preserve">Abstract (EN): </w:t>
      </w:r>
      <w:r>
        <w:t>Author(s): Sebastián V. Romero, Xi Chen, and Yue BanEntanglement has been identified as a key resource for enhancing charging performance in quantum batteries. We show that the kicked-Ising model at the self-dual point provides an explicit charging mechanism, where maximal entanglement growth yields maximal energy injection. Identifying the Floquet d…[Phys. Rev. Lett. 137, 050404] Published Tue Jul 28, 2026</w:t>
      </w:r>
    </w:p>
    <w:p>
      <w:pPr>
        <w:spacing w:before="120" w:after="120"/>
      </w:pPr>
      <w:r>
        <w:rPr>
          <w:sz w:val="18"/>
        </w:rPr>
        <w:t>——————————————————————————————————————————————————————————————————————</w:t>
      </w:r>
    </w:p>
    <w:p>
      <w:pPr>
        <w:spacing w:before="160" w:after="40" w:line="240" w:lineRule="auto"/>
      </w:pPr>
      <w:r>
        <w:rPr>
          <w:b/>
        </w:rPr>
        <w:t xml:space="preserve">[446] </w:t>
      </w:r>
      <w:hyperlink r:id="rId1243">
        <w:r>
          <w:rPr>
            <w:color w:val="1155CC"/>
            <w:u w:val="single"/>
          </w:rPr>
          <w:t>量子通道和物质有限温度相的瓶颈</w:t>
        </w:r>
      </w:hyperlink>
    </w:p>
    <w:p>
      <w:pPr>
        <w:spacing w:before="0" w:after="80"/>
      </w:pPr>
      <w:r>
        <w:rPr>
          <w:i/>
          <w:sz w:val="20"/>
        </w:rPr>
        <w:t>EN: Bottlenecks in Quantum Channels and Finite Temperature Phases of Matter</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244">
        <w:r>
          <w:rPr>
            <w:color w:val="1155CC"/>
            <w:u w:val="single"/>
          </w:rPr>
          <w:t>10.1103/y9z2-52rl</w:t>
        </w:r>
      </w:hyperlink>
    </w:p>
    <w:p>
      <w:pPr>
        <w:spacing w:before="0" w:after="120"/>
      </w:pPr>
      <w:r>
        <w:rPr>
          <w:b/>
        </w:rPr>
        <w:t xml:space="preserve">Notes: </w:t>
      </w:r>
      <w:r>
        <w:t>abstract_source=rss_description</w:t>
      </w:r>
    </w:p>
    <w:p>
      <w:pPr>
        <w:spacing w:before="0" w:after="80" w:lineRule="auto" w:line="276"/>
      </w:pPr>
      <w:r>
        <w:rPr>
          <w:b/>
        </w:rPr>
        <w:t xml:space="preserve">摘要（ZH）: </w:t>
      </w:r>
      <w:r>
        <w:t>作者：Tibor Rakovszky、Benedikt Placke、Nikolas P. Breuckmann 和 Vedika Khemani 我们证明了马尔可夫量子通道中以经典马尔可夫链而闻名的“瓶颈定理”的类比。特别是，我们表明，如果希尔伯特空间的两个区域（子空间）被通道稳态中权重非常低的区域分开，则状态初始化......[Phys.莱特牧师。 137, 050402] 于 2026 年 7 月 28 日星期二发布</w:t>
      </w:r>
    </w:p>
    <w:p>
      <w:pPr>
        <w:spacing w:before="0" w:after="200" w:lineRule="auto" w:line="276"/>
      </w:pPr>
      <w:r>
        <w:rPr>
          <w:b/>
        </w:rPr>
        <w:t xml:space="preserve">Abstract (EN): </w:t>
      </w:r>
      <w:r>
        <w:t>Author(s): Tibor Rakovszky, Benedikt Placke, Nikolas P. Breuckmann, and Vedika KhemaniWe prove an analog of the “bottleneck theorem,” well-known for classical Markov chains, for Markovian quantum channels. In particular, we show that if two regions (subspaces) of Hilbert space are separated by a region that has very low weight in the channel’s steady state, then states initialized on…[Phys. Rev. Lett. 137, 050402] Published Tue Jul 28, 2026</w:t>
      </w:r>
    </w:p>
    <w:p>
      <w:pPr>
        <w:spacing w:before="120" w:after="120"/>
      </w:pPr>
      <w:r>
        <w:rPr>
          <w:sz w:val="18"/>
        </w:rPr>
        <w:t>——————————————————————————————————————————————————————————————————————</w:t>
      </w:r>
    </w:p>
    <w:p>
      <w:pPr>
        <w:spacing w:before="160" w:after="40" w:line="240" w:lineRule="auto"/>
      </w:pPr>
      <w:r>
        <w:rPr>
          <w:b/>
        </w:rPr>
        <w:t xml:space="preserve">[447] </w:t>
      </w:r>
      <w:hyperlink r:id="rId1245">
        <w:r>
          <w:rPr>
            <w:color w:val="1155CC"/>
            <w:u w:val="single"/>
          </w:rPr>
          <w:t>三十六名量子军官纠缠不清</w:t>
        </w:r>
      </w:hyperlink>
    </w:p>
    <w:p>
      <w:pPr>
        <w:spacing w:before="0" w:after="80"/>
      </w:pPr>
      <w:r>
        <w:rPr>
          <w:i/>
          <w:sz w:val="20"/>
        </w:rPr>
        <w:t>EN: Thirty-Six Quantum Officers Are Entangled</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246">
        <w:r>
          <w:rPr>
            <w:color w:val="1155CC"/>
            <w:u w:val="single"/>
          </w:rPr>
          <w:t>10.1103/hxzf-nmpx</w:t>
        </w:r>
      </w:hyperlink>
    </w:p>
    <w:p>
      <w:pPr>
        <w:spacing w:before="0" w:after="120"/>
      </w:pPr>
      <w:r>
        <w:rPr>
          <w:b/>
        </w:rPr>
        <w:t xml:space="preserve">Notes: </w:t>
      </w:r>
      <w:r>
        <w:t>abstract_source=rss_description</w:t>
      </w:r>
    </w:p>
    <w:p>
      <w:pPr>
        <w:spacing w:before="0" w:after="80" w:lineRule="auto" w:line="276"/>
      </w:pPr>
      <w:r>
        <w:rPr>
          <w:b/>
        </w:rPr>
        <w:t xml:space="preserve">摘要（ZH）: </w:t>
      </w:r>
      <w:r>
        <w:t>作者：Simeon Ball 和 Robin Simoens 存在任何 $n$ 阶的正交拉丁方对，除非 $n=2$ 或 $n=6$ [Bose 等人，关于相互正交拉丁方的构造和欧拉猜想的虚假性的进一步结果，Can。 J.马斯。 12, 189 (1960)]。特别是欧拉三十六处的问题……[物理。莱特牧师。 137, 050202] 2026 年 7 月 28 日星期二发布</w:t>
      </w:r>
    </w:p>
    <w:p>
      <w:pPr>
        <w:spacing w:before="0" w:after="200" w:lineRule="auto" w:line="276"/>
      </w:pPr>
      <w:r>
        <w:rPr>
          <w:b/>
        </w:rPr>
        <w:t xml:space="preserve">Abstract (EN): </w:t>
      </w:r>
      <w:r>
        <w:t>Author(s): Simeon Ball and Robin SimoensThere exist pairs of orthogonal Latin squares of any order $n$ except if $n=2$ or $n=6$ [Bose et al., Further results on the construction of mutually orthogonal latin squares and the falsity of Euler’s conjecture, Can. J. Math. 12, 189 (1960)]. In particular, the problem of Euler’s thirty-six office…[Phys. Rev. Lett. 137, 050202] Published Tue Jul 28, 2026</w:t>
      </w:r>
    </w:p>
    <w:p>
      <w:pPr>
        <w:spacing w:before="120" w:after="120"/>
      </w:pPr>
      <w:r>
        <w:rPr>
          <w:sz w:val="18"/>
        </w:rPr>
        <w:t>——————————————————————————————————————————————————————————————————————</w:t>
      </w:r>
    </w:p>
    <w:p>
      <w:pPr>
        <w:spacing w:before="160" w:after="40" w:line="240" w:lineRule="auto"/>
      </w:pPr>
      <w:r>
        <w:rPr>
          <w:b/>
        </w:rPr>
        <w:t xml:space="preserve">[448] </w:t>
      </w:r>
      <w:hyperlink r:id="rId1247">
        <w:r>
          <w:rPr>
            <w:color w:val="1155CC"/>
            <w:u w:val="single"/>
          </w:rPr>
          <w:t>嵌入一​​阶拓扑带中的高阶拓扑</w:t>
        </w:r>
      </w:hyperlink>
    </w:p>
    <w:p>
      <w:pPr>
        <w:spacing w:before="0" w:after="80"/>
      </w:pPr>
      <w:r>
        <w:rPr>
          <w:i/>
          <w:sz w:val="20"/>
        </w:rPr>
        <w:t>EN: Higher-Order Topology Embedded in First-Order Topological Bands</w:t>
      </w:r>
    </w:p>
    <w:p>
      <w:pPr>
        <w:spacing w:before="0" w:after="120"/>
      </w:pPr>
      <w:r>
        <w:rPr>
          <w:b/>
        </w:rPr>
        <w:t xml:space="preserve">Source: </w:t>
      </w:r>
      <w:r>
        <w:t>Recent Articles in Phys. Rev. Lett.</w:t>
      </w:r>
      <w:r>
        <w:t xml:space="preserve">    </w:t>
      </w:r>
      <w:r>
        <w:rPr>
          <w:b/>
        </w:rPr>
        <w:t xml:space="preserve">Pub date: </w:t>
      </w:r>
      <w:r>
        <w:t>2026-07-28 10:00:00+00:00</w:t>
      </w:r>
      <w:r>
        <w:t xml:space="preserve">    </w:t>
      </w:r>
      <w:r>
        <w:rPr>
          <w:b/>
        </w:rPr>
        <w:t xml:space="preserve">DOI: </w:t>
      </w:r>
      <w:hyperlink r:id="rId1248">
        <w:r>
          <w:rPr>
            <w:color w:val="1155CC"/>
            <w:u w:val="single"/>
          </w:rPr>
          <w:t>10.1103/rlk2-psxm</w:t>
        </w:r>
      </w:hyperlink>
    </w:p>
    <w:p>
      <w:pPr>
        <w:spacing w:before="0" w:after="120"/>
      </w:pPr>
      <w:r>
        <w:rPr>
          <w:b/>
        </w:rPr>
        <w:t xml:space="preserve">Notes: </w:t>
      </w:r>
      <w:r>
        <w:t>abstract_source=rss_description</w:t>
      </w:r>
    </w:p>
    <w:p>
      <w:pPr>
        <w:spacing w:before="0" w:after="80" w:lineRule="auto" w:line="276"/>
      </w:pPr>
      <w:r>
        <w:rPr>
          <w:b/>
        </w:rPr>
        <w:t xml:space="preserve">摘要（ZH）: </w:t>
      </w:r>
      <w:r>
        <w:t>作者：郑建成、浦振航、路久阳、邓伟银、柯满柱、刘正友 行进边缘态和陷进角态在声学晶体的完全相同的能带内共存，克服了长期以来认为它们相互排斥的规则。莱特牧师。 137, 056605] 2026 年 7 月 28 日星期二发布</w:t>
      </w:r>
    </w:p>
    <w:p>
      <w:pPr>
        <w:spacing w:before="0" w:after="200" w:lineRule="auto" w:line="276"/>
      </w:pPr>
      <w:r>
        <w:rPr>
          <w:b/>
        </w:rPr>
        <w:t xml:space="preserve">Abstract (EN): </w:t>
      </w:r>
      <w:r>
        <w:t>Author(s): Jiancheng Zheng, Zhenhang Pu, Jiuyang Lu, Weiyin Deng, Manzhu Ke, and Zhengyou LiuTraveling edge states and trapped corner states coexist within the exact same energy band of an acoustic crystal, overcoming a long-held rule that deemed them mutually exclusive.[Phys. Rev. Lett. 137, 056605] Published Tue Jul 28, 2026</w:t>
      </w:r>
    </w:p>
    <w:p>
      <w:pPr>
        <w:spacing w:before="120" w:after="120"/>
      </w:pPr>
      <w:r>
        <w:rPr>
          <w:sz w:val="18"/>
        </w:rPr>
        <w:t>——————————————————————————————————————————————————————————————————————</w:t>
      </w:r>
    </w:p>
    <w:p>
      <w:pPr>
        <w:spacing w:before="160" w:after="40" w:line="240" w:lineRule="auto"/>
      </w:pPr>
      <w:r>
        <w:rPr>
          <w:b/>
        </w:rPr>
        <w:t xml:space="preserve">[449] </w:t>
      </w:r>
      <w:hyperlink r:id="rId1249">
        <w:r>
          <w:rPr>
            <w:color w:val="1155CC"/>
            <w:u w:val="single"/>
          </w:rPr>
          <w:t>一种集成拓扑强化和金属离子协调的协同工程蛋白质水凝胶，用于糖尿病伤口修复</w:t>
        </w:r>
      </w:hyperlink>
    </w:p>
    <w:p>
      <w:pPr>
        <w:spacing w:before="0" w:after="80"/>
      </w:pPr>
      <w:r>
        <w:rPr>
          <w:i/>
          <w:sz w:val="20"/>
        </w:rPr>
        <w:t>EN: A Synergistically Engineered Protein Hydrogel Integrating Topological Reinforcement and Metal‐Ion Coordination for Diabetic Wound Repair</w:t>
      </w:r>
    </w:p>
    <w:p>
      <w:pPr>
        <w:spacing w:before="0" w:after="120"/>
      </w:pPr>
      <w:r>
        <w:rPr>
          <w:b/>
        </w:rPr>
        <w:t xml:space="preserve">Source: </w:t>
      </w:r>
      <w:r>
        <w:t>Wiley: Advanced Materials: Table of Contents</w:t>
      </w:r>
      <w:r>
        <w:t xml:space="preserve">    </w:t>
      </w:r>
      <w:r>
        <w:rPr>
          <w:b/>
        </w:rPr>
        <w:t xml:space="preserve">Pub date: </w:t>
      </w:r>
      <w:r>
        <w:t>2026-07-28 10:18:20+00:00</w:t>
      </w:r>
      <w:r>
        <w:t xml:space="preserve">    </w:t>
      </w:r>
      <w:r>
        <w:rPr>
          <w:b/>
        </w:rPr>
        <w:t xml:space="preserve">DOI: </w:t>
      </w:r>
      <w:hyperlink r:id="rId1250">
        <w:r>
          <w:rPr>
            <w:color w:val="1155CC"/>
            <w:u w:val="single"/>
          </w:rPr>
          <w:t>10.1002/adma.74363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细胞外基质（ECM）模拟蛋白水凝胶的临床转化常常因其机械强度不足和结构紊乱而受到阻碍。糖尿病伤口修复迫切需要将结构控制与生物活性信号相结合的创新策略。我们提出了一种协同的“拓扑工程/金属配位”策略来设计一类新型的类胶原蛋白水凝胶。通过遗传编码，金属结合域（Zn</w:t>
      </w:r>
      <w:r>
        <w:rPr>
          <w:vertAlign w:val="subscript"/>
        </w:rPr>
        <w:t>2</w:t>
      </w:r>
      <w:r>
        <w:t>+</w:t>
      </w:r>
      <w:r>
        <w:t xml:space="preserve"> </w:t>
      </w:r>
      <w:r>
        <w:t>, 银</w:t>
      </w:r>
      <w:r>
        <w:t xml:space="preserve"> </w:t>
      </w:r>
      <w:r>
        <w:t>+</w:t>
      </w:r>
      <w:r>
        <w:t xml:space="preserve"> </w:t>
      </w:r>
      <w:r>
        <w:t>, 铜</w:t>
      </w:r>
      <w:r>
        <w:rPr>
          <w:vertAlign w:val="subscript"/>
        </w:rPr>
        <w:t>2</w:t>
      </w:r>
      <w:r>
        <w:t>+</w:t>
      </w:r>
      <w:r>
        <w:t xml:space="preserve"> </w:t>
      </w:r>
      <w:r>
        <w:t>）与细胞粘附 RGD 基序和稳定 Vα/Vβ 结构域一起被纳入胶原支架（CLP3/CLP1）中。我们进一步设计了具有精确定义的点交联、环状交联和双环交联拓扑的水凝胶。锌</w:t>
      </w:r>
      <w:r>
        <w:rPr>
          <w:vertAlign w:val="subscript"/>
        </w:rPr>
        <w:t>2</w:t>
      </w:r>
      <w:r>
        <w:t>+</w:t>
      </w:r>
      <w:r>
        <w:t xml:space="preserve"> </w:t>
      </w:r>
      <w:r>
        <w:t>基于CLP3（BZnCα3）的配位双环交联水凝胶表现出最佳的综合性能。它表现出类似皮肤的应力应变曲线、卓越的韧性和出色的抗疲劳性。在体外，BZnCα3 促进细胞粘附、增殖、迁移，并表现出有效的抗菌和抗炎作用。在糖尿病小鼠模型中，BZnCα3 显着加速伤口闭合、增强上皮细胞再生和胶原蛋白沉积，并通过将巨噬细胞极化为 M2 表型、上调再生来精心打造促愈合微环境。</w:t>
      </w:r>
    </w:p>
    <w:p>
      <w:pPr>
        <w:spacing w:before="0" w:after="200" w:lineRule="auto" w:line="276"/>
      </w:pPr>
      <w:r>
        <w:rPr>
          <w:b/>
        </w:rPr>
        <w:t xml:space="preserve">Abstract (EN): </w:t>
      </w:r>
      <w:r>
        <w:t>The clinical translation of extracellular matrix (ECM)‐mimetic protein hydrogels is often hampered by their inadequate mechanical strength and structural disorder. Innovative strategies that integrate structural control with bioactive cues are urgently needed for diabetic wound repair. We present a synergistic “topological engineering/metal‐coordination” strategy to design a new class of collagen‐like protein hydrogels. Via genetic encoding, metal‐binding domains (Zn</w:t>
      </w:r>
      <w:r>
        <w:rPr>
          <w:vertAlign w:val="subscript"/>
        </w:rPr>
        <w:t>2</w:t>
      </w:r>
      <w:r>
        <w:t>+</w:t>
      </w:r>
      <w:r>
        <w:t xml:space="preserve"> </w:t>
      </w:r>
      <w:r>
        <w:t>, Ag</w:t>
      </w:r>
      <w:r>
        <w:t xml:space="preserve"> </w:t>
      </w:r>
      <w:r>
        <w:t>+</w:t>
      </w:r>
      <w:r>
        <w:t xml:space="preserve"> </w:t>
      </w:r>
      <w:r>
        <w:t>, Cu</w:t>
      </w:r>
      <w:r>
        <w:rPr>
          <w:vertAlign w:val="subscript"/>
        </w:rPr>
        <w:t>2</w:t>
      </w:r>
      <w:r>
        <w:t>+</w:t>
      </w:r>
      <w:r>
        <w:t xml:space="preserve"> </w:t>
      </w:r>
      <w:r>
        <w:t>), together with a cell‐adhesive RGD motif and stabilizing Vα/Vβ domains, were incorporated into collagen scaffolds (CLP3/CLP1). We further engineered hydrogels with precisely defined point‐, cyclic‐, and bis‐cyclic‐crosslinked topologies. The Zn</w:t>
      </w:r>
      <w:r>
        <w:rPr>
          <w:vertAlign w:val="subscript"/>
        </w:rPr>
        <w:t>2</w:t>
      </w:r>
      <w:r>
        <w:t>+</w:t>
      </w:r>
      <w:r>
        <w:t xml:space="preserve"> </w:t>
      </w:r>
      <w:r>
        <w:t>‐coordinated, bis‐cyclic‐crosslinked hydrogel based on CLP3 (BZnCα3) exhibited optimal integrated performance. It demonstrated skin‐like stress‐strain curves, superior toughness, and excellent fatigue resistance. In vitro, BZnCα3 promoted cell adhesion, proliferation, migration, and exhibited potent antibacterial and anti‐inflammatory effects. In a diabetic mouse model, BZnCα3 significantly accelerated wound closure, enhanced re‐epithelialization and collagen deposition, and orchestrated a pro‐healing microenvironment by polarizing macrophages to the M2 phenotype, upregulating regenerative factors, and alleviating oxidative stress. This work establishes a genetically encoded platform for creating protein hydrogels with tunable topology and dynamic mechanics, emerging as a multifaceted biomaterial that effectively addresses mechanical and biological barriers, holding great promise as a therapeutic dressing for refractory diabetic wounds.</w:t>
      </w:r>
    </w:p>
    <w:p>
      <w:pPr>
        <w:spacing w:before="120" w:after="120"/>
      </w:pPr>
      <w:r>
        <w:rPr>
          <w:sz w:val="18"/>
        </w:rPr>
        <w:t>——————————————————————————————————————————————————————————————————————</w:t>
      </w:r>
    </w:p>
    <w:p>
      <w:pPr>
        <w:spacing w:before="160" w:after="40" w:line="240" w:lineRule="auto"/>
      </w:pPr>
      <w:r>
        <w:rPr>
          <w:b/>
        </w:rPr>
        <w:t xml:space="preserve">[450] </w:t>
      </w:r>
      <w:hyperlink r:id="rId1251">
        <w:r>
          <w:rPr>
            <w:color w:val="1155CC"/>
            <w:u w:val="single"/>
          </w:rPr>
          <w:t>可见光-近红外宽带自适应晶体管实现昼夜视觉感知</w:t>
        </w:r>
      </w:hyperlink>
    </w:p>
    <w:p>
      <w:pPr>
        <w:spacing w:before="0" w:after="80"/>
      </w:pPr>
      <w:r>
        <w:rPr>
          <w:i/>
          <w:sz w:val="20"/>
        </w:rPr>
        <w:t>EN: Day–Night Visual Perception Enabled by Vis–NIR Broadband Adaptive Transistors</w:t>
      </w:r>
    </w:p>
    <w:p>
      <w:pPr>
        <w:spacing w:before="0" w:after="120"/>
      </w:pPr>
      <w:r>
        <w:rPr>
          <w:b/>
        </w:rPr>
        <w:t xml:space="preserve">Source: </w:t>
      </w:r>
      <w:r>
        <w:t>Wiley: Advanced Materials: Table of Contents</w:t>
      </w:r>
      <w:r>
        <w:t xml:space="preserve">    </w:t>
      </w:r>
      <w:r>
        <w:rPr>
          <w:b/>
        </w:rPr>
        <w:t xml:space="preserve">Pub date: </w:t>
      </w:r>
      <w:r>
        <w:t>2026-07-28 10:21:45+00:00</w:t>
      </w:r>
      <w:r>
        <w:t xml:space="preserve">    </w:t>
      </w:r>
      <w:r>
        <w:rPr>
          <w:b/>
        </w:rPr>
        <w:t xml:space="preserve">DOI: </w:t>
      </w:r>
      <w:hyperlink r:id="rId1252">
        <w:r>
          <w:rPr>
            <w:color w:val="1155CC"/>
            <w:u w:val="single"/>
          </w:rPr>
          <w:t>10.1002/adma.74310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宽带自适应视觉对于在自动驾驶和智能安全等应用中实现强大的昼夜视觉操作至关重要。然而，大多数现有的主动感知系统仅限于可见光谱范围。在这里，我们报告了一种可见光-近红外宽带有机主动适应晶体管（VN-OAAT），通过结合嵌入三元体异质结的电介质，它同时拓宽了光谱响应（400-1200 nm）并调节电荷捕获激活能。通过精确的供体-受体组成工程，该器件表现出光强度依赖性光响应，能够在高照度条件下实现明视适应，并在低光环境下进行有效的光电检测，每个光响应的强度跨越四个数量级。成像实验和仿真表明，该设备可保证全天精准视觉，识别准确率超过96%。这种三元异质结策略解决了高性能近红外半导体和 OAAT 之间的固有不匹配问题，为昼夜机器视觉应用中的宽带自适应传感建立了一个高效的平台。</w:t>
      </w:r>
    </w:p>
    <w:p>
      <w:pPr>
        <w:spacing w:before="0" w:after="200" w:lineRule="auto" w:line="276"/>
      </w:pPr>
      <w:r>
        <w:rPr>
          <w:b/>
        </w:rPr>
        <w:t xml:space="preserve">Abstract (EN): </w:t>
      </w:r>
      <w:r>
        <w:t>Broadband adaptive vision is pivotal in enabling robust day–night visual operation in applications like autonomous driving and smart security. However, most existing active perception systems are confined to the visible spectrum regime. Here, we report a Vis–NIR broadband organic active adaptation transistor (VN‐OAAT) by incorporating a dielectric embedded with ternary bulk‐heterojunction, which simultaneously broadens the spectral response (400–1200 nm) and tunes the charge trapping activation energy. Through precise donor–acceptor compositional engineering, the device exhibits light‐intensity‐dependent photoresponse that enables photopic adaptation under high‐illumination conditions and efficient photodetection in low‐light environments, each spanning four orders of magnitude in intensity. Imaging experiments and simulations demonstrate that the device ensures all‐day accurate vision with recognition accuracy over 96%. This ternary‐heterojunction strategy addresses the intrinsic mismatch between high‐performance NIR semiconductors and OAAT, establishing an efficient platform for broadband adaptive sensing in day–night machine vision applications.</w:t>
      </w:r>
    </w:p>
    <w:p>
      <w:pPr>
        <w:spacing w:before="120" w:after="120"/>
      </w:pPr>
      <w:r>
        <w:rPr>
          <w:sz w:val="18"/>
        </w:rPr>
        <w:t>——————————————————————————————————————————————————————————————————————</w:t>
      </w:r>
    </w:p>
    <w:p>
      <w:pPr>
        <w:spacing w:before="160" w:after="40" w:line="240" w:lineRule="auto"/>
      </w:pPr>
      <w:r>
        <w:rPr>
          <w:b/>
        </w:rPr>
        <w:t xml:space="preserve">[451] </w:t>
      </w:r>
      <w:hyperlink r:id="rId1253">
        <w:r>
          <w:rPr>
            <w:color w:val="1155CC"/>
            <w:u w:val="single"/>
          </w:rPr>
          <w:t>推进干细胞生物打印以桥接工程和天然组织结构（Adv. Mater. 42/2026）</w:t>
        </w:r>
      </w:hyperlink>
    </w:p>
    <w:p>
      <w:pPr>
        <w:spacing w:before="0" w:after="80"/>
      </w:pPr>
      <w:r>
        <w:rPr>
          <w:i/>
          <w:sz w:val="20"/>
        </w:rPr>
        <w:t>EN: Advancing Stem Cell Bioprinting to Bridge Engineered and Natural Tissue Constructs (Adv. Mater. 42/2026)</w:t>
      </w:r>
    </w:p>
    <w:p>
      <w:pPr>
        <w:spacing w:before="0" w:after="120"/>
      </w:pPr>
      <w:r>
        <w:rPr>
          <w:b/>
        </w:rPr>
        <w:t xml:space="preserve">Source: </w:t>
      </w:r>
      <w:r>
        <w:t>Wiley: Advanced Materials: Table of Contents</w:t>
      </w:r>
      <w:r>
        <w:t xml:space="preserve">    </w:t>
      </w:r>
      <w:r>
        <w:rPr>
          <w:b/>
        </w:rPr>
        <w:t xml:space="preserve">Pub date: </w:t>
      </w:r>
      <w:r>
        <w:t>2026-07-28 11:16:59+00:00</w:t>
      </w:r>
      <w:r>
        <w:t xml:space="preserve">    </w:t>
      </w:r>
      <w:r>
        <w:rPr>
          <w:b/>
        </w:rPr>
        <w:t xml:space="preserve">DOI: </w:t>
      </w:r>
      <w:hyperlink r:id="rId1254">
        <w:r>
          <w:rPr>
            <w:color w:val="1155CC"/>
            <w:u w:val="single"/>
          </w:rPr>
          <w:t>10.1002/adma.74235</w:t>
        </w:r>
      </w:hyperlink>
    </w:p>
    <w:p>
      <w:pPr>
        <w:spacing w:before="0" w:after="120"/>
      </w:pPr>
      <w:r>
        <w:rPr>
          <w:b/>
        </w:rPr>
        <w:t xml:space="preserve">Notes: </w:t>
      </w:r>
      <w:r>
        <w:t>abstract_source=openalex</w:t>
      </w:r>
    </w:p>
    <w:p>
      <w:pPr>
        <w:spacing w:before="0" w:after="80" w:lineRule="auto" w:line="276"/>
      </w:pPr>
      <w:r>
        <w:rPr>
          <w:b/>
        </w:rPr>
        <w:t xml:space="preserve">摘要（ZH）: </w:t>
      </w:r>
      <w:r>
        <w:t>基于干细胞的生物制造：生命树 Qi Gu 的评论（DOI：10.1002/adma.202510110）将干细胞生物打印描述为一棵充满活力的生命树，其中 DNA 螺旋主干、机器人生物打印机和水凝胶生物墨水象征着指导性制造和自主开发的融合。类似器官的冠层展示了干细胞的自组织、成熟和功能组织的形成，将工程结构与自然再生联系起来。</w:t>
      </w:r>
    </w:p>
    <w:p>
      <w:pPr>
        <w:spacing w:before="0" w:after="200" w:lineRule="auto" w:line="276"/>
      </w:pPr>
      <w:r>
        <w:rPr>
          <w:b/>
        </w:rPr>
        <w:t xml:space="preserve">Abstract (EN): </w:t>
      </w:r>
      <w:r>
        <w:t>Stem Cell-Based Biomanufacturing: The Life Tree The Review by Qi Gu (DOI: 10.1002/adma.202510110) depicts stem-cell bioprinting as a vibrant Life Tree, where the DNA-helix trunk, robotic bioprinter, and hydrogel-rooted living bioinks symbolize the convergence of instructive fabrication and autonomous development. The organ-like canopy illustrates stem-cell self-organization, maturation, and functional tissue formation, bridging engineered constructs with natural regeneration.</w:t>
      </w:r>
    </w:p>
    <w:p>
      <w:pPr>
        <w:spacing w:before="120" w:after="120"/>
      </w:pPr>
      <w:r>
        <w:rPr>
          <w:sz w:val="18"/>
        </w:rPr>
        <w:t>——————————————————————————————————————————————————————————————————————</w:t>
      </w:r>
    </w:p>
    <w:p>
      <w:pPr>
        <w:spacing w:before="160" w:after="40" w:line="240" w:lineRule="auto"/>
      </w:pPr>
      <w:r>
        <w:rPr>
          <w:b/>
        </w:rPr>
        <w:t xml:space="preserve">[452] </w:t>
      </w:r>
      <w:hyperlink r:id="rId1255">
        <w:r>
          <w:rPr>
            <w:color w:val="1155CC"/>
            <w:u w:val="single"/>
          </w:rPr>
          <w:t>用超小纳米颗粒破坏氧化应激-炎症-角膜新生血管循环（Adv. Mater. 42/2026）</w:t>
        </w:r>
      </w:hyperlink>
    </w:p>
    <w:p>
      <w:pPr>
        <w:spacing w:before="0" w:after="80"/>
      </w:pPr>
      <w:r>
        <w:rPr>
          <w:i/>
          <w:sz w:val="20"/>
        </w:rPr>
        <w:t>EN: Disrupting the Oxidative Stress–Inflammation–Corneal Neovascularization Cycle with Ultrasmall Nanoparticles (Adv. Mater. 42/2026)</w:t>
      </w:r>
    </w:p>
    <w:p>
      <w:pPr>
        <w:spacing w:before="0" w:after="120"/>
      </w:pPr>
      <w:r>
        <w:rPr>
          <w:b/>
        </w:rPr>
        <w:t xml:space="preserve">Source: </w:t>
      </w:r>
      <w:r>
        <w:t>Wiley: Advanced Materials: Table of Contents</w:t>
      </w:r>
      <w:r>
        <w:t xml:space="preserve">    </w:t>
      </w:r>
      <w:r>
        <w:rPr>
          <w:b/>
        </w:rPr>
        <w:t xml:space="preserve">Pub date: </w:t>
      </w:r>
      <w:r>
        <w:t>2026-07-28 11:16:59+00:00</w:t>
      </w:r>
      <w:r>
        <w:t xml:space="preserve">    </w:t>
      </w:r>
      <w:r>
        <w:rPr>
          <w:b/>
        </w:rPr>
        <w:t xml:space="preserve">DOI: </w:t>
      </w:r>
      <w:hyperlink r:id="rId1256">
        <w:r>
          <w:rPr>
            <w:color w:val="1155CC"/>
            <w:u w:val="single"/>
          </w:rPr>
          <w:t>10.1002/adma.74233</w:t>
        </w:r>
      </w:hyperlink>
    </w:p>
    <w:p>
      <w:pPr>
        <w:spacing w:before="0" w:after="120"/>
      </w:pPr>
      <w:r>
        <w:rPr>
          <w:b/>
        </w:rPr>
        <w:t xml:space="preserve">Notes: </w:t>
      </w:r>
      <w:r>
        <w:t>abstract_source=openalex</w:t>
      </w:r>
    </w:p>
    <w:p>
      <w:pPr>
        <w:spacing w:before="0" w:after="80" w:lineRule="auto" w:line="276"/>
      </w:pPr>
      <w:r>
        <w:rPr>
          <w:b/>
        </w:rPr>
        <w:t xml:space="preserve">摘要（ZH）: </w:t>
      </w:r>
      <w:r>
        <w:t>扰乱氧化应激-炎症-角膜新生血管循环 在他们的研究文章（DOI：10.1002/adma.73114）中，Wei Tao、Mei Yang、Xingtao Zhou、Jinhai Huang 及其同事提出了一种基于超小聚多巴胺纳米颗粒 (UPDA NP) 的治疗策略，旨在扰乱氧化应激、炎症和角膜新生血管 (CoNV) 的病理循环。封面图片将眼睛比喻为一座“花园”，UPDA NP 充当恢复眼部稳态的“园丁”。通过浇水、喷洒、种植和除草等协调行动，UPDA NPs 执行抗炎、抗氧化、上皮修复和抗血管生成功能。分别。总之，这种“药物作为载体”的方法通过破坏氧化应激-炎症-血管生成循环，有效地阻止了冠状病毒的进展。</w:t>
      </w:r>
    </w:p>
    <w:p>
      <w:pPr>
        <w:spacing w:before="0" w:after="200" w:lineRule="auto" w:line="276"/>
      </w:pPr>
      <w:r>
        <w:rPr>
          <w:b/>
        </w:rPr>
        <w:t xml:space="preserve">Abstract (EN): </w:t>
      </w:r>
      <w:r>
        <w:t>Disrupting the Oxidative Stress–Inflammation–Corneal Neovascularization Cycle In their Research Article (DOI: 10.1002/adma.73114), Wei Tao, Mei Yang, Xingtao Zhou, Jinhai Huang, and co-workers present an ultra-small polydopamine nanoparticle (UPDA NP)-based therapeutic strategy designed to disrupt the pathological cycle of oxidative stress, inflammation, and corneal neovascularization (CoNV). The cover image metaphorically depicts the eye as a “garden,” where UPDA NPs serve as “gardeners” restoring ocular homeostasis. Through coordinated actions: watering, spraying, planting, and weeding, the UPDA NPs execute anti-inflammatory, antioxidant, epithelial repair, and anti-angiogenic functions. respectively. Together, this “drug-as-carrier” approach effectively halts CoNV progression by disrupting the oxidative stress–inflammation–angiogenesis cycle.</w:t>
      </w:r>
    </w:p>
    <w:p>
      <w:pPr>
        <w:spacing w:before="120" w:after="120"/>
      </w:pPr>
      <w:r>
        <w:rPr>
          <w:sz w:val="18"/>
        </w:rPr>
        <w:t>——————————————————————————————————————————————————————————————————————</w:t>
      </w:r>
    </w:p>
    <w:p>
      <w:pPr>
        <w:spacing w:before="160" w:after="40" w:line="240" w:lineRule="auto"/>
      </w:pPr>
      <w:r>
        <w:rPr>
          <w:b/>
        </w:rPr>
        <w:t xml:space="preserve">[453] </w:t>
      </w:r>
      <w:hyperlink r:id="rId1257">
        <w:r>
          <w:rPr>
            <w:color w:val="1155CC"/>
            <w:u w:val="single"/>
          </w:rPr>
          <w:t>通过动态键交换实现毛细管介导的自发颗粒吸收的超粘性空气过滤器（Adv. Mater. 42/2026）</w:t>
        </w:r>
      </w:hyperlink>
    </w:p>
    <w:p>
      <w:pPr>
        <w:spacing w:before="0" w:after="80"/>
      </w:pPr>
      <w:r>
        <w:rPr>
          <w:i/>
          <w:sz w:val="20"/>
        </w:rPr>
        <w:t>EN: A Super‐Adhesive Air Filter With Capillarity‐Mediated Spontaneous Particle Absorption via Dynamic Bond Exchange (Adv. Mater. 42/2026)</w:t>
      </w:r>
    </w:p>
    <w:p>
      <w:pPr>
        <w:spacing w:before="0" w:after="120"/>
      </w:pPr>
      <w:r>
        <w:rPr>
          <w:b/>
        </w:rPr>
        <w:t xml:space="preserve">Source: </w:t>
      </w:r>
      <w:r>
        <w:t>Wiley: Advanced Materials: Table of Contents</w:t>
      </w:r>
      <w:r>
        <w:t xml:space="preserve">    </w:t>
      </w:r>
      <w:r>
        <w:rPr>
          <w:b/>
        </w:rPr>
        <w:t xml:space="preserve">Pub date: </w:t>
      </w:r>
      <w:r>
        <w:t>2026-07-28 11:16:59+00:00</w:t>
      </w:r>
      <w:r>
        <w:t xml:space="preserve">    </w:t>
      </w:r>
      <w:r>
        <w:rPr>
          <w:b/>
        </w:rPr>
        <w:t xml:space="preserve">DOI: </w:t>
      </w:r>
      <w:hyperlink r:id="rId1258">
        <w:r>
          <w:rPr>
            <w:color w:val="1155CC"/>
            <w:u w:val="single"/>
          </w:rPr>
          <w:t>10.1002/adma.74232</w:t>
        </w:r>
      </w:hyperlink>
    </w:p>
    <w:p>
      <w:pPr>
        <w:spacing w:before="0" w:after="120"/>
      </w:pPr>
      <w:r>
        <w:rPr>
          <w:b/>
        </w:rPr>
        <w:t xml:space="preserve">Notes: </w:t>
      </w:r>
      <w:r>
        <w:t>abstract_source=openalex</w:t>
      </w:r>
    </w:p>
    <w:p>
      <w:pPr>
        <w:spacing w:before="0" w:after="80" w:lineRule="auto" w:line="276"/>
      </w:pPr>
      <w:r>
        <w:rPr>
          <w:b/>
        </w:rPr>
        <w:t xml:space="preserve">摘要（ZH）: </w:t>
      </w:r>
      <w:r>
        <w:t>超粘性空气过滤器 封面图片展示了一种高性能空气过滤机制，其中过滤器表面上具有动态共价键的薄聚合物粘合剂层可捕获灰尘颗粒。通过在灰尘周围形成弯液面，空气过滤器通过毛细管力实现强大的粘附力；这些动态相互作用使空气过滤器能够有效地捕获灰尘，从而显着提高过滤性能。更多详细信息，请参阅 Chae Bin Kim、Sanghyuk Woo 及其同事的研究文章 (DOI: 10.1002/adma.202600006)。</w:t>
      </w:r>
    </w:p>
    <w:p>
      <w:pPr>
        <w:spacing w:before="0" w:after="200" w:lineRule="auto" w:line="276"/>
      </w:pPr>
      <w:r>
        <w:rPr>
          <w:b/>
        </w:rPr>
        <w:t xml:space="preserve">Abstract (EN): </w:t>
      </w:r>
      <w:r>
        <w:t>Super-Adhesive Air Filter The cover image illustrates a high-performance air filtration mechanism where a thin polymeric adhesive layer with dynamic covalent bonds on the filter surface captures dust particles. By forming a meniscus around the dust, the air filter achieves strong adhesion through capillary forces; these dynamic interactions allow the air filter to effectively capture dust, significantly enhancing filtering performance. More details can be found in the Research Article by Chae Bin Kim, Sanghyuk Woo, and co-workers (DOI: 10.1002/adma.202600006).</w:t>
      </w:r>
    </w:p>
    <w:p>
      <w:pPr>
        <w:spacing w:before="120" w:after="120"/>
      </w:pPr>
      <w:r>
        <w:rPr>
          <w:sz w:val="18"/>
        </w:rPr>
        <w:t>——————————————————————————————————————————————————————————————————————</w:t>
      </w:r>
    </w:p>
    <w:p>
      <w:pPr>
        <w:spacing w:before="160" w:after="40" w:line="240" w:lineRule="auto"/>
      </w:pPr>
      <w:r>
        <w:rPr>
          <w:b/>
        </w:rPr>
        <w:t xml:space="preserve">[454] </w:t>
      </w:r>
      <w:hyperlink r:id="rId1259">
        <w:r>
          <w:rPr>
            <w:color w:val="1155CC"/>
            <w:u w:val="single"/>
          </w:rPr>
          <w:t>高熵工程纳米诱导剂用于时空程序性全光下垂和近红外放大癌症免疫治疗</w:t>
        </w:r>
      </w:hyperlink>
    </w:p>
    <w:p>
      <w:pPr>
        <w:spacing w:before="0" w:after="80"/>
      </w:pPr>
      <w:r>
        <w:rPr>
          <w:i/>
          <w:sz w:val="20"/>
        </w:rPr>
        <w:t>EN: High‐Entropy‐Engineered Nanoinducer for Spatiotemporally Programmed PANoptosis and NIR‐Amplified Cancer Immunotherapy</w:t>
      </w:r>
    </w:p>
    <w:p>
      <w:pPr>
        <w:spacing w:before="0" w:after="120"/>
      </w:pPr>
      <w:r>
        <w:rPr>
          <w:b/>
        </w:rPr>
        <w:t xml:space="preserve">Source: </w:t>
      </w:r>
      <w:r>
        <w:t>Wiley: Advanced Materials: Table of Contents</w:t>
      </w:r>
      <w:r>
        <w:t xml:space="preserve">    </w:t>
      </w:r>
      <w:r>
        <w:rPr>
          <w:b/>
        </w:rPr>
        <w:t xml:space="preserve">Pub date: </w:t>
      </w:r>
      <w:r>
        <w:t>2026-07-28 11:26:34+00:00</w:t>
      </w:r>
      <w:r>
        <w:t xml:space="preserve">    </w:t>
      </w:r>
      <w:r>
        <w:rPr>
          <w:b/>
        </w:rPr>
        <w:t xml:space="preserve">DOI: </w:t>
      </w:r>
      <w:hyperlink r:id="rId1260">
        <w:r>
          <w:rPr>
            <w:color w:val="1155CC"/>
            <w:u w:val="single"/>
          </w:rPr>
          <w:t>10.1002/adma.74319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PANoptosis 已成为增强抗肿瘤免疫反应的一种引人注目的策略。然而，在不影响正常组织的情况下实现特定的全光性癌细胞死亡仍然是一个主要挑战，因为当前的策略受到时空可控性不足和关键效应物质（特别是活性氧（ROS））生成不足的限制。在这项研究中，我们报告了一类由原子分散的高熵金属位点构建的 PANoptosis 纳米诱导剂，可实现时空控制的近红外 (NIR) 放大癌症免疫治疗。所得纳米酶 (HENA@PEG) 独特的高熵金属位点配置通过原子级协同作用提高催化效率，同时通过催化活化实现对 ROS 生成的精确、pH 门控控制。此外，纳米酶介导的光热疗法（PTT）不仅可以诱导直接肿瘤消融，还可以提供外源热能来加速催化反应。内源性和外源性激活的共同编程整合赋予了肿瘤位点适应性生物催化作用，从而实现了 PANoptosis 的精确时空诱导。体外和体内研究均表明，所得纳米诱导剂有效促进树突状细胞成熟和细胞毒性T细胞活化，最终放大抗肿瘤免疫反应并显着抑制4T1肿瘤进展。总的来说，这项工作建立了一种高熵工程纳米诱导剂，克服了非特异性 PANoptosis 和</w:t>
      </w:r>
    </w:p>
    <w:p>
      <w:pPr>
        <w:spacing w:before="0" w:after="200" w:lineRule="auto" w:line="276"/>
      </w:pPr>
      <w:r>
        <w:rPr>
          <w:b/>
        </w:rPr>
        <w:t xml:space="preserve">Abstract (EN): </w:t>
      </w:r>
      <w:r>
        <w:t>PANoptosis has emerged as a compelling strategy to potentiate antitumor immune responses. However, achieving specific PANoptotic cancer‐cell death while sparing normal tissues remains a central challenge, as current strategies are constrained by inadequate spatiotemporal controllability and insufficient generation of key effector species, particularly reactive oxygen species (ROS). In this study, we report a class of PANoptosis nanoinducer constructed from atomically dispersed high‐entropy metal sites, enabling spatiotemporally controlled near‐infrared (NIR)‐amplified cancer immunotherapy. The unique high‐entropy metal‐site configuration of the resulting nanozymes (HENA@PEG) boosts catalytic efficiency through atomic‐level synergism, while enabling precise, pH‐gated control over ROS generation via catalytic activation. In addition, nanozyme‐mediated photothermal therapy (PTT) not only induces direct tumor ablation but also supplies exogenous thermal energy to accelerate the catalytic reactions. The co‐programmed integration of endogenous and exogenous activations confers tumor‐site‐adaptive biocatalysis, thereby enabling precise spatiotemporal induction of PANoptosis. Both in vitro and in vivo investigations reveal that the resulting nanoinducer effectively promotes dendritic cell maturation and cytotoxic T‐cell activation, ultimately amplifying antitumor immune responses and markedly suppressing 4T1 tumor progression. Overall, this work establishes a high‐entropy‐engineered nanoinducer that overcomes the limitations of nonspecific PANoptosis and immune evasion, representing a promising avenue toward more efficient and precisely targeted cancer immunotherapy.</w:t>
      </w:r>
    </w:p>
    <w:p>
      <w:pPr>
        <w:spacing w:before="120" w:after="120"/>
      </w:pPr>
      <w:r>
        <w:rPr>
          <w:sz w:val="18"/>
        </w:rPr>
        <w:t>——————————————————————————————————————————————————————————————————————</w:t>
      </w:r>
    </w:p>
    <w:p>
      <w:pPr>
        <w:spacing w:before="160" w:after="40" w:line="240" w:lineRule="auto"/>
      </w:pPr>
      <w:r>
        <w:rPr>
          <w:b/>
        </w:rPr>
        <w:t xml:space="preserve">[455] </w:t>
      </w:r>
      <w:hyperlink r:id="rId1261">
        <w:r>
          <w:rPr>
            <w:color w:val="1155CC"/>
            <w:u w:val="single"/>
          </w:rPr>
          <w:t>用于高性能胶体量子点红外图像传感器中超鲁棒接口工程的硅氧烷分子胶</w:t>
        </w:r>
      </w:hyperlink>
    </w:p>
    <w:p>
      <w:pPr>
        <w:spacing w:before="0" w:after="80"/>
      </w:pPr>
      <w:r>
        <w:rPr>
          <w:i/>
          <w:sz w:val="20"/>
        </w:rPr>
        <w:t>EN: Siloxane Molecular Glue for Ultrarobust Interface Engineering in High‐Performance Colloidal Quantum Dot Infrared Image Sensors</w:t>
      </w:r>
    </w:p>
    <w:p>
      <w:pPr>
        <w:spacing w:before="0" w:after="120"/>
      </w:pPr>
      <w:r>
        <w:rPr>
          <w:b/>
        </w:rPr>
        <w:t xml:space="preserve">Source: </w:t>
      </w:r>
      <w:r>
        <w:t>Wiley: Advanced Materials: Table of Contents</w:t>
      </w:r>
      <w:r>
        <w:t xml:space="preserve">    </w:t>
      </w:r>
      <w:r>
        <w:rPr>
          <w:b/>
        </w:rPr>
        <w:t xml:space="preserve">Pub date: </w:t>
      </w:r>
      <w:r>
        <w:t>2026-07-28 11:42:33+00:00</w:t>
      </w:r>
      <w:r>
        <w:t xml:space="preserve">    </w:t>
      </w:r>
      <w:r>
        <w:rPr>
          <w:b/>
        </w:rPr>
        <w:t xml:space="preserve">DOI: </w:t>
      </w:r>
      <w:hyperlink r:id="rId1262">
        <w:r>
          <w:rPr>
            <w:color w:val="1155CC"/>
            <w:u w:val="single"/>
          </w:rPr>
          <w:t>10.1002/adma.74386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界面缺陷和较差的机械鲁棒性严重限制了胶体量子点（CQD）光电二极管用于红外成像的性能。在这里，我们引入了一种双功能有机硅烷（3-巯基丙基）甲基二甲氧基硅烷（MDMS）作为界面层，以同时解决倒置 PbS CQD 光电二极管中的这些挑战。 MDMS 分子通过基于硫醇的配位和水解缩合形成交联硅氧烷网络，在 CQD/电子传输层 (ETL) 界面上形成强大的共价桥。这种界面工程不仅增强了机械附着力（在 ASTM D3359 测试中达到 5B 等级，而 C 测试中达到 0B/1B）</w:t>
      </w:r>
      <w:r>
        <w:rPr>
          <w:vertAlign w:val="subscript"/>
        </w:rPr>
        <w:t>60</w:t>
      </w:r>
      <w:r>
        <w:t>控制），而且还为 ALD 生长的 SnO 提供了理想的成核表面</w:t>
      </w:r>
      <w:r>
        <w:rPr>
          <w:vertAlign w:val="subscript"/>
        </w:rPr>
        <w:t>2</w:t>
      </w:r>
      <w:r>
        <w:t>ETL，抑制岛状生长和界面缺陷。优化后的器件可提供 2.37×10 的比探测率</w:t>
      </w:r>
      <w:r>
        <w:rPr>
          <w:vertAlign w:val="subscript"/>
        </w:rPr>
        <w:t>12</w:t>
      </w:r>
      <w:r>
        <w:t>Jones 在 0 V 下于 1550 nm 处工作，同时在 -0.1 V 下保持 79% EQE，与 C 相比，暗电流减少 &gt; 50%</w:t>
      </w:r>
      <w:r>
        <w:rPr>
          <w:vertAlign w:val="subscript"/>
        </w:rPr>
        <w:t>60</w:t>
      </w:r>
      <w:r>
        <w:t>基于控制。与硅 ROIC 的单片集成产生了具有出色的光响应非均匀性 (2.8%) 和空间分辨率（50% MTF 时为 26 lp/mm）的 SWIR 成像仪，展示了硅晶圆的视角和材料辨别力。这项工作为解决 CQD 光电器件中的界面问题提供了一种有效的策略。</w:t>
      </w:r>
    </w:p>
    <w:p>
      <w:pPr>
        <w:spacing w:before="0" w:after="200" w:lineRule="auto" w:line="276"/>
      </w:pPr>
      <w:r>
        <w:rPr>
          <w:b/>
        </w:rPr>
        <w:t xml:space="preserve">Abstract (EN): </w:t>
      </w:r>
      <w:r>
        <w:t>Interfacial defects and poor mechanical robustness critically limit the performance of colloidal quantum dot (CQD) photodiodes for infrared imaging. Here, we introduce a bifunctional organosilane, (3‐mercaptopropyl) methyldimethoxysilane (MDMS), as an interfacial layer to simultaneously address these challenges in inverted PbS CQD photodiodes. MDMS molecules form robust covalent bridging at the CQDs/electron transport layer (ETL) interface through thiol‐based coordination and hydrolysis‐condensation into a cross‐linked siloxane network. This interface engineering not only reinforces mechanical adhesion (achieving 5B rating in ASTM D3359 tests vs. 0B/1B for C</w:t>
      </w:r>
      <w:r>
        <w:rPr>
          <w:vertAlign w:val="subscript"/>
        </w:rPr>
        <w:t>60</w:t>
      </w:r>
      <w:r>
        <w:t>controls) but also provides an ideal nucleation surface for ALD‐grown SnO</w:t>
      </w:r>
      <w:r>
        <w:rPr>
          <w:vertAlign w:val="subscript"/>
        </w:rPr>
        <w:t>2</w:t>
      </w:r>
      <w:r>
        <w:t>ETL, suppressing island‐like growth and interfacial defects. The optimized devices deliver a specific detectivity of 2.37×10</w:t>
      </w:r>
      <w:r>
        <w:rPr>
          <w:vertAlign w:val="subscript"/>
        </w:rPr>
        <w:t>12</w:t>
      </w:r>
      <w:r>
        <w:t>Jones at 1550 nm under 0 V while maintaining 79% EQE under −0.1 V, with dark current reduced by &amp;gt;50% compared to C</w:t>
      </w:r>
      <w:r>
        <w:rPr>
          <w:vertAlign w:val="subscript"/>
        </w:rPr>
        <w:t>60</w:t>
      </w:r>
      <w:r>
        <w:t>‐based controls. Monolithic integration with a silicon ROIC yields a SWIR imager with outstanding photoresponse non‐uniformity (2.8%) and spatial resolution (26 lp/mm at 50% MTF), demonstrating silicon wafer perspectivity and material discrimination. This work provides an efficient strategy for addressing interfacial issues in CQD optoelectronics.</w:t>
      </w:r>
    </w:p>
    <w:p>
      <w:pPr>
        <w:spacing w:before="120" w:after="120"/>
      </w:pPr>
      <w:r>
        <w:rPr>
          <w:sz w:val="18"/>
        </w:rPr>
        <w:t>——————————————————————————————————————————————————————————————————————</w:t>
      </w:r>
    </w:p>
    <w:p>
      <w:pPr>
        <w:spacing w:before="160" w:after="40" w:line="240" w:lineRule="auto"/>
      </w:pPr>
      <w:r>
        <w:rPr>
          <w:b/>
        </w:rPr>
        <w:t xml:space="preserve">[456] </w:t>
      </w:r>
      <w:hyperlink r:id="rId1263">
        <w:r>
          <w:rPr>
            <w:color w:val="1155CC"/>
            <w:u w:val="single"/>
          </w:rPr>
          <w:t>生物粘液介导的自烧结液态金属墨水，用于具有软刚性界面的坚固电子纺织品</w:t>
        </w:r>
      </w:hyperlink>
    </w:p>
    <w:p>
      <w:pPr>
        <w:spacing w:before="0" w:after="80"/>
      </w:pPr>
      <w:r>
        <w:rPr>
          <w:i/>
          <w:sz w:val="20"/>
        </w:rPr>
        <w:t>EN: Biomucilage‐Mediated Self‐Sintering Liquid Metal Ink for Robust Electronic Textiles With Soft‐Rigid Interfaces</w:t>
      </w:r>
    </w:p>
    <w:p>
      <w:pPr>
        <w:spacing w:before="0" w:after="120"/>
      </w:pPr>
      <w:r>
        <w:rPr>
          <w:b/>
        </w:rPr>
        <w:t xml:space="preserve">Source: </w:t>
      </w:r>
      <w:r>
        <w:t>Wiley: Advanced Materials: Table of Contents</w:t>
      </w:r>
      <w:r>
        <w:t xml:space="preserve">    </w:t>
      </w:r>
      <w:r>
        <w:rPr>
          <w:b/>
        </w:rPr>
        <w:t xml:space="preserve">Pub date: </w:t>
      </w:r>
      <w:r>
        <w:t>2026-07-28 11:57:57+00:00</w:t>
      </w:r>
      <w:r>
        <w:t xml:space="preserve">    </w:t>
      </w:r>
      <w:r>
        <w:rPr>
          <w:b/>
        </w:rPr>
        <w:t xml:space="preserve">DOI: </w:t>
      </w:r>
      <w:hyperlink r:id="rId1264">
        <w:r>
          <w:rPr>
            <w:color w:val="1155CC"/>
            <w:u w:val="single"/>
          </w:rPr>
          <w:t>10.1002/adma.74370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子纺织品（e-textiles）的进步取决于与织物的柔软、透气和可变形性质相匹配的导电材料的无缝集成。然而，由于传统导电材料的界面稳定性差、拉伸性有限和润湿性不足，在纺织品上实现耐用电路仍然具有挑战性。液态金属虽然具有导电性和可变形性，但由于表面张力高、润湿性差，很难粘附在纺织品上。在这里，我们报告了一种生物粘液介导的液态金属（bio-LM）墨水，它可以直接印刷到各种纺织品上，干燥后自动烧结成高导电性和坚固的电路。生物LM墨水与纺织品形成牢固的结合，产生可变形的互连件，表现出稳定的电气性能，在重复15%拉伸和20°C-50°C温度范围内电阻变化低于4%。此外，我们开发了类孔电互连（e-hole）结构，将生物LM和铜之间的物理锚固与化学合金结合起来，在软纺织品和刚性部件之间创建类似焊料的坚固电连接。为了验证其适用性，我们展示了一个集成的闭环电子纺织系统，能够实时肌肉疲劳监测和按需热疗。这种生物LM墨水为坚固、可扩展和皮肤舒适的电子纺织品奠定了新的材料基础，超越了传统的电路集成，转向透气、弹性和耐用的健康监测平台。</w:t>
      </w:r>
    </w:p>
    <w:p>
      <w:pPr>
        <w:spacing w:before="0" w:after="200" w:lineRule="auto" w:line="276"/>
      </w:pPr>
      <w:r>
        <w:rPr>
          <w:b/>
        </w:rPr>
        <w:t xml:space="preserve">Abstract (EN): </w:t>
      </w:r>
      <w:r>
        <w:t>The advancement of electronic textiles (e‐textiles) depends on seamless integration of conductive materials that match the soft, breathable, and deformable nature of fabrics. However, achieving durable circuits on textiles remains challenging due to poor interfacial stability, limited stretchability, and inadequate wettability of conventional conductive materials. Liquid metal, while conductive and deformable, is difficult to adhere to textiles because of high surface tension and poor wettability. Here, we report a biomucilage‐mediated liquid metal (bio‐LM) ink that can be directly printed onto various textiles and, upon drying, autonomously self‐sinters into highly conductive and robust circuits. The bio‐LM ink forms strong bonds with textile, resulting in deformable interconnects that exhibit stable electrical performance, with resistance variations below 4% under repeated 15% stretching and across 20°C–50°C. Furthermore, we developed hole‐like electrical interconnect (e‐hole) structures that combine physical anchoring with chemical alloying between bio‐LM and copper, creating solder‐like, robust electrical junctions between soft textiles and rigid components. To verify its applicability, we demonstrate an integrated, closed‐loop e‐textile system capable of real‐time muscle fatigue monitoring and on‐demand heat therapy. This bio‐LM ink establishes a new material foundation for robust, scalable, and skin‐comfortable e‐textiles, moving beyond conventional circuit integration toward breathable, elastic, and durable health‐monitoring platforms.</w:t>
      </w:r>
    </w:p>
    <w:p>
      <w:pPr>
        <w:spacing w:before="120" w:after="120"/>
      </w:pPr>
      <w:r>
        <w:rPr>
          <w:sz w:val="18"/>
        </w:rPr>
        <w:t>——————————————————————————————————————————————————————————————————————</w:t>
      </w:r>
    </w:p>
    <w:p>
      <w:pPr>
        <w:spacing w:before="160" w:after="40" w:line="240" w:lineRule="auto"/>
      </w:pPr>
      <w:r>
        <w:rPr>
          <w:b/>
        </w:rPr>
        <w:t xml:space="preserve">[457] </w:t>
      </w:r>
      <w:hyperlink r:id="rId1265">
        <w:r>
          <w:rPr>
            <w:color w:val="1155CC"/>
            <w:u w:val="single"/>
          </w:rPr>
          <w:t>适用于窄带、定向和偏振 OLED 的强耦合混合模式</w:t>
        </w:r>
      </w:hyperlink>
    </w:p>
    <w:p>
      <w:pPr>
        <w:spacing w:before="0" w:after="80"/>
      </w:pPr>
      <w:r>
        <w:rPr>
          <w:i/>
          <w:sz w:val="20"/>
        </w:rPr>
        <w:t>EN: Strong Coupling Hybrid Modes for Narrow‐band, Directional and Polarized OLEDs</w:t>
      </w:r>
    </w:p>
    <w:p>
      <w:pPr>
        <w:spacing w:before="0" w:after="120"/>
      </w:pPr>
      <w:r>
        <w:rPr>
          <w:b/>
        </w:rPr>
        <w:t xml:space="preserve">Source: </w:t>
      </w:r>
      <w:r>
        <w:t>Wiley: Advanced Materials: Table of Contents</w:t>
      </w:r>
      <w:r>
        <w:t xml:space="preserve">    </w:t>
      </w:r>
      <w:r>
        <w:rPr>
          <w:b/>
        </w:rPr>
        <w:t xml:space="preserve">Pub date: </w:t>
      </w:r>
      <w:r>
        <w:t>2026-07-28 12:00:29+00:00</w:t>
      </w:r>
      <w:r>
        <w:t xml:space="preserve">    </w:t>
      </w:r>
      <w:r>
        <w:rPr>
          <w:b/>
        </w:rPr>
        <w:t xml:space="preserve">DOI: </w:t>
      </w:r>
      <w:hyperlink r:id="rId1266">
        <w:r>
          <w:rPr>
            <w:color w:val="1155CC"/>
            <w:u w:val="single"/>
          </w:rPr>
          <w:t>10.1002/adma.202521853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线性偏振有机发光二极管（LP-OLED）具有高色纯度和定向发射的特点，已成为近眼显示、全息投影和高精度光学传感的重要光源。然而，能够同时控制色纯度、方向性、偏振和光电效率等多个参数的策略仍然是 OLED 开发中尚未解决的挑战。在此，我们展示了一种蓝色发光 OLED，它通过强光子-光子模式耦合微腔架构实现了高色纯度和高度定向横向电 (TE) 偏振发射。通过将二阶法布里-珀罗模式与一阶光栅微腔模式混合，系统实现了强耦合，模式分裂能量为321 me。因此，所得的偏振OLED表现出优异的性能，包括17.3 dB的横向电/横向磁偏振消光比、3.4%的外量子效率以及17.0 nm的窄半峰全宽和10°的角分布。这些发现验证了微腔耦合在先进光电器件中的实际可行性，特别是在显示技术和光子集成方面。</w:t>
      </w:r>
    </w:p>
    <w:p>
      <w:pPr>
        <w:spacing w:before="0" w:after="200" w:lineRule="auto" w:line="276"/>
      </w:pPr>
      <w:r>
        <w:rPr>
          <w:b/>
        </w:rPr>
        <w:t xml:space="preserve">Abstract (EN): </w:t>
      </w:r>
      <w:r>
        <w:t>Linearly polarized organic light‐emitting diodes (LP‐OLEDs) featuring high color purity and directional emission have become essential light sources for near‐eye displays, holographic projection, and high‐precision optical sensing. However, a strategy capable of simultaneously controlling multiple parameters including color purity, directionality, polarization, and optoelectronic efficiency has remained an unmet challenge in OLED development. Herein, we demonstrate a blue‐emitting OLED that combines high color purity with highly directional transverse‐electric (TE)‐polarized emission, realized through a strongly photon‐photon mode‐coupled microcavity architecture. By hybridizing the second‐order Fabry‐Perot mode with the first‐order grating microcavity mode, the system achieves strong coupling with a mode splitting energy of 321 me. Consequently, the resulting polarized OLED exhibits outstanding performance including a transverse‐electric/transverse‐magnetic polarization extinction ratio of 17.3 dB, an external quantum efficiency of 3.4%, and a narrow full width at half maximum of 17.0 nm with an angular distribution of 10°. These findings validate the practical viability of microcavity coupling for advancing optoelectronic devices, particularly in display technologies and photonic integration.</w:t>
      </w:r>
    </w:p>
    <w:p>
      <w:pPr>
        <w:spacing w:before="120" w:after="120"/>
      </w:pPr>
      <w:r>
        <w:rPr>
          <w:sz w:val="18"/>
        </w:rPr>
        <w:t>——————————————————————————————————————————————————————————————————————</w:t>
      </w:r>
    </w:p>
    <w:p>
      <w:pPr>
        <w:spacing w:before="160" w:after="40" w:line="240" w:lineRule="auto"/>
      </w:pPr>
      <w:r>
        <w:rPr>
          <w:b/>
        </w:rPr>
        <w:t xml:space="preserve">[458] </w:t>
      </w:r>
      <w:hyperlink r:id="rId1267">
        <w:r>
          <w:rPr>
            <w:color w:val="1155CC"/>
            <w:u w:val="single"/>
          </w:rPr>
          <w:t>大气集水用吸湿盐包埋复合材料的热力学稳定边界</w:t>
        </w:r>
      </w:hyperlink>
    </w:p>
    <w:p>
      <w:pPr>
        <w:spacing w:before="0" w:after="80"/>
      </w:pPr>
      <w:r>
        <w:rPr>
          <w:i/>
          <w:sz w:val="20"/>
        </w:rPr>
        <w:t>EN: Thermodynamic Stability Boundary of Hygroscopic Salt‐Embedded Composite Materials for Atmospheric Water Harvesting</w:t>
      </w:r>
    </w:p>
    <w:p>
      <w:pPr>
        <w:spacing w:before="0" w:after="120"/>
      </w:pPr>
      <w:r>
        <w:rPr>
          <w:b/>
        </w:rPr>
        <w:t xml:space="preserve">Source: </w:t>
      </w:r>
      <w:r>
        <w:t>Wiley: Advanced Materials: Table of Contents</w:t>
      </w:r>
      <w:r>
        <w:t xml:space="preserve">    </w:t>
      </w:r>
      <w:r>
        <w:rPr>
          <w:b/>
        </w:rPr>
        <w:t xml:space="preserve">Pub date: </w:t>
      </w:r>
      <w:r>
        <w:t>2026-07-28 12:13:36+00:00</w:t>
      </w:r>
      <w:r>
        <w:t xml:space="preserve">    </w:t>
      </w:r>
      <w:r>
        <w:rPr>
          <w:b/>
        </w:rPr>
        <w:t xml:space="preserve">DOI: </w:t>
      </w:r>
      <w:hyperlink r:id="rId1268">
        <w:r>
          <w:rPr>
            <w:color w:val="1155CC"/>
            <w:u w:val="single"/>
          </w:rPr>
          <w:t>10.1002/adma.74364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吸湿盐嵌入复合材料（HSCM）在基于吸附的大气水收集（SAWH）方面很有前景，因为它们结合了吸湿盐的高吸附能力和多孔基质的动力学增强特性。然而，人们为提高这些新兴材料的效率付出了广泛的努力，而其稳定性却受到相对较少的关注。这一观点强调了 HSCM 的盐泄漏是限制其在 SAWH 中长期应用的一个关键挑战。我们首先介绍了HSCM在干旱地区的优势，并重点介绍了盐泄漏问题。我们进一步评估盐泄漏对材料、系统、环境和人类健康的潜在多尺度影响。在此基础上，我们建立了热力学稳定性边界框架，通过比较生成的盐溶液的平衡体积与基质的承载能力来估计HSCM的泄漏风险。最后，我们提出了设计策略来指导可持续 SAWH 的下一代无泄漏 HSCM 的开发。</w:t>
      </w:r>
    </w:p>
    <w:p>
      <w:pPr>
        <w:spacing w:before="0" w:after="200" w:lineRule="auto" w:line="276"/>
      </w:pPr>
      <w:r>
        <w:rPr>
          <w:b/>
        </w:rPr>
        <w:t xml:space="preserve">Abstract (EN): </w:t>
      </w:r>
      <w:r>
        <w:t>Hygroscopic salt‐embedded composite materials (HSCMs) are promising for sorption‐based atmospheric water harvesting (SAWH), because they combine the high sorption capacities of hygroscopic salts with the kinetics‐enhancing properties of porous matrices. However, extensive efforts have been devoted to enhancing the efficiency of these emerging materials, while their stability has received comparatively less attention. This perspective highlights salt leakage from HSCMs as a critical challenge limiting their long‐term application in SAWH. We first introduce the advantages of HSCMs in arid regions and highlight the issues of salt leakage. We further assess the potential multiscale impacts of salt leakage on materials, systems, environment, and human health. On this basis, we establish a thermodynamic stability boundary framework to estimate the leakage risk of HSCMs by comparing the equilibrium volume of the generated salt solution with the carrying capacity of the matrix. Finally, we propose design strategies to guide the development of next‐generation leakage‐free HSCMs for sustainable SAWH.</w:t>
      </w:r>
    </w:p>
    <w:p>
      <w:pPr>
        <w:spacing w:before="120" w:after="120"/>
      </w:pPr>
      <w:r>
        <w:rPr>
          <w:sz w:val="18"/>
        </w:rPr>
        <w:t>——————————————————————————————————————————————————————————————————————</w:t>
      </w:r>
    </w:p>
    <w:p>
      <w:pPr>
        <w:spacing w:before="160" w:after="40" w:line="240" w:lineRule="auto"/>
      </w:pPr>
      <w:r>
        <w:rPr>
          <w:b/>
        </w:rPr>
        <w:t xml:space="preserve">[459] </w:t>
      </w:r>
      <w:hyperlink r:id="rId1269">
        <w:r>
          <w:rPr>
            <w:color w:val="1155CC"/>
            <w:u w:val="single"/>
          </w:rPr>
          <w:t>用于器官共形可拉伸生物界面的超薄压电微结构的一步直接写入和原位极化</w:t>
        </w:r>
      </w:hyperlink>
    </w:p>
    <w:p>
      <w:pPr>
        <w:spacing w:before="0" w:after="80"/>
      </w:pPr>
      <w:r>
        <w:rPr>
          <w:i/>
          <w:sz w:val="20"/>
        </w:rPr>
        <w:t>EN: One‐Step Direct Writing and In Situ Poling of Ultrathin Piezoelectric Microarchitectures for Organ‐Conformal Stretchable Biointerfaces</w:t>
      </w:r>
    </w:p>
    <w:p>
      <w:pPr>
        <w:spacing w:before="0" w:after="120"/>
      </w:pPr>
      <w:r>
        <w:rPr>
          <w:b/>
        </w:rPr>
        <w:t xml:space="preserve">Source: </w:t>
      </w:r>
      <w:r>
        <w:t>Wiley: Advanced Materials: Table of Contents</w:t>
      </w:r>
      <w:r>
        <w:t xml:space="preserve">    </w:t>
      </w:r>
      <w:r>
        <w:rPr>
          <w:b/>
        </w:rPr>
        <w:t xml:space="preserve">Pub date: </w:t>
      </w:r>
      <w:r>
        <w:t>2026-07-28 12:20:07+00:00</w:t>
      </w:r>
      <w:r>
        <w:t xml:space="preserve">    </w:t>
      </w:r>
      <w:r>
        <w:rPr>
          <w:b/>
        </w:rPr>
        <w:t xml:space="preserve">DOI: </w:t>
      </w:r>
      <w:hyperlink r:id="rId1270">
        <w:r>
          <w:rPr>
            <w:color w:val="1155CC"/>
            <w:u w:val="single"/>
          </w:rPr>
          <w:t>10.1002/adma.74367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薄、可拉伸压电生物界面的发展从根本上受到限制，因为缺乏能够同时以机械兼容格式提供精确微结构图案和稳定极化的制造策略。在这里，我们报告了一种具有原位极化的一步电流体动力学（EHD）直写策略，能够同时制造和极化独立式超薄压电微架构，而无需后处理。通过EHD沉积和聚合物结晶的控制调制，将这种制造方法与基于热塑性聚氨酯（TPU）和压电P（VDF-TrFE）的机制引导设计相结合，我们通过引入结构异质性来控制晶粒尺寸并压平极化势垒，以实现34.5 pm V的高且稳定的压电系数</w:t>
      </w:r>
      <w:r>
        <w:t xml:space="preserve"> </w:t>
      </w:r>
      <w:r>
        <w:t>−1</w:t>
      </w:r>
      <w:r>
        <w:t xml:space="preserve"> </w:t>
      </w:r>
      <w:r>
        <w:t>在高度可拉伸的架构中。由此产生的低于 20 µm 的蛇形微结构表现出优异的机械顺应性、长期压电稳定性和确定性的结构可编程性。与透气、粘附可控的弹性体生物界面集成，确保与柔软、湿润的组织实现稳健的保形耦合。离体演示验证了胃机械状态的可靠检测和分类，突出了器官适形压电生物界面的制造平台。这项工作提供了一个通用的策略来克服长期存在的问题</w:t>
      </w:r>
    </w:p>
    <w:p>
      <w:pPr>
        <w:spacing w:before="0" w:after="200" w:lineRule="auto" w:line="276"/>
      </w:pPr>
      <w:r>
        <w:rPr>
          <w:b/>
        </w:rPr>
        <w:t xml:space="preserve">Abstract (EN): </w:t>
      </w:r>
      <w:r>
        <w:t>The development of ultrathin, stretchable piezoelectric biointerfaces is fundamentally constrained by the lack of manufacturing strategies capable of simultaneously delivering precise microarchitectural patterning and stable polarization in mechanically compliant formats. Here, we report a one‐step electrohydrodynamic (EHD) direct‐writing strategy with in situ poling, enabling the concurrent fabrication and polarization of free‐standing, ultrathin piezoelectric microarchitectures without post‐processing. By coupling this manufacturing approach with a mechanism‐guided design based on thermoplastic polyurethane (TPU) and piezoelectric P(VDF‐TrFE) through controlled modulation of EHD deposition and polymer crystallization, we manipulate grain size and flatten the polarization barrier by introducing structural heterogeneity to achieve a high and stable piezoelectric coefficient of 34.5 pm V</w:t>
      </w:r>
      <w:r>
        <w:t xml:space="preserve"> </w:t>
      </w:r>
      <w:r>
        <w:t>−1</w:t>
      </w:r>
      <w:r>
        <w:t xml:space="preserve"> </w:t>
      </w:r>
      <w:r>
        <w:t>in a highly stretchable architecture. The resulting sub‐20 µm serpentine microarchitectures exhibit excellent mechanical compliance, long‐term piezoelectric stability and deterministic architectural programmability. Integration with a breathable, controlled‐adhesion elastomeric biointerface ensures robust conformal coupling to soft, wet tissue. Ex vivo demonstrations validate reliable detection and classification of gastric mechanical states, highlighting a manufacturing‐enabled platform for organ‐conformal piezoelectric biointerfaces. This work offers a generalizable strategy to overcome long‐standing trade‐offs between piezoelectric performance, stretchability, and ultrathin form factors, paving the way for diverse applications in biointegrated electronics and soft sensing, and healthcare systems.</w:t>
      </w:r>
    </w:p>
    <w:p>
      <w:pPr>
        <w:spacing w:before="120" w:after="120"/>
      </w:pPr>
      <w:r>
        <w:rPr>
          <w:sz w:val="18"/>
        </w:rPr>
        <w:t>——————————————————————————————————————————————————————————————————————</w:t>
      </w:r>
    </w:p>
    <w:p>
      <w:pPr>
        <w:spacing w:before="160" w:after="40" w:line="240" w:lineRule="auto"/>
      </w:pPr>
      <w:r>
        <w:rPr>
          <w:b/>
        </w:rPr>
        <w:t xml:space="preserve">[460] </w:t>
      </w:r>
      <w:hyperlink r:id="rId1271">
        <w:r>
          <w:rPr>
            <w:color w:val="1155CC"/>
            <w:u w:val="single"/>
          </w:rPr>
          <w:t>通过电子状态非线性变化进行压电声动力治疗的钕单原子调节器</w:t>
        </w:r>
      </w:hyperlink>
    </w:p>
    <w:p>
      <w:pPr>
        <w:spacing w:before="0" w:after="80"/>
      </w:pPr>
      <w:r>
        <w:rPr>
          <w:i/>
          <w:sz w:val="20"/>
        </w:rPr>
        <w:t>EN: Neodymium Single‐Atom Regulator via Electronic State Nonlinear Change for Piezoelectric Sonodynamic Therapy</w:t>
      </w:r>
    </w:p>
    <w:p>
      <w:pPr>
        <w:spacing w:before="0" w:after="120"/>
      </w:pPr>
      <w:r>
        <w:rPr>
          <w:b/>
        </w:rPr>
        <w:t xml:space="preserve">Source: </w:t>
      </w:r>
      <w:r>
        <w:t>Wiley: Advanced Materials: Table of Contents</w:t>
      </w:r>
      <w:r>
        <w:t xml:space="preserve">    </w:t>
      </w:r>
      <w:r>
        <w:rPr>
          <w:b/>
        </w:rPr>
        <w:t xml:space="preserve">Pub date: </w:t>
      </w:r>
      <w:r>
        <w:t>2026-07-28 12:26:10+00:00</w:t>
      </w:r>
      <w:r>
        <w:t xml:space="preserve">    </w:t>
      </w:r>
      <w:r>
        <w:rPr>
          <w:b/>
        </w:rPr>
        <w:t xml:space="preserve">DOI: </w:t>
      </w:r>
      <w:hyperlink r:id="rId1272">
        <w:r>
          <w:rPr>
            <w:color w:val="1155CC"/>
            <w:u w:val="single"/>
          </w:rPr>
          <w:t>10.1002/adma.74294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年来，利用压电材料的超声敏感特性进行抗肿瘤治疗已成为快速发展的治疗方法。然而，有限的压电催化效率严重限制了压电声动力疗法（SDT）的疗效。仍然迫切需要提出有效的策略来提高压电催化效率。在这项研究中，我们通过将 Nd 单原子负载在富含空位的 Bi 上构建了一种钕 (Nd) 单原子电子调节器。</w:t>
      </w:r>
      <w:r>
        <w:rPr>
          <w:vertAlign w:val="subscript"/>
        </w:rPr>
        <w:t>2</w:t>
      </w:r>
      <w:r>
        <w:t>氧</w:t>
      </w:r>
      <w:r>
        <w:rPr>
          <w:vertAlign w:val="subscript"/>
        </w:rPr>
        <w:t>3</w:t>
      </w:r>
      <w:r>
        <w:t>支持（Nd SAB）。 Nd单原子的引入提供了调节电子转移并增强吸附氧活化的电子，促进超声（US）照射下有毒活性氧（ROS）的产生，从而抑制肿瘤细胞。体外和体内实验均表明，Nd SABs 能有效产生 ROS，并在 US 照射下表现出优异的抗肿瘤作用。此外，Nd SAB 上的 Nd 单原子可以在 808 nm 激光照射下发出所需的第二近红外窗口 (NIR-II) 发射，从而实现 NIR-II 荧光成像。该工作不仅提出了利用稀土单原子电子调节器提高压电催化效率的策略，还报道了Nd单原子的NIR-II发射，拓展了稀土单原子系统在肿瘤诊断和治疗领域的应用。</w:t>
      </w:r>
    </w:p>
    <w:p>
      <w:pPr>
        <w:spacing w:before="0" w:after="200" w:lineRule="auto" w:line="276"/>
      </w:pPr>
      <w:r>
        <w:rPr>
          <w:b/>
        </w:rPr>
        <w:t xml:space="preserve">Abstract (EN): </w:t>
      </w:r>
      <w:r>
        <w:t>In recent years, using ultrasound‐sensitive characteristics of piezoelectric materials for antitumor therapy has become a rapidly developing therapeutic method. However, the limited piezoelectric catalytic efficiency severely constrains the efficacy of piezoelectric sonodynamic therapy (SDT). It is still urgent to propose effective strategies to improve the efficiency of piezoelectric catalysis. In this study, we construct a neodymium (Nd) single‐atoms electronic regulator by loading Nd single‐atoms on vacancy‐enriched Bi</w:t>
      </w:r>
      <w:r>
        <w:rPr>
          <w:vertAlign w:val="subscript"/>
        </w:rPr>
        <w:t>2</w:t>
      </w:r>
      <w:r>
        <w:t>O</w:t>
      </w:r>
      <w:r>
        <w:rPr>
          <w:vertAlign w:val="subscript"/>
        </w:rPr>
        <w:t>3</w:t>
      </w:r>
      <w:r>
        <w:t>support (Nd SABs). The introduction of Nd single‐atoms provides electrons that modulate electron transfer and enhance the activation of adsorbed oxygen, promoting the production of toxic reactive oxygen species (ROS) under ultrasound (US) irradiation to inhibit tumor cells. Both in vitro and in vivo experiments show that Nd SABs efficiently generate ROS and exhibit excellent antitumor effects under US irradiation. In addition, Nd single‐atoms on Nd SABs can emit the desired second near‐infrared window (NIR‐II) emission under 808 nm laser irradiation to achieve NIR‐II fluorescence imaging. This work not only proposes a strategy of using rare earth single‐atom electronic regulators to improve piezoelectric catalytic efficiency, but also reports NIR‐II emission of Nd single‐atoms, which expands the application of rare earth single‐atoms systems in the field of tumor diagnosis and therapy.</w:t>
      </w:r>
    </w:p>
    <w:p>
      <w:pPr>
        <w:spacing w:before="120" w:after="120"/>
      </w:pPr>
      <w:r>
        <w:rPr>
          <w:sz w:val="18"/>
        </w:rPr>
        <w:t>——————————————————————————————————————————————————————————————————————</w:t>
      </w:r>
    </w:p>
    <w:p>
      <w:pPr>
        <w:spacing w:before="160" w:after="40" w:line="240" w:lineRule="auto"/>
      </w:pPr>
      <w:r>
        <w:rPr>
          <w:b/>
        </w:rPr>
        <w:t xml:space="preserve">[461] </w:t>
      </w:r>
      <w:hyperlink r:id="rId1273">
        <w:r>
          <w:rPr>
            <w:color w:val="1155CC"/>
            <w:u w:val="single"/>
          </w:rPr>
          <w:t>用于耐缺氧光动力治疗的氧再生近红外 Aza-BODIPY 光敏剂</w:t>
        </w:r>
      </w:hyperlink>
    </w:p>
    <w:p>
      <w:pPr>
        <w:spacing w:before="0" w:after="80"/>
      </w:pPr>
      <w:r>
        <w:rPr>
          <w:i/>
          <w:sz w:val="20"/>
        </w:rPr>
        <w:t>EN: Oxygen‐Regenerative NIR Aza‐BODIPY Photosensitizers for Hypoxia‐Tolerant Photodynamic Therapy</w:t>
      </w:r>
    </w:p>
    <w:p>
      <w:pPr>
        <w:spacing w:before="0" w:after="120"/>
      </w:pPr>
      <w:r>
        <w:rPr>
          <w:b/>
        </w:rPr>
        <w:t xml:space="preserve">Source: </w:t>
      </w:r>
      <w:r>
        <w:t>Wiley: Advanced Materials: Table of Contents</w:t>
      </w:r>
      <w:r>
        <w:t xml:space="preserve">    </w:t>
      </w:r>
      <w:r>
        <w:rPr>
          <w:b/>
        </w:rPr>
        <w:t xml:space="preserve">Pub date: </w:t>
      </w:r>
      <w:r>
        <w:t>2026-07-28 12:27:24+00:00</w:t>
      </w:r>
      <w:r>
        <w:t xml:space="preserve">    </w:t>
      </w:r>
      <w:r>
        <w:rPr>
          <w:b/>
        </w:rPr>
        <w:t xml:space="preserve">DOI: </w:t>
      </w:r>
      <w:hyperlink r:id="rId1274">
        <w:r>
          <w:rPr>
            <w:color w:val="1155CC"/>
            <w:u w:val="single"/>
          </w:rPr>
          <w:t>10.1002/adma.74272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近红外 (NIR) 光敏剂 (PS) 能够在超过 800 nm 的激发下通过氧参与电子和能量转移途径产生细胞毒性活性氧 (ROS)，对于深组织光动力治疗 (PDT) 非常有吸引力。然而，它们的ROS生成从根本上受到长波长激发的低光子能量和缺氧肿瘤微环境的限制。在此，我们报道了三种氧再生近红外氮杂-BODIPY PS，用于在 808 nm 激发下进行有效的耐缺氧 PDT。机理研究确定 PS 自由基离子对是耦合水氧化驱动的原位 O 的关键中间体</w:t>
      </w:r>
      <w:r>
        <w:rPr>
          <w:vertAlign w:val="subscript"/>
        </w:rPr>
        <w:t>2</w:t>
      </w:r>
      <w:r>
        <w:t>/质子（H</w:t>
      </w:r>
      <w:r>
        <w:t xml:space="preserve"> </w:t>
      </w:r>
      <w:r>
        <w:t>+</w:t>
      </w:r>
      <w:r>
        <w:t xml:space="preserve"> </w:t>
      </w:r>
      <w:r>
        <w:t>）产生下游氧还原，以实现有效的耐缺氧·OH 生产。并行、高效的 H</w:t>
      </w:r>
      <w:r>
        <w:t xml:space="preserve"> </w:t>
      </w:r>
      <w:r>
        <w:t>+</w:t>
      </w:r>
      <w:r>
        <w:t xml:space="preserve"> </w:t>
      </w:r>
      <w:r>
        <w:t>一代强H</w:t>
      </w:r>
      <w:r>
        <w:t xml:space="preserve"> </w:t>
      </w:r>
      <w:r>
        <w:t>+</w:t>
      </w:r>
      <w:r>
        <w:t xml:space="preserve"> </w:t>
      </w:r>
      <w:r>
        <w:t>目标PS的亲和力（</w:t>
      </w:r>
      <w:r>
        <w:t xml:space="preserve"> </w:t>
      </w:r>
      <w:r>
        <w:t>新泽西853</w:t>
      </w:r>
      <w:r>
        <w:t xml:space="preserve"> </w:t>
      </w:r>
      <w:r>
        <w:t>）促进H</w:t>
      </w:r>
      <w:r>
        <w:t xml:space="preserve"> </w:t>
      </w:r>
      <w:r>
        <w:t>+</w:t>
      </w:r>
      <w:r>
        <w:t xml:space="preserve"> </w:t>
      </w:r>
      <w:r>
        <w:t>‐参与氧光还原，与商业 PS 吲哚菁绿 (ICG) 相比，•OH 的生成量增加约 56 倍。这种耐缺氧的细胞内 ROS 生成使得</w:t>
      </w:r>
      <w:r>
        <w:t xml:space="preserve"> </w:t>
      </w:r>
      <w:r>
        <w:t>NJ853@NPs</w:t>
      </w:r>
      <w:r>
        <w:t xml:space="preserve"> </w:t>
      </w:r>
      <w:r>
        <w:t>在 808 nm 照射下诱导以凋亡为主的癌细胞杀伤和卓越的体内 PDT 功效。这项工作为近红外光PS建立了一条氧再生光氧化还原途径，开辟了新的途径</w:t>
      </w:r>
    </w:p>
    <w:p>
      <w:pPr>
        <w:spacing w:before="0" w:after="200" w:lineRule="auto" w:line="276"/>
      </w:pPr>
      <w:r>
        <w:rPr>
          <w:b/>
        </w:rPr>
        <w:t xml:space="preserve">Abstract (EN): </w:t>
      </w:r>
      <w:r>
        <w:t>Near‐infrared (NIR) photosensitizers (PSs) capable of producing cytotoxic reactive oxygen species (ROS) via oxygen‐engaged electron‐ and energy‐transfer pathways under excitation beyond 800 nm are highly attractive for deep‐tissue photodynamic therapy (PDT). However, their ROS generation is fundamentally limited by the low photon energy of long‐wavelength excitation and the hypoxic tumor microenvironment. Herein, we report three oxygen‐regenerative NIR aza‐BODIPY PSs for efficient hypoxia‐tolerant PDT under 808 nm excitation. Mechanistic studies identify PS radical‐ion pairs as the key intermediates that couple water oxidation‐driven in situ O</w:t>
      </w:r>
      <w:r>
        <w:rPr>
          <w:vertAlign w:val="subscript"/>
        </w:rPr>
        <w:t>2</w:t>
      </w:r>
      <w:r>
        <w:t>/proton (H</w:t>
      </w:r>
      <w:r>
        <w:t xml:space="preserve"> </w:t>
      </w:r>
      <w:r>
        <w:t>+</w:t>
      </w:r>
      <w:r>
        <w:t xml:space="preserve"> </w:t>
      </w:r>
      <w:r>
        <w:t>) generation with downstream oxygen reduction to enable efficient hypoxia‐tolerant •OH production. In parallel, efficient H</w:t>
      </w:r>
      <w:r>
        <w:t xml:space="preserve"> </w:t>
      </w:r>
      <w:r>
        <w:t>+</w:t>
      </w:r>
      <w:r>
        <w:t xml:space="preserve"> </w:t>
      </w:r>
      <w:r>
        <w:t>generation and strong H</w:t>
      </w:r>
      <w:r>
        <w:t xml:space="preserve"> </w:t>
      </w:r>
      <w:r>
        <w:t>+</w:t>
      </w:r>
      <w:r>
        <w:t xml:space="preserve"> </w:t>
      </w:r>
      <w:r>
        <w:t>affinity of the target PS (</w:t>
      </w:r>
      <w:r>
        <w:t xml:space="preserve"> </w:t>
      </w:r>
      <w:r>
        <w:t>NJ853</w:t>
      </w:r>
      <w:r>
        <w:t xml:space="preserve"> </w:t>
      </w:r>
      <w:r>
        <w:t>) promote H</w:t>
      </w:r>
      <w:r>
        <w:t xml:space="preserve"> </w:t>
      </w:r>
      <w:r>
        <w:t>+</w:t>
      </w:r>
      <w:r>
        <w:t xml:space="preserve"> </w:t>
      </w:r>
      <w:r>
        <w:t>‐engaged oxygen photoreduction, affording a ∼56‐fold enhancement in •OH generation compared with commercial PS indocyanine green (ICG). This hypoxia‐tolerant intracellular ROS generation enables</w:t>
      </w:r>
      <w:r>
        <w:t xml:space="preserve"> </w:t>
      </w:r>
      <w:r>
        <w:t>NJ853@NPs</w:t>
      </w:r>
      <w:r>
        <w:t xml:space="preserve"> </w:t>
      </w:r>
      <w:r>
        <w:t>to induce apoptosis‐dominant cancer cell killing and superior in vivo PDT efficacy under 808 nm irradiation. This work establishes an oxygen‐regenerative photoredox pathway for NIR PSs, opening a new avenue to overcome the longstanding hypoxia limitation in deep‐tissue PDT.</w:t>
      </w:r>
    </w:p>
    <w:p>
      <w:pPr>
        <w:spacing w:before="120" w:after="120"/>
      </w:pPr>
      <w:r>
        <w:rPr>
          <w:sz w:val="18"/>
        </w:rPr>
        <w:t>——————————————————————————————————————————————————————————————————————</w:t>
      </w:r>
    </w:p>
    <w:p>
      <w:pPr>
        <w:spacing w:before="160" w:after="40" w:line="240" w:lineRule="auto"/>
      </w:pPr>
      <w:r>
        <w:rPr>
          <w:b/>
        </w:rPr>
        <w:t xml:space="preserve">[462] </w:t>
      </w:r>
      <w:hyperlink r:id="rId1275">
        <w:r>
          <w:rPr>
            <w:color w:val="1155CC"/>
            <w:u w:val="single"/>
          </w:rPr>
          <w:t>通过生物电子平台快速血液学分析 GPNMB/GRN 比率，用于帕金森病的早期诊断</w:t>
        </w:r>
      </w:hyperlink>
    </w:p>
    <w:p>
      <w:pPr>
        <w:spacing w:before="0" w:after="80"/>
      </w:pPr>
      <w:r>
        <w:rPr>
          <w:i/>
          <w:sz w:val="20"/>
        </w:rPr>
        <w:t>EN: Rapid Hematological Profiling of the GPNMB/GRN Ratio via Bioelectronic Platform for Early Diagnosis of Parkinson's Disease</w:t>
      </w:r>
    </w:p>
    <w:p>
      <w:pPr>
        <w:spacing w:before="0" w:after="120"/>
      </w:pPr>
      <w:r>
        <w:rPr>
          <w:b/>
        </w:rPr>
        <w:t xml:space="preserve">Source: </w:t>
      </w:r>
      <w:r>
        <w:t>Wiley: Advanced Materials: Table of Contents</w:t>
      </w:r>
      <w:r>
        <w:t xml:space="preserve">    </w:t>
      </w:r>
      <w:r>
        <w:rPr>
          <w:b/>
        </w:rPr>
        <w:t xml:space="preserve">Pub date: </w:t>
      </w:r>
      <w:r>
        <w:t>2026-07-28 12:28:44+00:00</w:t>
      </w:r>
      <w:r>
        <w:t xml:space="preserve">    </w:t>
      </w:r>
      <w:r>
        <w:rPr>
          <w:b/>
        </w:rPr>
        <w:t xml:space="preserve">DOI: </w:t>
      </w:r>
      <w:hyperlink r:id="rId1276">
        <w:r>
          <w:rPr>
            <w:color w:val="1155CC"/>
            <w:u w:val="single"/>
          </w:rPr>
          <w:t>10.1002/adma.74326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由于缺乏可靠的复合生物标志物和快速、灵敏且经济高效的检测平台，帕金森病 (PD) 的早期血液诊断仍然具有挑战性。在这里，我们报告了一种基于由激光诱导石墨烯（LIG）阵列驱动的有机电化学晶体管（OECT）的生物电子传感器。通过集成交流 (AC) 介导的 LIG 快速孵育系统 (LRIS)，该平台能够在大约 6 分钟内直接对临床样本进行多重蛋白质分析，检测限达到阿摩尔级。我们将糖蛋白非转移性黑色素瘤蛋白 B (GPNMB)/颗粒蛋白 (GRN) 比率确定为神经炎症失调的敏感复合生物标志物，在疾病早期阶段显示出明显的变化，并补充用于 PD 评估的 α-突触核蛋白。在从轻度到重度阶段的 PD 小鼠模型中（</w:t>
      </w:r>
      <w:r>
        <w:t xml:space="preserve"> </w:t>
      </w:r>
      <w:r>
        <w:t>n</w:t>
      </w:r>
      <w:r>
        <w:t xml:space="preserve"> </w:t>
      </w:r>
      <w:r>
        <w:t>= 32），该比率与疾病进展相关，并且能够检测轻度神经元损失。在健康个体和 PD 或前驱 PD 患者中进行的临床验证（</w:t>
      </w:r>
      <w:r>
        <w:t xml:space="preserve"> </w:t>
      </w:r>
      <w:r>
        <w:t>n</w:t>
      </w:r>
      <w:r>
        <w:t xml:space="preserve"> </w:t>
      </w:r>
      <w:r>
        <w:t>= 54）表明，GPNMB/GRN 比率以 80% 的敏感性、90% 的特异性和 85% 的准确性区分 PD 患者和健康对照。纳入 α-突触核蛋白进一步提高了诊断准确性。这种生物标志物平台策略为基于血液的 PD 筛查和早期风险评估提供了快速、超灵敏且可扩展的框架。</w:t>
      </w:r>
    </w:p>
    <w:p>
      <w:pPr>
        <w:spacing w:before="0" w:after="200" w:lineRule="auto" w:line="276"/>
      </w:pPr>
      <w:r>
        <w:rPr>
          <w:b/>
        </w:rPr>
        <w:t xml:space="preserve">Abstract (EN): </w:t>
      </w:r>
      <w:r>
        <w:t>Early blood‐based diagnosis of Parkinson's disease (PD) remains challenging owing to the lack of reliable composite biomarkers and rapid, sensitive, and cost‐effective detection platforms. Here, we report a bioelectronic sensor based on an organic electrochemical transistor (OECT) driven by a laser‐induced graphene (LIG) array. By integrating an alternating‐current (AC)‐mediated LIG rapid incubation system (LRIS), the platform enables multiplexed protein profiling directly from clinical samples within approximately 6 min, with attomolar‐level detection limits. We identify the glycoprotein non‐metastatic melanoma protein B (GPNMB)/granulin (GRN) ratio as a sensitive composite biomarker of neuroinflammatory dysregulation, showing pronounced alterations at early disease stages and complementing α‐synuclein for PD assessment. In PD mouse models spanning mild to severe stages (</w:t>
      </w:r>
      <w:r>
        <w:t xml:space="preserve"> </w:t>
      </w:r>
      <w:r>
        <w:t>n</w:t>
      </w:r>
      <w:r>
        <w:t xml:space="preserve"> </w:t>
      </w:r>
      <w:r>
        <w:t>= 32), this ratio correlated with disease progression and enabled the detection of mild neuronal loss. Clinical validation in healthy individuals and patients with PD or prodromal PD (</w:t>
      </w:r>
      <w:r>
        <w:t xml:space="preserve"> </w:t>
      </w:r>
      <w:r>
        <w:t>n</w:t>
      </w:r>
      <w:r>
        <w:t xml:space="preserve"> </w:t>
      </w:r>
      <w:r>
        <w:t>= 54) showed that the GPNMB/GRN ratio distinguished patients with PD from healthy controls with 80% sensitivity, 90% specificity, and 85% accuracy. Incorporating α‐synuclein further improved diagnostic accuracy. This biomarker–platform strategy provides a rapid, ultrasensitive, and scalable framework for blood‐based PD screening and early risk assessment.</w:t>
      </w:r>
    </w:p>
    <w:p>
      <w:pPr>
        <w:spacing w:before="120" w:after="120"/>
      </w:pPr>
      <w:r>
        <w:rPr>
          <w:sz w:val="18"/>
        </w:rPr>
        <w:t>——————————————————————————————————————————————————————————————————————</w:t>
      </w:r>
    </w:p>
    <w:p>
      <w:pPr>
        <w:spacing w:before="160" w:after="40" w:line="240" w:lineRule="auto"/>
      </w:pPr>
      <w:r>
        <w:rPr>
          <w:b/>
        </w:rPr>
        <w:t xml:space="preserve">[463] </w:t>
      </w:r>
      <w:hyperlink r:id="rId1277">
        <w:r>
          <w:rPr>
            <w:color w:val="1155CC"/>
            <w:u w:val="single"/>
          </w:rPr>
          <w:t>用于管状水凝胶原位制造的弯液面引导界面逐环组装</w:t>
        </w:r>
      </w:hyperlink>
    </w:p>
    <w:p>
      <w:pPr>
        <w:spacing w:before="0" w:after="80"/>
      </w:pPr>
      <w:r>
        <w:rPr>
          <w:i/>
          <w:sz w:val="20"/>
        </w:rPr>
        <w:t>EN: Meniscus‐Guided Interfacial Ring‐by‐Ring Assembly for In Situ Fabrication of Tubular Hydrogels</w:t>
      </w:r>
    </w:p>
    <w:p>
      <w:pPr>
        <w:spacing w:before="0" w:after="120"/>
      </w:pPr>
      <w:r>
        <w:rPr>
          <w:b/>
        </w:rPr>
        <w:t xml:space="preserve">Source: </w:t>
      </w:r>
      <w:r>
        <w:t>Wiley: Advanced Materials: Table of Contents</w:t>
      </w:r>
      <w:r>
        <w:t xml:space="preserve">    </w:t>
      </w:r>
      <w:r>
        <w:rPr>
          <w:b/>
        </w:rPr>
        <w:t xml:space="preserve">Pub date: </w:t>
      </w:r>
      <w:r>
        <w:t>2026-07-28 12:31:55+00:00</w:t>
      </w:r>
      <w:r>
        <w:t xml:space="preserve">    </w:t>
      </w:r>
      <w:r>
        <w:rPr>
          <w:b/>
        </w:rPr>
        <w:t xml:space="preserve">DOI: </w:t>
      </w:r>
      <w:hyperlink r:id="rId1278">
        <w:r>
          <w:rPr>
            <w:color w:val="1155CC"/>
            <w:u w:val="single"/>
          </w:rPr>
          <w:t>10.1002/adma.74064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小动脉尺度血管样结构的制造仍然是工程厚血管化组织的关键障碍。尽管动脉尺度管状支架和毛细血管尺度网络取得了进展，但由于水凝胶固有的柔软性，在小动脉尺度（50 µm-1 mm）上创建管状结构仍然具有挑战性。在这里，我们提出了一种基于微通道内弯液面引导的界面聚合的光流控增材制造方法。表面张力形成稳定的油-水凝胶界面，其中紫外线（UV）照射选择性地将水凝胶前体聚合成环状结构。沿着通道的顺序环形成使得能够原位组装中空管状结构，其内径由轴向照射位置精确控制。该方法进一步扩展到生物相关的较软水凝胶，并且紫外线衰减分析和 PBS 孵育支持所制造的管的结构均匀性和稳定性。使用相应的微通道结构制造具有直的、弯曲的和分支结构的水凝胶管。还实现了具有径向和轴向组合的多材料管状结构，同时减少了材料转换步骤和浪费。此外，将实时弯液面检测与紫外线照射同步可以实现连续的环形成和光滑的管壁。该方法提供了一个多功能平台，用于构建具有受控几何形状、稳定性和垫层的小动脉规模血管样水凝胶结构。</w:t>
      </w:r>
    </w:p>
    <w:p>
      <w:pPr>
        <w:spacing w:before="0" w:after="200" w:lineRule="auto" w:line="276"/>
      </w:pPr>
      <w:r>
        <w:rPr>
          <w:b/>
        </w:rPr>
        <w:t xml:space="preserve">Abstract (EN): </w:t>
      </w:r>
      <w:r>
        <w:t>The fabrication of arteriole‐scale blood vessel‐like structures remains a critical barrier in engineering thick, vascularized tissues. Despite advances in artery‐scale tubular scaffolds and capillary‐scale networks, creating tubular structures at the arteriole scale (50 µm–1 mm) remains challenging because of the intrinsic softness of hydrogels. Here, we present an optofluidic additive‐manufacturing method based on meniscus‐guided interfacial polymerization within microchannels. Surface tension forms a stable oil–hydrogel interface, where ultraviolet (UV) irradiation selectively polymerizes the hydrogel precursor into ring‐like structures. Sequential ring formation along the channel enables in situ assembly of hollow tubular constructs with inner diameters precisely controlled by the axial irradiation position. The method is further extended to biologically relevant softer hydrogels, and UV attenuation analysis and PBS incubation support the structural uniformity and stability of the fabricated tubes. Hydrogel tubes with straight, curved, and branching configurations are fabricated using corresponding microchannel architectures. Multi‐material tubular structures with radial and axial compositions are also realized while reducing material‐switching steps and waste. Furthermore, synchronizing real‐time meniscus detection with UV irradiation enables continuous ring formation and smooth tube walls. This method provides a versatile platform for constructing arteriole‐scale vascular‐like hydrogel structures with controlled geometries, stability, and material compositions.</w:t>
      </w:r>
    </w:p>
    <w:p>
      <w:pPr>
        <w:spacing w:before="120" w:after="120"/>
      </w:pPr>
      <w:r>
        <w:rPr>
          <w:sz w:val="18"/>
        </w:rPr>
        <w:t>——————————————————————————————————————————————————————————————————————</w:t>
      </w:r>
    </w:p>
    <w:p>
      <w:pPr>
        <w:spacing w:before="160" w:after="40" w:line="240" w:lineRule="auto"/>
      </w:pPr>
      <w:r>
        <w:rPr>
          <w:b/>
        </w:rPr>
        <w:t xml:space="preserve">[464] </w:t>
      </w:r>
      <w:hyperlink r:id="rId1279">
        <w:r>
          <w:rPr>
            <w:color w:val="1155CC"/>
            <w:u w:val="single"/>
          </w:rPr>
          <w:t>光响应颗粒水凝胶能够时空控制基质力学和 MSC 行为</w:t>
        </w:r>
      </w:hyperlink>
    </w:p>
    <w:p>
      <w:pPr>
        <w:spacing w:before="0" w:after="80"/>
      </w:pPr>
      <w:r>
        <w:rPr>
          <w:i/>
          <w:sz w:val="20"/>
        </w:rPr>
        <w:t>EN: Photoresponsive Granular Hydrogels Enable Spatiotemporal Control of Matrix Mechanics and MSC Behavior</w:t>
      </w:r>
    </w:p>
    <w:p>
      <w:pPr>
        <w:spacing w:before="0" w:after="120"/>
      </w:pPr>
      <w:r>
        <w:rPr>
          <w:b/>
        </w:rPr>
        <w:t xml:space="preserve">Source: </w:t>
      </w:r>
      <w:r>
        <w:t>Wiley: Advanced Materials: Table of Contents</w:t>
      </w:r>
      <w:r>
        <w:t xml:space="preserve">    </w:t>
      </w:r>
      <w:r>
        <w:rPr>
          <w:b/>
        </w:rPr>
        <w:t xml:space="preserve">Pub date: </w:t>
      </w:r>
      <w:r>
        <w:t>2026-07-28 12:44:22+00:00</w:t>
      </w:r>
      <w:r>
        <w:t xml:space="preserve">    </w:t>
      </w:r>
      <w:r>
        <w:rPr>
          <w:b/>
        </w:rPr>
        <w:t xml:space="preserve">DOI: </w:t>
      </w:r>
      <w:hyperlink r:id="rId1280">
        <w:r>
          <w:rPr>
            <w:color w:val="1155CC"/>
            <w:u w:val="single"/>
          </w:rPr>
          <w:t>10.1002/adma.74258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颗粒水凝胶为工程多孔、细胞指导支架提供了一个强大的平台，具有可调节的机械、结构和生化特性，但引入空间和功能异质性通常需要多个微凝胶群或复杂的制造策略。在这里，我们提出了一个可编程的光响应颗粒水凝胶平台，可以通过单一微凝胶配方对支架力学和细胞微环境进行组装后时空控制。通过应变促进的叠氮-炔环加成合成含有光不稳定烯丙基硫部分的聚乙二醇微凝胶，并组装成能够通过自由基加成断裂链转移进行光介导重塑的颗粒支架。这种化学反应提供了动态、按需和空间定义的机械性能调整（G' = 0.7–3.7 kPa），同时保持支架孔隙率（∼20%）。跨多个长度（6 µm-1 mm）和时间尺度的高分辨率光图案可以实现局部微环境的精确调节。通过形态、yes 相关蛋白 1 (YAP) 核定位和分泌谱的变化观察到，嵌入这些支架中的人间充质干/基质细胞对基质力学的时空调节做出反应。总之，这些结果建立了一种通用且广泛适用的策略，用于编程机械异质性并通过光不稳定部分调节颗粒水凝胶中的细胞行为。</w:t>
      </w:r>
    </w:p>
    <w:p>
      <w:pPr>
        <w:spacing w:before="0" w:after="200" w:lineRule="auto" w:line="276"/>
      </w:pPr>
      <w:r>
        <w:rPr>
          <w:b/>
        </w:rPr>
        <w:t xml:space="preserve">Abstract (EN): </w:t>
      </w:r>
      <w:r>
        <w:t>Granular hydrogels offer a powerful platform for engineering porous, cell‐instructive scaffolds with tunable mechanical, structural, and biochemical properties, yet introducing spatial and functional heterogeneity typically requires multiple microgel populations or complex fabrication strategies. Here, we present a programmable, photoresponsive granular hydrogel platform that enables post‐assembly spatiotemporal control of scaffold mechanics and cell microenvironments from a single microgel formulation. Poly(ethylene glycol) microgels containing photolabile allyl sulfide moieties were synthesized via strain‐promoted azide‐alkyne cycloaddition and assembled into granular scaffolds capable of light‐mediated remodeling through radical addition‐fragmentation chain transfer. This chemistry afforded dynamic, on‐demand, and spatially defined tuning of mechanical properties (G′ = 0.7–3.7 kPa) while maintaining scaffold porosity (∼20%). High‐resolution photopatterning across multiple length (6 µm‐1 mm) and timescales enabled precise modulation of local microenvironments. Human mesenchymal stem/stromal cells embedded in these scaffolds responded to spatiotemporal modulation of matrix mechanics as observed by changes in morphology, yes‐associated protein 1 (YAP) nuclear localization, and secretory profiles. Together, these results establish a versatile and broadly applicable strategy for programming mechanical heterogeneity and regulating cell behavior in granular hydrogels through photolabile moieties.</w:t>
      </w:r>
    </w:p>
    <w:p>
      <w:pPr>
        <w:spacing w:before="120" w:after="120"/>
      </w:pPr>
      <w:r>
        <w:rPr>
          <w:sz w:val="18"/>
        </w:rPr>
        <w:t>——————————————————————————————————————————————————————————————————————</w:t>
      </w:r>
    </w:p>
    <w:p>
      <w:pPr>
        <w:spacing w:before="160" w:after="40" w:line="240" w:lineRule="auto"/>
      </w:pPr>
      <w:r>
        <w:rPr>
          <w:b/>
        </w:rPr>
        <w:t xml:space="preserve">[465] </w:t>
      </w:r>
      <w:hyperlink r:id="rId1281">
        <w:r>
          <w:rPr>
            <w:color w:val="1155CC"/>
            <w:u w:val="single"/>
          </w:rPr>
          <w:t>COF 支持的单原子催化剂中电荷离域和内置电场的协同调节增强 H2O2 光合作用</w:t>
        </w:r>
      </w:hyperlink>
    </w:p>
    <w:p>
      <w:pPr>
        <w:spacing w:before="0" w:after="80"/>
      </w:pPr>
      <w:r>
        <w:rPr>
          <w:i/>
          <w:sz w:val="20"/>
        </w:rPr>
        <w:t>EN: Synergistic Regulation of Charge Delocalization and Built‐In Electric Field in COF‐Supported Single‐Atom Catalysts for Enhanced H2O2 Photosynthesis</w:t>
      </w:r>
    </w:p>
    <w:p>
      <w:pPr>
        <w:spacing w:before="0" w:after="120"/>
      </w:pPr>
      <w:r>
        <w:rPr>
          <w:b/>
        </w:rPr>
        <w:t xml:space="preserve">Source: </w:t>
      </w:r>
      <w:r>
        <w:t>Wiley: Advanced Materials: Table of Contents</w:t>
      </w:r>
      <w:r>
        <w:t xml:space="preserve">    </w:t>
      </w:r>
      <w:r>
        <w:rPr>
          <w:b/>
        </w:rPr>
        <w:t xml:space="preserve">Pub date: </w:t>
      </w:r>
      <w:r>
        <w:t>2026-07-28 13:18:12+00:00</w:t>
      </w:r>
      <w:r>
        <w:t xml:space="preserve">    </w:t>
      </w:r>
      <w:r>
        <w:rPr>
          <w:b/>
        </w:rPr>
        <w:t xml:space="preserve">DOI: </w:t>
      </w:r>
      <w:hyperlink r:id="rId1282">
        <w:r>
          <w:rPr>
            <w:color w:val="1155CC"/>
            <w:u w:val="single"/>
          </w:rPr>
          <w:t>10.1002/adma.74346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光催化产H</w:t>
      </w:r>
      <w:r>
        <w:rPr>
          <w:vertAlign w:val="subscript"/>
        </w:rPr>
        <w:t>2</w:t>
      </w:r>
      <w:r>
        <w:t>氧</w:t>
      </w:r>
      <w:r>
        <w:rPr>
          <w:vertAlign w:val="subscript"/>
        </w:rPr>
        <w:t>2</w:t>
      </w:r>
      <w:r>
        <w:t>从O</w:t>
      </w:r>
      <w:r>
        <w:rPr>
          <w:vertAlign w:val="subscript"/>
        </w:rPr>
        <w:t>2</w:t>
      </w:r>
      <w:r>
        <w:t>很有吸引力，但通常具有自我限制性，因为含氧中间体持续存在于催化剂表面，引发 O─O 键断裂和 H</w:t>
      </w:r>
      <w:r>
        <w:rPr>
          <w:vertAlign w:val="subscript"/>
        </w:rPr>
        <w:t>2</w:t>
      </w:r>
      <w:r>
        <w:t>氧</w:t>
      </w:r>
      <w:r>
        <w:rPr>
          <w:vertAlign w:val="subscript"/>
        </w:rPr>
        <w:t>2</w:t>
      </w:r>
      <w:r>
        <w:t>分解。在这里，我们证明了可以通过协调微环境控制将增强的内置电场与调节的电荷离域相结合来缓解这一瓶颈。磺化共价有机骨架（TpPa-SO</w:t>
      </w:r>
      <w:r>
        <w:rPr>
          <w:vertAlign w:val="subscript"/>
        </w:rPr>
        <w:t>3</w:t>
      </w:r>
      <w:r>
        <w:t>使用H-COF）作为载体，将单个Ni原子锚定在两个不同的位点，形成两种原子分散的催化剂，其具有相同的金属种类，但局部场和配位环境明显不同。理论计算和光谱表征表明，N配位会引起电子密度重新分布，从而使Ni中心的电荷离域，并进一步削弱*OOH吸附。同时，增强的内置电场进一步增强了光生电子空穴分离。因此，N 配位位点 (N</w:t>
      </w:r>
      <w:r>
        <w:rPr>
          <w:vertAlign w:val="subscript"/>
        </w:rPr>
        <w:t>1</w:t>
      </w:r>
      <w:r>
        <w:t>─镍─氧</w:t>
      </w:r>
      <w:r>
        <w:rPr>
          <w:vertAlign w:val="subscript"/>
        </w:rPr>
        <w:t>2</w:t>
      </w:r>
      <w:r>
        <w:t>) 实现了增强的 H</w:t>
      </w:r>
      <w:r>
        <w:rPr>
          <w:vertAlign w:val="subscript"/>
        </w:rPr>
        <w:t>2</w:t>
      </w:r>
      <w:r>
        <w:t>氧</w:t>
      </w:r>
      <w:r>
        <w:rPr>
          <w:vertAlign w:val="subscript"/>
        </w:rPr>
        <w:t>2</w:t>
      </w:r>
      <w:r>
        <w:t>产率为 7189.52 µmol g</w:t>
      </w:r>
      <w:r>
        <w:t xml:space="preserve"> </w:t>
      </w:r>
      <w:r>
        <w:t>−1</w:t>
      </w:r>
    </w:p>
    <w:p>
      <w:pPr>
        <w:spacing w:before="0" w:after="200" w:lineRule="auto" w:line="276"/>
      </w:pPr>
      <w:r>
        <w:rPr>
          <w:b/>
        </w:rPr>
        <w:t xml:space="preserve">Abstract (EN): </w:t>
      </w:r>
      <w:r>
        <w:t>Photocatalytic production of H</w:t>
      </w:r>
      <w:r>
        <w:rPr>
          <w:vertAlign w:val="subscript"/>
        </w:rPr>
        <w:t>2</w:t>
      </w:r>
      <w:r>
        <w:t>O</w:t>
      </w:r>
      <w:r>
        <w:rPr>
          <w:vertAlign w:val="subscript"/>
        </w:rPr>
        <w:t>2</w:t>
      </w:r>
      <w:r>
        <w:t>from O</w:t>
      </w:r>
      <w:r>
        <w:rPr>
          <w:vertAlign w:val="subscript"/>
        </w:rPr>
        <w:t>2</w:t>
      </w:r>
      <w:r>
        <w:t>is attractive yet often self‐limiting because oxygenated intermediates persist on catalyst surfaces triggering O─O bond cleavage and H</w:t>
      </w:r>
      <w:r>
        <w:rPr>
          <w:vertAlign w:val="subscript"/>
        </w:rPr>
        <w:t>2</w:t>
      </w:r>
      <w:r>
        <w:t>O</w:t>
      </w:r>
      <w:r>
        <w:rPr>
          <w:vertAlign w:val="subscript"/>
        </w:rPr>
        <w:t>2</w:t>
      </w:r>
      <w:r>
        <w:t>decomposition. Herein, we demonstrate that this bottleneck can be mitigated by coordination‐microenvironment control coupling an enhanced built‐in electric field with regulated charge delocalization. A sulfonated covalent organic framework (TpPa ‐SO</w:t>
      </w:r>
      <w:r>
        <w:rPr>
          <w:vertAlign w:val="subscript"/>
        </w:rPr>
        <w:t>3</w:t>
      </w:r>
      <w:r>
        <w:t>H‐COF) was used as the support, and single Ni atoms were anchored at two distinct sites to form two atomically dispersed catalysts with the same metal species but markedly different local fields and coordination environments. Theoretical calculations and spectroscopic characterizations indicate that N coordination induces electron density redistribution, thereby enabling charge delocalization at the Ni center and further weakening *OOH adsorption. Meanwhile, a strengthened built‐in electric field further enhances photogenerated electron‐hole separation. As a result, the N‐coordinated site (N</w:t>
      </w:r>
      <w:r>
        <w:rPr>
          <w:vertAlign w:val="subscript"/>
        </w:rPr>
        <w:t>1</w:t>
      </w:r>
      <w:r>
        <w:t>─Ni─O</w:t>
      </w:r>
      <w:r>
        <w:rPr>
          <w:vertAlign w:val="subscript"/>
        </w:rPr>
        <w:t>2</w:t>
      </w:r>
      <w:r>
        <w:t>) achieves an enhanced H</w:t>
      </w:r>
      <w:r>
        <w:rPr>
          <w:vertAlign w:val="subscript"/>
        </w:rPr>
        <w:t>2</w:t>
      </w:r>
      <w:r>
        <w:t>O</w:t>
      </w:r>
      <w:r>
        <w:rPr>
          <w:vertAlign w:val="subscript"/>
        </w:rPr>
        <w:t>2</w:t>
      </w:r>
      <w:r>
        <w:t>production rate of 7189.52 µmol g</w:t>
      </w:r>
      <w:r>
        <w:t xml:space="preserve"> </w:t>
      </w:r>
      <w:r>
        <w:t>−1</w:t>
      </w:r>
      <w:r>
        <w:t xml:space="preserve"> </w:t>
      </w:r>
      <w:r>
        <w:t>·h</w:t>
      </w:r>
      <w:r>
        <w:t xml:space="preserve"> </w:t>
      </w:r>
      <w:r>
        <w:t>−1</w:t>
      </w:r>
      <w:r>
        <w:t xml:space="preserve"> </w:t>
      </w:r>
      <w:r>
        <w:t>under sacrificial‐agent‐free conditions. This work identifies coordination‐driven regulation of the built‐in electric field and charge delocalization as an effective strategy for photocatalytic H</w:t>
      </w:r>
      <w:r>
        <w:rPr>
          <w:vertAlign w:val="subscript"/>
        </w:rPr>
        <w:t>2</w:t>
      </w:r>
      <w:r>
        <w:t>O</w:t>
      </w:r>
      <w:r>
        <w:rPr>
          <w:vertAlign w:val="subscript"/>
        </w:rPr>
        <w:t>2</w:t>
      </w:r>
      <w:r>
        <w:t>synthesis, providing valuable insights for the rational design of efficient photocatalysts.</w:t>
      </w:r>
    </w:p>
    <w:p>
      <w:pPr>
        <w:spacing w:before="120" w:after="120"/>
      </w:pPr>
      <w:r>
        <w:rPr>
          <w:sz w:val="18"/>
        </w:rPr>
        <w:t>——————————————————————————————————————————————————————————————————————</w:t>
      </w:r>
    </w:p>
    <w:p>
      <w:pPr>
        <w:spacing w:before="160" w:after="40" w:line="240" w:lineRule="auto"/>
      </w:pPr>
      <w:r>
        <w:rPr>
          <w:b/>
        </w:rPr>
        <w:t xml:space="preserve">[466] </w:t>
      </w:r>
      <w:hyperlink r:id="rId1283">
        <w:r>
          <w:rPr>
            <w:color w:val="1155CC"/>
            <w:u w:val="single"/>
          </w:rPr>
          <w:t>通过胶状纳米颗粒交联增韧人造蜘蛛丝</w:t>
        </w:r>
      </w:hyperlink>
    </w:p>
    <w:p>
      <w:pPr>
        <w:spacing w:before="0" w:after="80"/>
      </w:pPr>
      <w:r>
        <w:rPr>
          <w:i/>
          <w:sz w:val="20"/>
        </w:rPr>
        <w:t>EN: Toughening Artificial Spider Silk via Glue‐Like Nanoparticle Crosslinks</w:t>
      </w:r>
    </w:p>
    <w:p>
      <w:pPr>
        <w:spacing w:before="0" w:after="120"/>
      </w:pPr>
      <w:r>
        <w:rPr>
          <w:b/>
        </w:rPr>
        <w:t xml:space="preserve">Source: </w:t>
      </w:r>
      <w:r>
        <w:t>Wiley: Advanced Materials: Table of Contents</w:t>
      </w:r>
      <w:r>
        <w:t xml:space="preserve">    </w:t>
      </w:r>
      <w:r>
        <w:rPr>
          <w:b/>
        </w:rPr>
        <w:t xml:space="preserve">Pub date: </w:t>
      </w:r>
      <w:r>
        <w:t>2026-07-28 13:20:31+00:00</w:t>
      </w:r>
      <w:r>
        <w:t xml:space="preserve">    </w:t>
      </w:r>
      <w:r>
        <w:rPr>
          <w:b/>
        </w:rPr>
        <w:t xml:space="preserve">DOI: </w:t>
      </w:r>
      <w:hyperlink r:id="rId1284">
        <w:r>
          <w:rPr>
            <w:color w:val="1155CC"/>
            <w:u w:val="single"/>
          </w:rPr>
          <w:t>10.1002/adma.74252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天然蜘蛛丝通过刚性 β 微晶锚和可拉伸、能量耗散的 β 片层结构域的协同作用实现了其卓越的性能。然而，在仿生系统中完美复制这种架构仍然是一个重大挑战。在这里，我们报告了利用基于仿生胶状纳米粒子（GNP）的混合共价锚定网络（CGN）架构开发超坚韧人造丝纤维。通过将这些 GNP 交联整合到稳定的共价网络中，我们创建了一个系统，其中 GNP 上吸附的聚合物链形成具有大量隐藏长度的动态环。拉伸时，这些环会展开并通过界面键的牺牲断裂耗散大量能量，模仿天然的 β 片层结构域。至关重要的是，调整 GNP 交联尺寸和界面结合强度可以精确调节纤维的机械平衡。此外，稳定的共价骨架充当拓扑锚，对链解吸施加熵惩罚。这种约束抑制聚合物从 GNP 表面脱离，迫使链经历应力诱导的取向并组装成高度排列的纳米原纤维。所得纤维的拉伸强度为 1.25 GPa，韧性为 306 MJ m</w:t>
      </w:r>
      <w:r>
        <w:t xml:space="preserve"> </w:t>
      </w:r>
      <w:r>
        <w:t>−3</w:t>
      </w:r>
      <w:r>
        <w:t xml:space="preserve"> </w:t>
      </w:r>
      <w:r>
        <w:t>，成功再现了原生丝的强韧性协同作用。这种方法为工程高性能纤维提供了一条可扩展的途径，用于人造肌肉和先进的空调应用</w:t>
      </w:r>
    </w:p>
    <w:p>
      <w:pPr>
        <w:spacing w:before="0" w:after="200" w:lineRule="auto" w:line="276"/>
      </w:pPr>
      <w:r>
        <w:rPr>
          <w:b/>
        </w:rPr>
        <w:t xml:space="preserve">Abstract (EN): </w:t>
      </w:r>
      <w:r>
        <w:t>Natural spider silk achieves its exceptional performance through the synergy of rigid β‐crystallite anchors and stretchable, energy‐dissipating β‐sheet domains. However, perfectly replicating this architecture in biomimetic systems remains a significant challenge. Here, we report the development of super‐tough artificial silk fibers utilizing a hybrid covalently anchored network (CGN) architecture based on bioinspired glue‐like nanoparticles (GNPs). By integrating these GNP cross‐links into a stable covalent network, we created a system where adsorbed polymer chains on the GNPs form dynamic loops with substantial hidden lengths. Upon stretching, these loops unfold and dissipate massive energy via the sacrificial rupture of interfacial bonds, mimicking natural β‐sheet domains. Crucially, adjusting GNP cross‐link size and interfacial binding strength enables precise tuning of the fiber's mechanical balance. Furthermore, the stable covalent skeleton serves as a topological anchor, imposing entropic penalties on chain desorption. This constraint suppresses polymer detachment from the GNP surfaces, compelling chains to undergo stress‐induced orientation and assemble into highly aligned nanofibrils. The resulting fibers achieve a tensile strength of 1.25 GPa and a toughness of 306 MJ m</w:t>
      </w:r>
      <w:r>
        <w:t xml:space="preserve"> </w:t>
      </w:r>
      <w:r>
        <w:t>−3</w:t>
      </w:r>
      <w:r>
        <w:t xml:space="preserve"> </w:t>
      </w:r>
      <w:r>
        <w:t>, successfully reproducing the strength–toughness synergy of native silk. This approach offers a scalable pathway for engineering high‐performance fibers for applications in artificial muscles and advanced actuators.</w:t>
      </w:r>
    </w:p>
    <w:p>
      <w:pPr>
        <w:spacing w:before="120" w:after="120"/>
      </w:pPr>
      <w:r>
        <w:rPr>
          <w:sz w:val="18"/>
        </w:rPr>
        <w:t>——————————————————————————————————————————————————————————————————————</w:t>
      </w:r>
    </w:p>
    <w:p>
      <w:pPr>
        <w:spacing w:before="160" w:after="40" w:line="240" w:lineRule="auto"/>
      </w:pPr>
      <w:r>
        <w:rPr>
          <w:b/>
        </w:rPr>
        <w:t xml:space="preserve">[467] </w:t>
      </w:r>
      <w:hyperlink r:id="rId1285">
        <w:r>
          <w:rPr>
            <w:color w:val="1155CC"/>
            <w:u w:val="single"/>
          </w:rPr>
          <w:t>手性交变磁电</w:t>
        </w:r>
      </w:hyperlink>
    </w:p>
    <w:p>
      <w:pPr>
        <w:spacing w:before="0" w:after="80"/>
      </w:pPr>
      <w:r>
        <w:rPr>
          <w:i/>
          <w:sz w:val="20"/>
        </w:rPr>
        <w:t>EN: Chiral Altermagnetic Magnetoelectrics</w:t>
      </w:r>
    </w:p>
    <w:p>
      <w:pPr>
        <w:spacing w:before="0" w:after="120"/>
      </w:pPr>
      <w:r>
        <w:rPr>
          <w:b/>
        </w:rPr>
        <w:t xml:space="preserve">Source: </w:t>
      </w:r>
      <w:r>
        <w:t>Wiley: Advanced Materials: Table of Contents</w:t>
      </w:r>
      <w:r>
        <w:t xml:space="preserve">    </w:t>
      </w:r>
      <w:r>
        <w:rPr>
          <w:b/>
        </w:rPr>
        <w:t xml:space="preserve">Pub date: </w:t>
      </w:r>
      <w:r>
        <w:t>2026-07-28 13:35:33+00:00</w:t>
      </w:r>
      <w:r>
        <w:t xml:space="preserve">    </w:t>
      </w:r>
      <w:r>
        <w:rPr>
          <w:b/>
        </w:rPr>
        <w:t xml:space="preserve">DOI: </w:t>
      </w:r>
      <w:hyperlink r:id="rId1286">
        <w:r>
          <w:rPr>
            <w:color w:val="1155CC"/>
            <w:u w:val="single"/>
          </w:rPr>
          <w:t>10.1002/adma.74303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在这项工作中，我们在结构手性、非极性交变磁系统中引入了一类新型手性交变磁电体，并确定了经过实验充分表征的三维金属有机骨架K[Co(HCOO)]作为一个有前途的材料平台。 K[Co(HCOO)]表现出手性锁定</w:t>
      </w:r>
      <w:r>
        <w:t xml:space="preserve"> </w:t>
      </w:r>
      <w:r>
        <w:t>克</w:t>
      </w:r>
      <w:r>
        <w:t xml:space="preserve"> </w:t>
      </w:r>
      <w:r>
        <w:t>波交变磁自旋分裂以及由尼尔矢量重定向和结构手性控制的双模可切换电极化。具体来说，尼尔矢量重新取向产生有限的电极化并反转其符号，而左手和右手对映体之间的手性切换产生额外的符号反转。相关的电子和光学响应为这些可切换状态提供了有效的读出通道。我们的研究结果表明，手性交变磁电学是实现手性和尼尔矢量控制的非易失性多功能自旋电子学的一条有前途的途径。</w:t>
      </w:r>
    </w:p>
    <w:p>
      <w:pPr>
        <w:spacing w:before="0" w:after="200" w:lineRule="auto" w:line="276"/>
      </w:pPr>
      <w:r>
        <w:rPr>
          <w:b/>
        </w:rPr>
        <w:t xml:space="preserve">Abstract (EN): </w:t>
      </w:r>
      <w:r>
        <w:t>In this work, we introduce a new class of chiral altermagnetic magnetoelectrics in structurally chiral, nonpolar altermagnetic systems and identify the experimentally well‐characterized three‐dimensional metal–organic framework K[Co(HCOO)] as a promising material platform. K[Co(HCOO)] exhibits chirality‐locked</w:t>
      </w:r>
      <w:r>
        <w:t xml:space="preserve"> </w:t>
      </w:r>
      <w:r>
        <w:t>g</w:t>
      </w:r>
      <w:r>
        <w:t xml:space="preserve"> </w:t>
      </w:r>
      <w:r>
        <w:t>‐wave altermagnetic spin splitting together with dual‐mode switchable electric polarization controlled by Néel‐vector reorientation and structural chirality. Specifically, Néel‐vector reorientation generates a finite electric polarization and reverses its sign, whereas chirality switching between left‐ and right‐handed enantiomers produces an additional sign reversal. The associated electronic and optical responses provide effective readout channels for these switchable states. Our results establish chiral altermagnetic magnetoelectrics as a promising route to chirality‐ and Néel‐vector‐controlled nonvolatile multifunctional spintronics.</w:t>
      </w:r>
    </w:p>
    <w:p>
      <w:pPr>
        <w:spacing w:before="120" w:after="120"/>
      </w:pPr>
      <w:r>
        <w:rPr>
          <w:sz w:val="18"/>
        </w:rPr>
        <w:t>——————————————————————————————————————————————————————————————————————</w:t>
      </w:r>
    </w:p>
    <w:p>
      <w:pPr>
        <w:spacing w:before="160" w:after="40" w:line="240" w:lineRule="auto"/>
      </w:pPr>
      <w:r>
        <w:rPr>
          <w:b/>
        </w:rPr>
        <w:t xml:space="preserve">[468] </w:t>
      </w:r>
      <w:hyperlink r:id="rId1287">
        <w:r>
          <w:rPr>
            <w:color w:val="1155CC"/>
            <w:u w:val="single"/>
          </w:rPr>
          <w:t>周质 FeS 电子导管：在合成联盟中调节电耦合和呼吸脱卤</w:t>
        </w:r>
      </w:hyperlink>
    </w:p>
    <w:p>
      <w:pPr>
        <w:spacing w:before="0" w:after="80"/>
      </w:pPr>
      <w:r>
        <w:rPr>
          <w:i/>
          <w:sz w:val="20"/>
        </w:rPr>
        <w:t>EN: Periplasmic FeS Electron Conduits: Tuning Electrocoupling and Respiratory Dehalogenation in a Synthetic Consortium</w:t>
      </w:r>
    </w:p>
    <w:p>
      <w:pPr>
        <w:spacing w:before="0" w:after="120"/>
      </w:pPr>
      <w:r>
        <w:rPr>
          <w:b/>
        </w:rPr>
        <w:t xml:space="preserve">Source: </w:t>
      </w:r>
      <w:r>
        <w:t>Wiley: Angewandte Chemie International Edition: Table of Contents</w:t>
      </w:r>
      <w:r>
        <w:t xml:space="preserve">    </w:t>
      </w:r>
      <w:r>
        <w:rPr>
          <w:b/>
        </w:rPr>
        <w:t xml:space="preserve">Pub date: </w:t>
      </w:r>
      <w:r>
        <w:t>2026-07-28 18:35:17+00:00</w:t>
      </w:r>
      <w:r>
        <w:t xml:space="preserve">    </w:t>
      </w:r>
      <w:r>
        <w:rPr>
          <w:b/>
        </w:rPr>
        <w:t xml:space="preserve">DOI: </w:t>
      </w:r>
      <w:hyperlink r:id="rId1288">
        <w:r>
          <w:rPr>
            <w:color w:val="1155CC"/>
            <w:u w:val="single"/>
          </w:rPr>
          <w:t>10.1002/anie.4522602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细菌细胞内和细菌细胞之间的电子传递是电子受体型底物（EATS）厌氧生物转化的中心瓶颈。使用六溴环十二烷（HBCD）作为模型有机卤素，我们在定义的合成联合体中开发了半胱氨酸脱硫酶（CSD）相关的周质 FeS 生物矿化策略。 CSD 相关的 FeS 形成使得能够在 3 小时内在非硫酸盐还原细菌中快速安装 FeS 导管，主要形成周质导电界面，从而降低界面电荷转移电阻并增加电容电子存储。电化学分析揭示了共培养物特异性的电子转移行为、电子接受能力的增加和传输活性的增强；共培养优于单一培养，这与加强的种间电子转移一致。低溴中间体和溴化物释放的检测支持二卤消除为主的脱溴，与 Fe 匹配的无细胞 FeS 仅占活细胞 Br 的 2.8%</w:t>
      </w:r>
      <w:r>
        <w:t xml:space="preserve"> </w:t>
      </w:r>
      <w:r>
        <w:t>-</w:t>
      </w:r>
      <w:r>
        <w:t>信号。抑制剂分析进一步表明，FeS 改变了电子转移行为，从 NADH/甲基萘醌相关步骤转向最终还原过程，这与呼吸瓶颈的缓解一致。结构预测和对接支持一个工作模型，其中 QueG 样、钴胺素依赖性候选末端还原酶可能参与 HBCD 还原，而 FeS 导管增强局部电子传递、电荷转移行为</w:t>
      </w:r>
    </w:p>
    <w:p>
      <w:pPr>
        <w:spacing w:before="0" w:after="200" w:lineRule="auto" w:line="276"/>
      </w:pPr>
      <w:r>
        <w:rPr>
          <w:b/>
        </w:rPr>
        <w:t xml:space="preserve">Abstract (EN): </w:t>
      </w:r>
      <w:r>
        <w:t>Electron delivery within and between bacterial cells is a central bottleneck in anaerobic biotransformation of electron acceptor‐type substrates (EATS). Using hexabromocyclododecane (HBCD) as a model organohalogen, we developed a cysteine desulfhydrase (CSD)‐associated periplasmic FeS biomineralization strategy in a defined synthetic consortium. CSD‐associated FeS formation enabled rapid installation of FeS conduits in non‐sulfate‐reducing bacteria within ∼3 h, forming predominantly periplasmic conductive interfaces that lowered interfacial charge‐transfer resistance and increased capacitive electron storage. Electrochemical analyses revealed coculture‐specific electron‐transfer behavior, increased electron‐accepting capacity, and enhanced transport activity; cocultures outperformed monocultures, consistent with strengthened interspecies electron transfer. Detection of lower‐brominated intermediates and bromide release supported dihaloelimination‐dominated debromination, with Fe‐matched cell‐free FeS accounting for only 2.8% of the live‐cell Br</w:t>
      </w:r>
      <w:r>
        <w:t xml:space="preserve"> </w:t>
      </w:r>
      <w:r>
        <w:t>−</w:t>
      </w:r>
      <w:r>
        <w:t>signal. Inhibitor profiling further suggested that FeS alters electron‐transfer behavior from NADH/menaquinone‐linked steps toward terminal reductive processes, consistent with relief of respiratory bottlenecks. Structure prediction and docking support a working model in which a QueG‐like, cobalamin‐dependent candidate terminal reductase may participate in HBCD reduction, while FeS conduits enhance local electron delivery, charge‐transfer behavior, and whole‐cell debromination. Overall, periplasmic FeS conduits provide a CSD‐associated interfacial strategy to modulate electron flux in this defined coculture, highlighting a potentially transferable route for transforming emerging organohalogens and other EATS.</w:t>
      </w:r>
    </w:p>
    <w:p>
      <w:pPr>
        <w:spacing w:before="120" w:after="120"/>
      </w:pPr>
      <w:r>
        <w:rPr>
          <w:sz w:val="18"/>
        </w:rPr>
        <w:t>——————————————————————————————————————————————————————————————————————</w:t>
      </w:r>
    </w:p>
    <w:p>
      <w:pPr>
        <w:spacing w:before="160" w:after="40" w:line="240" w:lineRule="auto"/>
      </w:pPr>
      <w:r>
        <w:rPr>
          <w:b/>
        </w:rPr>
        <w:t xml:space="preserve">[469] </w:t>
      </w:r>
      <w:hyperlink r:id="rId1289">
        <w:r>
          <w:rPr>
            <w:color w:val="1155CC"/>
            <w:u w:val="single"/>
          </w:rPr>
          <w:t>通过协同氢转移过程进行锰催化极化烯烃的不对称转移氢化</w:t>
        </w:r>
      </w:hyperlink>
    </w:p>
    <w:p>
      <w:pPr>
        <w:spacing w:before="0" w:after="80"/>
      </w:pPr>
      <w:r>
        <w:rPr>
          <w:i/>
          <w:sz w:val="20"/>
        </w:rPr>
        <w:t>EN: Manganese‐Catalyzed Asymmetric Transfer Hydrogenation of Polarized Olefins via a Collaborative Hydrogen Transfer Process</w:t>
      </w:r>
    </w:p>
    <w:p>
      <w:pPr>
        <w:spacing w:before="0" w:after="120"/>
      </w:pPr>
      <w:r>
        <w:rPr>
          <w:b/>
        </w:rPr>
        <w:t xml:space="preserve">Source: </w:t>
      </w:r>
      <w:r>
        <w:t>Wiley: Angewandte Chemie International Edition: Table of Contents</w:t>
      </w:r>
      <w:r>
        <w:t xml:space="preserve">    </w:t>
      </w:r>
      <w:r>
        <w:rPr>
          <w:b/>
        </w:rPr>
        <w:t xml:space="preserve">Pub date: </w:t>
      </w:r>
      <w:r>
        <w:t>2026-07-28 18:39:02+00:00</w:t>
      </w:r>
      <w:r>
        <w:t xml:space="preserve">    </w:t>
      </w:r>
      <w:r>
        <w:rPr>
          <w:b/>
        </w:rPr>
        <w:t xml:space="preserve">DOI: </w:t>
      </w:r>
      <w:hyperlink r:id="rId1290">
        <w:r>
          <w:rPr>
            <w:color w:val="1155CC"/>
            <w:u w:val="single"/>
          </w:rPr>
          <w:t>10.1002/anie.3186961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烯烃的不对称（转移）氢化是制备用于药物、农用化学品和精细化学品的手性分子的重要途径。尽管这种转化已在钌基、铑基和铱基催化剂上得到充分证实，但由地球上丰富的金属催化的类似反应仍然有限，特别是对于无环烯烃。在这里，我们报道了一种锰催化系统，能够高度对映选择性地还原环状和无环烯烃，以高达 99% 的产率和 &gt;99% 的产率提供多种手性产物</w:t>
      </w:r>
      <w:r>
        <w:t xml:space="preserve"> </w:t>
      </w:r>
      <w:r>
        <w:t>伊</w:t>
      </w:r>
      <w:r>
        <w:t xml:space="preserve"> </w:t>
      </w:r>
      <w:r>
        <w:t>。密度泛函理论（DFT）研究表明，该反应主要通过涉及六元过渡态的协同氢转移途径进行。这些结果扩大了锰催化不对称烯烃转移氢化的范围，并为贱金属催化剂的氢转移提供了机理见解。</w:t>
      </w:r>
    </w:p>
    <w:p>
      <w:pPr>
        <w:spacing w:before="0" w:after="200" w:lineRule="auto" w:line="276"/>
      </w:pPr>
      <w:r>
        <w:rPr>
          <w:b/>
        </w:rPr>
        <w:t xml:space="preserve">Abstract (EN): </w:t>
      </w:r>
      <w:r>
        <w:t>Asymmetric (transfer) hydrogenation of olefins is an important route to chiral molecules used in pharmaceuticals, agrochemicals, and fine chemicals. Although this transformation is well established with ruthenium‐, rhodium‐, and iridium‐based catalysts, analogous reactions catalyzed by earth‐abundant metals remain limited, particularly for acyclic olefins. Here we report a manganese catalytic system that enables highly enantioselective reduction of both cyclic and acyclic olefins, delivering diverse chiral products in up to 99% yield and &amp;gt;99%</w:t>
      </w:r>
      <w:r>
        <w:t xml:space="preserve"> </w:t>
      </w:r>
      <w:r>
        <w:t>ee</w:t>
      </w:r>
      <w:r>
        <w:t xml:space="preserve"> </w:t>
      </w:r>
      <w:r>
        <w:t>. Density functional theory (DFT) studies indicate that the reaction proceeds predominantly through a concerted hydrogen‐transfer pathway involving a six‐membered transition state. These results expand the scope of manganese‐catalyzed asymmetric olefin transfer hydrogenation and provide mechanistic insight into hydrogen transfer by base‐metal catalysts.</w:t>
      </w:r>
    </w:p>
    <w:p>
      <w:pPr>
        <w:spacing w:before="120" w:after="120"/>
      </w:pPr>
      <w:r>
        <w:rPr>
          <w:sz w:val="18"/>
        </w:rPr>
        <w:t>——————————————————————————————————————————————————————————————————————</w:t>
      </w:r>
    </w:p>
    <w:p>
      <w:pPr>
        <w:spacing w:before="160" w:after="40" w:line="240" w:lineRule="auto"/>
      </w:pPr>
      <w:r>
        <w:rPr>
          <w:b/>
        </w:rPr>
        <w:t xml:space="preserve">[470] </w:t>
      </w:r>
      <w:hyperlink r:id="rId1291">
        <w:r>
          <w:rPr>
            <w:color w:val="1155CC"/>
            <w:u w:val="single"/>
          </w:rPr>
          <w:t>WW 结构域结合蛋白 4 的选择性且有效的首创 CRBN 依赖性分子胶降解剂</w:t>
        </w:r>
      </w:hyperlink>
    </w:p>
    <w:p>
      <w:pPr>
        <w:spacing w:before="0" w:after="80"/>
      </w:pPr>
      <w:r>
        <w:rPr>
          <w:i/>
          <w:sz w:val="20"/>
        </w:rPr>
        <w:t>EN: Selective and Potent First‐in‐Class CRBN‐Dependent Molecular Glue Degraders of WW Domain‐Binding Protein 4</w:t>
      </w:r>
    </w:p>
    <w:p>
      <w:pPr>
        <w:spacing w:before="0" w:after="120"/>
      </w:pPr>
      <w:r>
        <w:rPr>
          <w:b/>
        </w:rPr>
        <w:t xml:space="preserve">Source: </w:t>
      </w:r>
      <w:r>
        <w:t>Wiley: Angewandte Chemie International Edition: Table of Contents</w:t>
      </w:r>
      <w:r>
        <w:t xml:space="preserve">    </w:t>
      </w:r>
      <w:r>
        <w:rPr>
          <w:b/>
        </w:rPr>
        <w:t xml:space="preserve">Pub date: </w:t>
      </w:r>
      <w:r>
        <w:t>2026-07-28 18:42:25+00:00</w:t>
      </w:r>
      <w:r>
        <w:t xml:space="preserve">    </w:t>
      </w:r>
      <w:r>
        <w:rPr>
          <w:b/>
        </w:rPr>
        <w:t xml:space="preserve">DOI: </w:t>
      </w:r>
      <w:hyperlink r:id="rId1292">
        <w:r>
          <w:rPr>
            <w:color w:val="1155CC"/>
            <w:u w:val="single"/>
          </w:rPr>
          <w:t>10.1002/anie.1973691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通过分子胶进行靶向蛋白质降解代表了调节“不可成药”蛋白质的强大方式。在此，通过 CRBN 结合文库的蛋白质组学分析和严格的构效关系 (SAR) 细化，我们报告了 dWBP4-1 的发现：剪接体相关支架蛋白 WBP4 的一流、高选择性、CRBN 依赖性分子胶降解剂。 dWBP4-1 通过典型的 G 环介导机制诱导 WBP4 快速、纳摩尔降解，表现出异常的蛋白质组选择性，且转录组或选择性剪接扰动可忽略不计。利用这种高度特异性的靶标-胶相互作用，我们将最小的 WBP4 降解决定子映射到 41 个氨基酸序列，以建立一个紧凑的、可诱导的化学遗传平台，称为 wTAG。当与不同的目标蛋白融合时，wTAG 能够实现稳健、单调的降解，而没有钩状效应。虽然 wTAG 系统具有高度通用性，但当应用于具有挑战性的目标（如 Cyclin D1）时，我们划定了其边界，其中必须仔细询问诸如空间位阻、赖氨酸可用性、复杂隔离和标签可访问性（N 端与 C 端融合）等因素。总的来说，这项研究强调了高度选择性 WBP4 分子胶的发现，并将其潜在的降解决定子转化为精确蛋白质控制的强大工具。</w:t>
      </w:r>
    </w:p>
    <w:p>
      <w:pPr>
        <w:spacing w:before="0" w:after="200" w:lineRule="auto" w:line="276"/>
      </w:pPr>
      <w:r>
        <w:rPr>
          <w:b/>
        </w:rPr>
        <w:t xml:space="preserve">Abstract (EN): </w:t>
      </w:r>
      <w:r>
        <w:t>Targeted protein degradation via molecular glues represents a powerful modality for modulating “undruggable” proteins. Herein, through proteomic profiling of a CRBN‐binding library and rigorous structure‐activity relationship (SAR) refinement, we report the discovery of dWBP4‐1: a first‐in‐class, highly selective, CRBN‐dependent molecular glue degrader of the spliceosome‐associated scaffold protein WBP4. dWBP4‐1 induces rapid, nanomolar degradation of WBP4 via a canonical G‐loop‐mediated mechanism, exhibiting exceptional proteome‐wide selectivity with negligible transcriptomic or alternative splicing perturbation. Leveraging this highly specific target‐glue interaction, we mapped the minimal WBP4 degron to a 41‐amino‐acid sequence to establish a compact, inducible chemical‐genetic platform termed wTAG. When fused to diverse proteins of interest, wTAG enables robust, monotonic degradation devoid of the hook effect. While the wTAG system is highly versatile, we delineate its boundaries when applied to challenging targets like Cyclin D1, where factors such as steric hindrance, lysine availability, complex sequestration, and tag accessibility (N‐ vs. C‐terminal fusion) must be carefully interrogated. Collectively, this study highlights the discovery of a highly selective WBP4 molecular glue and translates its underlying degron into a robust tool for precise protein control.</w:t>
      </w:r>
    </w:p>
    <w:p>
      <w:pPr>
        <w:spacing w:before="120" w:after="120"/>
      </w:pPr>
      <w:r>
        <w:rPr>
          <w:sz w:val="18"/>
        </w:rPr>
        <w:t>——————————————————————————————————————————————————————————————————————</w:t>
      </w:r>
    </w:p>
    <w:p>
      <w:pPr>
        <w:spacing w:before="160" w:after="40" w:line="240" w:lineRule="auto"/>
      </w:pPr>
      <w:r>
        <w:rPr>
          <w:b/>
        </w:rPr>
        <w:t xml:space="preserve">[471] </w:t>
      </w:r>
      <w:hyperlink r:id="rId1293">
        <w:r>
          <w:rPr>
            <w:color w:val="1155CC"/>
            <w:u w:val="single"/>
          </w:rPr>
          <w:t>可分离的 C-膦酸-硼酸乙烯基阴离子</w:t>
        </w:r>
      </w:hyperlink>
    </w:p>
    <w:p>
      <w:pPr>
        <w:spacing w:before="0" w:after="80"/>
      </w:pPr>
      <w:r>
        <w:rPr>
          <w:i/>
          <w:sz w:val="20"/>
        </w:rPr>
        <w:t>EN: Isolable C‐Phosphonio‐Boratavinyl Anion</w:t>
      </w:r>
    </w:p>
    <w:p>
      <w:pPr>
        <w:spacing w:before="0" w:after="120"/>
      </w:pPr>
      <w:r>
        <w:rPr>
          <w:b/>
        </w:rPr>
        <w:t xml:space="preserve">Source: </w:t>
      </w:r>
      <w:r>
        <w:t>Wiley: Angewandte Chemie International Edition: Table of Contents</w:t>
      </w:r>
      <w:r>
        <w:t xml:space="preserve">    </w:t>
      </w:r>
      <w:r>
        <w:rPr>
          <w:b/>
        </w:rPr>
        <w:t xml:space="preserve">Pub date: </w:t>
      </w:r>
      <w:r>
        <w:t>2026-07-28 18:43:46+00:00</w:t>
      </w:r>
      <w:r>
        <w:t xml:space="preserve">    </w:t>
      </w:r>
      <w:r>
        <w:rPr>
          <w:b/>
        </w:rPr>
        <w:t xml:space="preserve">DOI: </w:t>
      </w:r>
      <w:hyperlink r:id="rId1294">
        <w:r>
          <w:rPr>
            <w:color w:val="1155CC"/>
            <w:u w:val="single"/>
          </w:rPr>
          <w:t>10.1002/anie.2724882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一个执着的</w:t>
      </w:r>
      <w:r>
        <w:t xml:space="preserve"> </w:t>
      </w:r>
      <w:r>
        <w:t>C</w:t>
      </w:r>
      <w:r>
        <w:t xml:space="preserve"> </w:t>
      </w:r>
      <w:r>
        <w:t>‐磷硼酸硼乙烯基阴离子</w:t>
      </w:r>
      <w:r>
        <w:rPr>
          <w:vertAlign w:val="subscript"/>
        </w:rPr>
        <w:t>1</w:t>
      </w:r>
      <w:r>
        <w:t>已合成成功。这种含硼乙烯基锂</w:t>
      </w:r>
      <w:r>
        <w:rPr>
          <w:vertAlign w:val="subscript"/>
        </w:rPr>
        <w:t>1</w:t>
      </w:r>
      <w:r>
        <w:t>，具有带负电荷的乙烯基碳 (−1.59)，远高于碳类似物</w:t>
      </w:r>
      <w:r>
        <w:rPr>
          <w:vertAlign w:val="subscript"/>
        </w:rPr>
        <w:t>7</w:t>
      </w:r>
      <w:r>
        <w:t>(−0.76)，表现出强烈的亲核和碱性特性，与 H 快速反应的结果证明了这一点</w:t>
      </w:r>
      <w:r>
        <w:rPr>
          <w:vertAlign w:val="subscript"/>
        </w:rPr>
        <w:t>2</w:t>
      </w:r>
      <w:r>
        <w:t>（室温下 10 巴，15 分钟或 1 巴，2 小时）和 C</w:t>
      </w:r>
      <w:r>
        <w:rPr>
          <w:vertAlign w:val="subscript"/>
        </w:rPr>
        <w:t>6</w:t>
      </w:r>
      <w:r>
        <w:t>F</w:t>
      </w:r>
      <w:r>
        <w:rPr>
          <w:vertAlign w:val="subscript"/>
        </w:rPr>
        <w:t>6</w:t>
      </w:r>
      <w:r>
        <w:t>（1 当量，-80°C 下 15 分钟）。硼酸阴离子的反应</w:t>
      </w:r>
      <w:r>
        <w:rPr>
          <w:vertAlign w:val="subscript"/>
        </w:rPr>
        <w:t>1</w:t>
      </w:r>
      <w:r>
        <w:t>与亲电子试剂的结合为引入基于硼酸烯烃的大体积和σ,π-双供体取代基提供了一条便捷的途径，从而能够有效地稳定反应性中间体，例如卤代甲锗烷。此外，与CO的反应</w:t>
      </w:r>
      <w:r>
        <w:rPr>
          <w:vertAlign w:val="subscript"/>
        </w:rPr>
        <w:t>2</w:t>
      </w:r>
      <w:r>
        <w:t>发生在硼酸-烯烃部分，而不是在 P-叶立德官能团处，导致 CO 的双重插入</w:t>
      </w:r>
      <w:r>
        <w:rPr>
          <w:vertAlign w:val="subscript"/>
        </w:rPr>
        <w:t>2</w:t>
      </w:r>
      <w:r>
        <w:t>进入 B─C 键以提供独特的环状 P-叶立德</w:t>
      </w:r>
      <w:r>
        <w:rPr>
          <w:vertAlign w:val="subscript"/>
        </w:rPr>
        <w:t>13</w:t>
      </w:r>
      <w:r>
        <w:t>。</w:t>
      </w:r>
    </w:p>
    <w:p>
      <w:pPr>
        <w:spacing w:before="0" w:after="200" w:lineRule="auto" w:line="276"/>
      </w:pPr>
      <w:r>
        <w:rPr>
          <w:b/>
        </w:rPr>
        <w:t xml:space="preserve">Abstract (EN): </w:t>
      </w:r>
      <w:r>
        <w:t>A persistent</w:t>
      </w:r>
      <w:r>
        <w:t xml:space="preserve"> </w:t>
      </w:r>
      <w:r>
        <w:t>C</w:t>
      </w:r>
      <w:r>
        <w:t xml:space="preserve"> </w:t>
      </w:r>
      <w:r>
        <w:t>‐phosphonio boratavinyl anion</w:t>
      </w:r>
      <w:r>
        <w:rPr>
          <w:vertAlign w:val="subscript"/>
        </w:rPr>
        <w:t>1</w:t>
      </w:r>
      <w:r>
        <w:t>has been successfully synthesized. This boron‐containing vinyl‐lithium</w:t>
      </w:r>
      <w:r>
        <w:rPr>
          <w:vertAlign w:val="subscript"/>
        </w:rPr>
        <w:t>1</w:t>
      </w:r>
      <w:r>
        <w:t>, featuring a vinyl carbon with a negative charge (−1.59), considerably higher than that of carbon analogue</w:t>
      </w:r>
      <w:r>
        <w:rPr>
          <w:vertAlign w:val="subscript"/>
        </w:rPr>
        <w:t>7</w:t>
      </w:r>
      <w:r>
        <w:t>(−0.76), exhibits strongly nucleophilic and basic properties, as demonstrated by the results of rapid reactions with H</w:t>
      </w:r>
      <w:r>
        <w:rPr>
          <w:vertAlign w:val="subscript"/>
        </w:rPr>
        <w:t>2</w:t>
      </w:r>
      <w:r>
        <w:t>(10 bar, 15 min or 1 bar, 2 h at RT) and C</w:t>
      </w:r>
      <w:r>
        <w:rPr>
          <w:vertAlign w:val="subscript"/>
        </w:rPr>
        <w:t>6</w:t>
      </w:r>
      <w:r>
        <w:t>F</w:t>
      </w:r>
      <w:r>
        <w:rPr>
          <w:vertAlign w:val="subscript"/>
        </w:rPr>
        <w:t>6</w:t>
      </w:r>
      <w:r>
        <w:t>(1 equiv., 15 min at −80°C). The reactions of boratavinyl anion</w:t>
      </w:r>
      <w:r>
        <w:rPr>
          <w:vertAlign w:val="subscript"/>
        </w:rPr>
        <w:t>1</w:t>
      </w:r>
      <w:r>
        <w:t>with electrophiles offer a convenient route for the introduction of a borata‐alkene‐based bulky and σ,π‐double‐donating substituent, enabling to efficiently stabilize reactive intermediates such as halogenogermylenes. Furthermore, the reaction with CO</w:t>
      </w:r>
      <w:r>
        <w:rPr>
          <w:vertAlign w:val="subscript"/>
        </w:rPr>
        <w:t>2</w:t>
      </w:r>
      <w:r>
        <w:t>takes place at the borata‐alkene moiety, rather than at the P‐ylide function, resulting in the double insertion of CO</w:t>
      </w:r>
      <w:r>
        <w:rPr>
          <w:vertAlign w:val="subscript"/>
        </w:rPr>
        <w:t>2</w:t>
      </w:r>
      <w:r>
        <w:t>into the B─C bond to afford a unique cyclic P‐ylide</w:t>
      </w:r>
      <w:r>
        <w:rPr>
          <w:vertAlign w:val="subscript"/>
        </w:rPr>
        <w:t>13</w:t>
      </w:r>
      <w:r>
        <w:t>.</w:t>
      </w:r>
    </w:p>
    <w:p>
      <w:pPr>
        <w:spacing w:before="120" w:after="120"/>
      </w:pPr>
      <w:r>
        <w:rPr>
          <w:sz w:val="18"/>
        </w:rPr>
        <w:t>——————————————————————————————————————————————————————————————————————</w:t>
      </w:r>
    </w:p>
    <w:p>
      <w:pPr>
        <w:spacing w:before="160" w:after="40" w:line="240" w:lineRule="auto"/>
      </w:pPr>
      <w:r>
        <w:rPr>
          <w:b/>
        </w:rPr>
        <w:t xml:space="preserve">[472] </w:t>
      </w:r>
      <w:hyperlink r:id="rId1295">
        <w:r>
          <w:rPr>
            <w:color w:val="1155CC"/>
            <w:u w:val="single"/>
          </w:rPr>
          <w:t>通过单分子粘附定量分子缺陷位点结合力</w:t>
        </w:r>
      </w:hyperlink>
    </w:p>
    <w:p>
      <w:pPr>
        <w:spacing w:before="0" w:after="80"/>
      </w:pPr>
      <w:r>
        <w:rPr>
          <w:i/>
          <w:sz w:val="20"/>
        </w:rPr>
        <w:t>EN: Quantification of Molecule‐Defect Site Binding Force Via Single‑Molecule Adhesion</w:t>
      </w:r>
    </w:p>
    <w:p>
      <w:pPr>
        <w:spacing w:before="0" w:after="120"/>
      </w:pPr>
      <w:r>
        <w:rPr>
          <w:b/>
        </w:rPr>
        <w:t xml:space="preserve">Source: </w:t>
      </w:r>
      <w:r>
        <w:t>Wiley: Angewandte Chemie International Edition: Table of Contents</w:t>
      </w:r>
      <w:r>
        <w:t xml:space="preserve">    </w:t>
      </w:r>
      <w:r>
        <w:rPr>
          <w:b/>
        </w:rPr>
        <w:t xml:space="preserve">Pub date: </w:t>
      </w:r>
      <w:r>
        <w:t>2026-07-28 18:46:24+00:00</w:t>
      </w:r>
      <w:r>
        <w:t xml:space="preserve">    </w:t>
      </w:r>
      <w:r>
        <w:rPr>
          <w:b/>
        </w:rPr>
        <w:t xml:space="preserve">DOI: </w:t>
      </w:r>
      <w:hyperlink r:id="rId1296">
        <w:r>
          <w:rPr>
            <w:color w:val="1155CC"/>
            <w:u w:val="single"/>
          </w:rPr>
          <w:t>10.1002/anie.2017853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反应物分子和活性位点之间的结合强度从根本上决定了反应选择性和效率，因为它决定了分子水平上的吸附能和活化势垒。然而，直接量化这种分子位点结合力仍然具有挑战性，因为传统的光谱和显微技术仅提供整体平均信息。在这里，我们利用单分子力成像策略，能够在真实液体条件下以高空间分辨率定量绘制局部结合力。通过将多巴胺等功能分子共价束缚到原子力显微镜尖端上，我们直接测量位点特异性相互作用力，揭示了 MoS2 上缺陷位点的明显更强的粘附力</w:t>
      </w:r>
      <w:r>
        <w:rPr>
          <w:vertAlign w:val="subscript"/>
        </w:rPr>
        <w:t>2</w:t>
      </w:r>
      <w:r>
        <w:t>218 pN 与 120 pN 的无缺陷区域相比。将这些力特征与催化性能相关联，可以将局部结合强度与反应性定量联系起来，从而产生纳米尺度的反应性图。这种方法扩展到其他催化剂，包括 TiO</w:t>
      </w:r>
      <w:r>
        <w:rPr>
          <w:vertAlign w:val="subscript"/>
        </w:rPr>
        <w:t>2</w:t>
      </w:r>
      <w:r>
        <w:t>，提供了一种广泛适用的途径来可视化单分子水平的结构-反应性关系。</w:t>
      </w:r>
    </w:p>
    <w:p>
      <w:pPr>
        <w:spacing w:before="0" w:after="200" w:lineRule="auto" w:line="276"/>
      </w:pPr>
      <w:r>
        <w:rPr>
          <w:b/>
        </w:rPr>
        <w:t xml:space="preserve">Abstract (EN): </w:t>
      </w:r>
      <w:r>
        <w:t>The binding strength between reactant molecules and active sites fundamentally governs reaction selectivity and efficiency, as it determines adsorption energy and activation barriers at the molecular level. However, direct quantification of such molecule‐site binding forces remains challenging, since conventional spectroscopic and microscopic techniques only provide ensemble‐averaged information. Here, we leverage a single‐molecule force imaging strategy that enables quantitative mapping of local binding forces with high spatial resolution under realistic liquid conditions. By covalently tethering functional molecules such as dopamine onto an atomic force microscopy tip, we directly measure site‐specific interaction forces, revealing markedly stronger adhesion at defective sites on MoS</w:t>
      </w:r>
      <w:r>
        <w:rPr>
          <w:vertAlign w:val="subscript"/>
        </w:rPr>
        <w:t>2</w:t>
      </w:r>
      <w:r>
        <w:t>with 218 pN compared to non‐defective regions with 120 pN. Correlating these force signatures with catalytic performance allows quantitative linking of local binding strength to reactivity, yielding reactivity maps at the nanometer scale. This approach extends to other catalysts, including TiO</w:t>
      </w:r>
      <w:r>
        <w:rPr>
          <w:vertAlign w:val="subscript"/>
        </w:rPr>
        <w:t>2</w:t>
      </w:r>
      <w:r>
        <w:t>, providing a broadly applicable route to visualize structure–reactivity relationships at the single‐molecule level.</w:t>
      </w:r>
    </w:p>
    <w:p>
      <w:pPr>
        <w:spacing w:before="120" w:after="120"/>
      </w:pPr>
      <w:r>
        <w:rPr>
          <w:sz w:val="18"/>
        </w:rPr>
        <w:t>——————————————————————————————————————————————————————————————————————</w:t>
      </w:r>
    </w:p>
    <w:p>
      <w:pPr>
        <w:spacing w:before="160" w:after="40" w:line="240" w:lineRule="auto"/>
      </w:pPr>
      <w:r>
        <w:rPr>
          <w:b/>
        </w:rPr>
        <w:t xml:space="preserve">[473] </w:t>
      </w:r>
      <w:hyperlink r:id="rId1297">
        <w:r>
          <w:rPr>
            <w:color w:val="1155CC"/>
            <w:u w:val="single"/>
          </w:rPr>
          <w:t>对 984 个大豆品种的深度重测序数据分析揭示了农艺性状背后的结构变异</w:t>
        </w:r>
      </w:hyperlink>
    </w:p>
    <w:p>
      <w:pPr>
        <w:spacing w:before="0" w:after="80"/>
      </w:pPr>
      <w:r>
        <w:rPr>
          <w:i/>
          <w:sz w:val="20"/>
        </w:rPr>
        <w:t>EN: Analysis of deep-resequencing data of 984 soybean accessions reveals structural variations underlying agronomic traits</w:t>
      </w:r>
    </w:p>
    <w:p>
      <w:pPr>
        <w:spacing w:before="0" w:after="120"/>
      </w:pPr>
      <w:r>
        <w:rPr>
          <w:b/>
        </w:rPr>
        <w:t xml:space="preserve">Source: </w:t>
      </w:r>
      <w:r>
        <w:t>Biological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基因组结构变异（SV）是遗传变异的主要来源，对表型性状具有深远的影响。然而，它们在大豆中的功能作用在很大程度上仍未得到探索。在这里，我们对 940 个大豆品种进行了重新测序。加上 44 个公开可用的数据集，我们识别出 602,281 个 SV。使用基于图形的基因组，我们检测到另外 58,760 个广泛影响基因表达的存在/不存在变异 (PAV)。群体基因组分析表明，SVs 是大豆驯化和改良的核心驱动力。将 SV 与油和蛋白质含量的 QTL 相结合，并对 27 个性状进行 GWAS，我们确定了关键的功能 SV。其中包括改变种皮颜色的转座元件插入、改变花和下胚轴颜色的细胞色素 P450 基因内的多重插入以及增加种子大小的 GmMATE1 缺失。我们的研究共同建立了大豆的全面 SV 图谱，为剖析复杂性状的遗传基础以加速分子育种提供了宝贵的资源。</w:t>
      </w:r>
    </w:p>
    <w:p>
      <w:pPr>
        <w:spacing w:before="0" w:after="200" w:lineRule="auto" w:line="276"/>
      </w:pPr>
      <w:r>
        <w:rPr>
          <w:b/>
        </w:rPr>
        <w:t xml:space="preserve">Abstract (EN): </w:t>
      </w:r>
      <w:r>
        <w:t>Genomic structural variants (SVs) are major sources of genetic variation and have profound impacts on phenotypic traits. However, their functional effects remain largely unexplored in soybean. Here, we resequence 940 soybean accessions. Together with 44 publicly available datasets, we identify 602,281 SVs. Using a graph-based genome, we detect an additional 58,760 presence/absence variations (PAVs) that broadly affect gene expression. Population genomic analyses reveal that SVs serve as a core driving force for soybean domestication and improvement. Integrating SVs with QTLs for oil and protein content, and performing GWAS on 27 traits, we identify key functional SVs. These include transposable element insertions altering seed coat color, multiple insertions within a cytochrome P450 gene modifying flower and hypocotyl color, and a GmMATE1 deletion enhancing seed size. Together, our study establishes a comprehensive SV map of soybean, offering a valuable resource for dissecting the genetic basis of complex traits to accelerate molecular breeding.</w:t>
      </w:r>
    </w:p>
    <w:p>
      <w:pPr>
        <w:spacing w:before="120" w:after="120"/>
      </w:pPr>
      <w:r>
        <w:rPr>
          <w:sz w:val="18"/>
        </w:rPr>
        <w:t>——————————————————————————————————————————————————————————————————————</w:t>
      </w:r>
    </w:p>
    <w:p>
      <w:pPr>
        <w:spacing w:before="160" w:after="40" w:line="240" w:lineRule="auto"/>
      </w:pPr>
      <w:r>
        <w:rPr>
          <w:b/>
        </w:rPr>
        <w:t xml:space="preserve">[474] </w:t>
      </w:r>
      <w:hyperlink r:id="rId1298">
        <w:r>
          <w:rPr>
            <w:color w:val="1155CC"/>
            <w:u w:val="single"/>
          </w:rPr>
          <w:t>反应调节剂 BqsR/CarR 控制铜绿假单胞菌中 Fe2+ 的获取</w:t>
        </w:r>
      </w:hyperlink>
    </w:p>
    <w:p>
      <w:pPr>
        <w:spacing w:before="0" w:after="80"/>
      </w:pPr>
      <w:r>
        <w:rPr>
          <w:i/>
          <w:sz w:val="20"/>
        </w:rPr>
        <w:t>EN: The response regulator BqsR/CarR controls Fe2+ acquisition in Pseudomonas aeruginosa</w:t>
      </w:r>
    </w:p>
    <w:p>
      <w:pPr>
        <w:spacing w:before="0" w:after="120"/>
      </w:pPr>
      <w:r>
        <w:rPr>
          <w:b/>
        </w:rPr>
        <w:t xml:space="preserve">Source: </w:t>
      </w:r>
      <w:r>
        <w:t>Biological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铜绿假单胞菌是一种普遍存在的革兰氏阴性细菌，可形成生物膜并导致人类医院获得性感染的抗生素耐药性。铜绿假单胞菌 BqsRS 双组分系统通过感知胞质外 Fe2+ 来调节生物膜的形成和分散，但对该过程的机制细节知之甚少。在这项工作中，我们报告了 PaBqsR 响应调节器接收域的晶体和溶液结构，其中包含 (βα)5 响应调节器组件，以及 DNA 结合域，包含螺旋-转角-螺旋基序。与其同源刺激是 Fe2+ 一致，我们表明 PaBqsR 直接结合到编码细菌 Fe2+ 转运系统 FeoABC 的 feo 操纵子的启动子区域。转录研究证实了这些体外结果，表明 PaBqsR 是一个全局调节因子，控制着 PAO1 中的许多重要基因，包括 feo 操纵子。有趣的是，基于启动子的测定表明，PaBqsR 是一种动态调节剂，可对生物可利用的 Fe2+ 作出反应，可能是通过 PaBqsR 通过富含 His 的基序直接结合 Fe2+ 的能力，而不依赖于 PaBqsS 膜 His 激酶。据我们所知，这种调节模式以前没有在类似 OmpR 的反应调节剂中被报道过，但代表了对铜绿假单胞菌中 Fe2+ 获取的重要控制水平，这可能是治疗医院获得性感染的一个有吸引力的治疗靶点。</w:t>
      </w:r>
    </w:p>
    <w:p>
      <w:pPr>
        <w:spacing w:before="0" w:after="200" w:lineRule="auto" w:line="276"/>
      </w:pPr>
      <w:r>
        <w:rPr>
          <w:b/>
        </w:rPr>
        <w:t xml:space="preserve">Abstract (EN): </w:t>
      </w:r>
      <w:r>
        <w:t>Pseudomonas aeruginosa is a ubiquitous, Gram-negative bacterium that forms biofilms and is responsible for antibiotic-resistant hospital-acquired infections in humans. The P. aeruginosa BqsRS two-component system regulates biofilm formation and dispersal by sensing extracytoplasmic Fe2+, but the mechanistic details of this process are poorly understood. In this work, we report the crystal and solution structures of the PaBqsR response regulator receiver domain, comprising a (βα)5 response regulator assembly, and the DNA-binding domain, comprising a helix-turn-helix motif. Consistent with its cognate stimulus being Fe2+, we show that PaBqsR binds directly to the promoter region of the feo operon that encodes the bacterial Fe2+ transport system FeoABC. Corroborating these in vitro results, transcriptional studies show that PaBqsR is a global regulator controlling many important genes in PAO1, including the feo operon. Intriguingly, promoter-based assays reveal that PaBqsR is a dynamic regulator that responds to bioavailable Fe2+, likely through the ability of PaBqsR to bind Fe2+ directly via a His-rich motif, independent of the PaBqsS membrane His kinase. To our knowledge, this mode of regulation has not been reported previously among OmpR-like response regulators but represents an important level of control over Fe2+ acquisition in P. aeruginosa that could be an attractive therapeutic target to treat hospital-acquired infections.</w:t>
      </w:r>
    </w:p>
    <w:p>
      <w:pPr>
        <w:spacing w:before="120" w:after="120"/>
      </w:pPr>
      <w:r>
        <w:rPr>
          <w:sz w:val="18"/>
        </w:rPr>
        <w:t>——————————————————————————————————————————————————————————————————————</w:t>
      </w:r>
    </w:p>
    <w:p>
      <w:pPr>
        <w:spacing w:before="160" w:after="40" w:line="240" w:lineRule="auto"/>
      </w:pPr>
      <w:r>
        <w:rPr>
          <w:b/>
        </w:rPr>
        <w:t xml:space="preserve">[475] </w:t>
      </w:r>
      <w:hyperlink r:id="rId1299">
        <w:r>
          <w:rPr>
            <w:color w:val="1155CC"/>
            <w:u w:val="single"/>
          </w:rPr>
          <w:t>插入调制</w:t>
        </w:r>
      </w:hyperlink>
    </w:p>
    <w:p>
      <w:pPr>
        <w:spacing w:before="0" w:after="80"/>
      </w:pPr>
      <w:r>
        <w:rPr>
          <w:i/>
          <w:sz w:val="20"/>
        </w:rPr>
        <w:t>EN: Intercalate to modulate</w:t>
      </w:r>
    </w:p>
    <w:p>
      <w:pPr>
        <w:spacing w:before="0" w:after="120"/>
      </w:pPr>
      <w:r>
        <w:rPr>
          <w:b/>
        </w:rPr>
        <w:t xml:space="preserve">Source: </w:t>
      </w:r>
      <w:r>
        <w:t>Nature Materials</w:t>
      </w:r>
      <w:r>
        <w:t xml:space="preserve">    </w:t>
      </w:r>
      <w:r>
        <w:rPr>
          <w:b/>
        </w:rPr>
        <w:t xml:space="preserve">Pub date: </w:t>
      </w:r>
      <w:r>
        <w:t>2026-07-29 00:00:00+00:00</w:t>
      </w:r>
      <w:r>
        <w:t xml:space="preserve">    </w:t>
      </w:r>
      <w:r>
        <w:rPr>
          <w:b/>
        </w:rPr>
        <w:t xml:space="preserve">DOI: </w:t>
      </w:r>
      <w:hyperlink r:id="rId1300">
        <w:r>
          <w:rPr>
            <w:color w:val="1155CC"/>
            <w:u w:val="single"/>
          </w:rPr>
          <w:t>10.1038/s41563-026-02708-1</w:t>
        </w:r>
      </w:hyperlink>
    </w:p>
    <w:p>
      <w:pPr>
        <w:spacing w:before="0" w:after="120"/>
      </w:pPr>
      <w:r>
        <w:rPr>
          <w:b/>
        </w:rPr>
        <w:t xml:space="preserve">Notes: </w:t>
      </w:r>
      <w:r>
        <w:t>abstract_source=rss_nature</w:t>
      </w:r>
    </w:p>
    <w:p>
      <w:pPr>
        <w:spacing w:before="0" w:after="80" w:lineRule="auto" w:line="276"/>
      </w:pPr>
      <w:r>
        <w:rPr>
          <w:b/>
        </w:rPr>
        <w:t xml:space="preserve">摘要（ZH）: </w:t>
      </w:r>
      <w:r>
        <w:t>范德华界面的插层使得二维材料的原子或分子尺度工程成为可能，改变了其合成和功能化的方法。</w:t>
      </w:r>
    </w:p>
    <w:p>
      <w:pPr>
        <w:spacing w:before="0" w:after="200" w:lineRule="auto" w:line="276"/>
      </w:pPr>
      <w:r>
        <w:rPr>
          <w:b/>
        </w:rPr>
        <w:t xml:space="preserve">Abstract (EN): </w:t>
      </w:r>
      <w:r>
        <w:t>Intercalation at van der Waals interfaces enables atomic- or molecular-scale engineering of two-dimensional materials, transforming approaches for their synthesis and functionalization.</w:t>
      </w:r>
    </w:p>
    <w:p>
      <w:pPr>
        <w:spacing w:before="120" w:after="120"/>
      </w:pPr>
      <w:r>
        <w:rPr>
          <w:sz w:val="18"/>
        </w:rPr>
        <w:t>——————————————————————————————————————————————————————————————————————</w:t>
      </w:r>
    </w:p>
    <w:p>
      <w:pPr>
        <w:spacing w:before="160" w:after="40" w:line="240" w:lineRule="auto"/>
      </w:pPr>
      <w:r>
        <w:rPr>
          <w:b/>
        </w:rPr>
        <w:t xml:space="preserve">[476] </w:t>
      </w:r>
      <w:hyperlink r:id="rId1301">
        <w:r>
          <w:rPr>
            <w:color w:val="1155CC"/>
            <w:u w:val="single"/>
          </w:rPr>
          <w:t>化学可编程超晶格的模块化合成</w:t>
        </w:r>
      </w:hyperlink>
    </w:p>
    <w:p>
      <w:pPr>
        <w:spacing w:before="0" w:after="80"/>
      </w:pPr>
      <w:r>
        <w:rPr>
          <w:i/>
          <w:sz w:val="20"/>
        </w:rPr>
        <w:t>EN: Modular synthesis of chemically programmable superlattices</w:t>
      </w:r>
    </w:p>
    <w:p>
      <w:pPr>
        <w:spacing w:before="0" w:after="120"/>
      </w:pPr>
      <w:r>
        <w:rPr>
          <w:b/>
        </w:rPr>
        <w:t xml:space="preserve">Source: </w:t>
      </w:r>
      <w:r>
        <w:t>Nature Materials</w:t>
      </w:r>
      <w:r>
        <w:t xml:space="preserve">    </w:t>
      </w:r>
      <w:r>
        <w:rPr>
          <w:b/>
        </w:rPr>
        <w:t xml:space="preserve">Pub date: </w:t>
      </w:r>
      <w:r>
        <w:t>2026-07-29 00:00:00+00:00</w:t>
      </w:r>
      <w:r>
        <w:t xml:space="preserve">    </w:t>
      </w:r>
      <w:r>
        <w:rPr>
          <w:b/>
        </w:rPr>
        <w:t xml:space="preserve">DOI: </w:t>
      </w:r>
      <w:hyperlink r:id="rId1302">
        <w:r>
          <w:rPr>
            <w:color w:val="1155CC"/>
            <w:u w:val="single"/>
          </w:rPr>
          <w:t>10.1038/s41563-026-02663-x</w:t>
        </w:r>
      </w:hyperlink>
    </w:p>
    <w:p>
      <w:pPr>
        <w:spacing w:before="0" w:after="120"/>
      </w:pPr>
      <w:r>
        <w:rPr>
          <w:b/>
        </w:rPr>
        <w:t xml:space="preserve">Notes: </w:t>
      </w:r>
      <w:r>
        <w:t>abstract_source=pubmed</w:t>
      </w:r>
    </w:p>
    <w:p>
      <w:pPr>
        <w:spacing w:before="0" w:after="80" w:lineRule="auto" w:line="276"/>
      </w:pPr>
      <w:r>
        <w:rPr>
          <w:b/>
        </w:rPr>
        <w:t xml:space="preserve">摘要（ZH）: </w:t>
      </w:r>
      <w:r>
        <w:t>二维原子晶体 (2DAC) 具有晶体原子层之间的非键合范德华 (vdW) 间隙，允许选定的原子或分子插入。当被限制在这些 vdW 间隙内时，嵌入剂可以自组装成相邻二维原子晶格之间的有序夹层，形成明确的嵌入超晶格。这些结构将固态 2DAC 的固有特性与自组装原子或分子夹层的化学可编程电子、光学和磁性功能相结合。因此，它们可以集成不同的量子和集体现象，使设备功能超出传统异质结构的范围。然而，具有特定功能的插层超晶格的合成比任意地将2DAC与功能插层剂组合更为复杂。电子、光学或磁性活性中间层本质上比被动物质更具反应性，并且通常与传统的化学或电化学插层策略不相容。在这篇综述中，我们对用于构建功能插层超晶格的功能构建块进行了分类，并研究了其合成和组装的关键挑战和新兴策略。我们的目标是为具有定制电子、光学、磁和量子功能的化学可编程插层超晶格的模块化设计和合成建立指导原则。</w:t>
      </w:r>
    </w:p>
    <w:p>
      <w:pPr>
        <w:spacing w:before="0" w:after="200" w:lineRule="auto" w:line="276"/>
      </w:pPr>
      <w:r>
        <w:rPr>
          <w:b/>
        </w:rPr>
        <w:t xml:space="preserve">Abstract (EN): </w:t>
      </w:r>
      <w:r>
        <w:t>Two-dimensional atomic crystals (2DACs), which feature non-bonding van der Waals (vdW) gaps between crystalline atomic layers, allow selected atoms or molecules to intercalate. When confined within these vdW gaps, the intercalants can self-assemble into ordered interlayers between adjacent 2D atomic lattices, forming well-defined intercalated superlattices. These structures combine the intrinsic properties of solid-state 2DACs with the chemically programmable electronic, optical and magnetic functionalities of self-assembled atomic or molecular interlayers. As a result, they can integrate disparate quantum and collective phenomena, enabling device functionalities beyond the reach of conventional heterostructures. However, the synthesis of intercalated superlattices with specific functions is more complex than arbitrarily combining 2DACs with functional intercalants. Electronically, optically or magnetically active interlayers are inherently more reactive than passive species and are often incompatible with conventional chemical or electrochemical intercalation strategies. In this Review, we classify the functional building blocks used to construct functional intercalated superlattices and examine the key challenges and emerging strategies for their synthesis and assembly. Our goal is to establish guiding principles for the modular design and synthesis of chemically programmable intercalated superlattices with tailored electronic, optical, magnetic and quantum functionalities.</w:t>
      </w:r>
    </w:p>
    <w:p>
      <w:pPr>
        <w:spacing w:before="120" w:after="120"/>
      </w:pPr>
      <w:r>
        <w:rPr>
          <w:sz w:val="18"/>
        </w:rPr>
        <w:t>——————————————————————————————————————————————————————————————————————</w:t>
      </w:r>
    </w:p>
    <w:p>
      <w:pPr>
        <w:spacing w:before="160" w:after="40" w:line="240" w:lineRule="auto"/>
      </w:pPr>
      <w:r>
        <w:rPr>
          <w:b/>
        </w:rPr>
        <w:t xml:space="preserve">[477] </w:t>
      </w:r>
      <w:hyperlink r:id="rId1303">
        <w:r>
          <w:rPr>
            <w:color w:val="1155CC"/>
            <w:u w:val="single"/>
          </w:rPr>
          <w:t>人类着丝粒变异和进化的全球视野</w:t>
        </w:r>
      </w:hyperlink>
    </w:p>
    <w:p>
      <w:pPr>
        <w:spacing w:before="0" w:after="80"/>
      </w:pPr>
      <w:r>
        <w:rPr>
          <w:i/>
          <w:sz w:val="20"/>
        </w:rPr>
        <w:t>EN: A global view of human centromere variation and evolution</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04">
        <w:r>
          <w:rPr>
            <w:color w:val="1155CC"/>
            <w:u w:val="single"/>
          </w:rPr>
          <w:t>10.1038/s41586-026-10841-9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着丝粒是重要的染色体区域，可确保细胞分裂过程中染色体的准确分离，但其高度重复的序列历来阻碍了其完整的组装和表征</w:t>
      </w:r>
      <w:r>
        <w:rPr>
          <w:vertAlign w:val="subscript"/>
        </w:rPr>
        <w:t>1</w:t>
      </w:r>
      <w:r>
        <w:t>。因此，个体、群体和进化环境中着丝粒多样性的全部范围在很大程度上仍未得到探索。在这里，我们通过组装和表征来自代表 5 个大陆和 28 个人口群体的不同个体的 2,110 个着丝粒来解决这一知识差距。使用为着丝粒量身定制的生物信息学工具，我们识别了变异，包括 226 个着丝粒单倍型和 1,870 个 α-卫星高阶重复变异。虽然大多数着丝粒都有一个着丝粒位点，但我们发现大约 6% 的着丝粒具有双着丝粒，不到 1% 的着丝粒具有三着丝粒，我们使用长读染色质分析和多代遗传证实了这一点。我们还表明着丝粒位置与着丝粒的底层序列和结构密切相关。为了了解进化变化的本质，我们将这些着丝粒与人类泛基因组参考联盟组装的 5,747 个着丝粒进行了比较。我们发现着丝粒的突变率有 20 倍的变异，并且着丝粒的一个子集有古人类基因渗入的证据。我们在一个 4 代、28 名成员的家族中验证了这些突变率，并表明着丝粒位点是着丝粒中突变最快的区域。我们建议</w:t>
      </w:r>
    </w:p>
    <w:p>
      <w:pPr>
        <w:spacing w:before="0" w:after="200" w:lineRule="auto" w:line="276"/>
      </w:pPr>
      <w:r>
        <w:rPr>
          <w:b/>
        </w:rPr>
        <w:t xml:space="preserve">Abstract (EN): </w:t>
      </w:r>
      <w:r>
        <w:t>Centromeres are essential chromosomal regions that ensure accurate chromosome segregation during cell division, yet their highly repetitive sequence has historically hindered their complete assembly and characterization</w:t>
      </w:r>
      <w:r>
        <w:rPr>
          <w:vertAlign w:val="subscript"/>
        </w:rPr>
        <w:t>1</w:t>
      </w:r>
      <w:r>
        <w:t>. Consequently, the full spectrum of centromere diversity across individuals, populations and evolutionary contexts remains largely unexplored. Here we address this gap in knowledge by assembling and characterizing 2,110 centromeres from diverse individuals representing 5 continental and 28 population groups. Using bioinformatic tools tailored for centromeres, we identify variation, including 226 centromere haplotypes and 1,870 α-satellite higher-order repeat variants. While most centromeres have a single kinetochore site, we find that around 6% have di-kinetochores, and less than 1% have tri-kinetochores, which we confirm using long-read chromatin profiling and multigenerational inheritance. We also show that kinetochore position is closely associated with the underlying sequence and structure of the centromere. To understand the nature of evolutionary change, we compared these centromeres to 5,747 centromeres assembled by the Human Pangenome Reference Consortium. We show that centromeres have a 20-fold variation in mutation rate, and a subset of centromeres has evidence of archaic hominin introgression. We validate these mutation rates in a 4-generation, 28-member family and show that the kinetochore site is the most rapidly mutating region in the centromere. We propose a model that reveals an ‘arms race’ between centromeric sequence and proteins, with frequent mutations within the kinetochore site that lead to changes in genetic and epigenetic landscapes and, ultimately, rapid evolution of these critically important regions.</w:t>
      </w:r>
    </w:p>
    <w:p>
      <w:pPr>
        <w:spacing w:before="120" w:after="120"/>
      </w:pPr>
      <w:r>
        <w:rPr>
          <w:sz w:val="18"/>
        </w:rPr>
        <w:t>——————————————————————————————————————————————————————————————————————</w:t>
      </w:r>
    </w:p>
    <w:p>
      <w:pPr>
        <w:spacing w:before="160" w:after="40" w:line="240" w:lineRule="auto"/>
      </w:pPr>
      <w:r>
        <w:rPr>
          <w:b/>
        </w:rPr>
        <w:t xml:space="preserve">[478] </w:t>
      </w:r>
      <w:hyperlink r:id="rId1305">
        <w:r>
          <w:rPr>
            <w:color w:val="1155CC"/>
            <w:u w:val="single"/>
          </w:rPr>
          <w:t>用于序列功能研究的无序蛋白质的合理设计</w:t>
        </w:r>
      </w:hyperlink>
    </w:p>
    <w:p>
      <w:pPr>
        <w:spacing w:before="0" w:after="80"/>
      </w:pPr>
      <w:r>
        <w:rPr>
          <w:i/>
          <w:sz w:val="20"/>
        </w:rPr>
        <w:t>EN: Rational design of disordered proteins for sequence–function investigation</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06">
        <w:r>
          <w:rPr>
            <w:color w:val="1155CC"/>
            <w:u w:val="single"/>
          </w:rPr>
          <w:t>10.1038/s41586-026-10849-1</w:t>
        </w:r>
      </w:hyperlink>
    </w:p>
    <w:p>
      <w:pPr>
        <w:spacing w:before="0" w:after="120"/>
      </w:pPr>
      <w:r>
        <w:rPr>
          <w:b/>
        </w:rPr>
        <w:t xml:space="preserve">Notes: </w:t>
      </w:r>
      <w:r>
        <w:t>abstract_source=pubmed</w:t>
      </w:r>
    </w:p>
    <w:p>
      <w:pPr>
        <w:spacing w:before="0" w:after="80" w:lineRule="auto" w:line="276"/>
      </w:pPr>
      <w:r>
        <w:rPr>
          <w:b/>
        </w:rPr>
        <w:t xml:space="preserve">摘要（ZH）: </w:t>
      </w:r>
      <w:r>
        <w:t>尽管缺乏稳定的三维结构，本质无序蛋白质区域 (IDR) 在所有生命王国中普遍存在，并且具有重要的细胞作用1。虽然折叠蛋白的合理设计最近取得了实质性进展2，但我们设计 IDR 的能力仍然较为有限3。在这里，我们提出了 GOOSE（生成无序蛋白质指定属性），这是一个用于 IDR 合理设计的综合计算框架。 GOOSE 的多功能性和吞吐量使我们能够设计和测试数千个 IDR 序列，以揭示不同的序列与功能关系。使用 GOOSE 探索这些关系，我们研究序列特性如何影响细胞中的 IDR 结构整体，设计响应与细胞体积减少相关的结构变化的 IDR，创建自组装和招募特定客户的支架 IDR，并设计保护细胞免于干燥的新型 IDR。我们的工作使用合理的序列设计作为探索 IDR 功能的强大方法，并为设计功能性无序蛋白质提供了通用工具。</w:t>
      </w:r>
    </w:p>
    <w:p>
      <w:pPr>
        <w:spacing w:before="0" w:after="200" w:lineRule="auto" w:line="276"/>
      </w:pPr>
      <w:r>
        <w:rPr>
          <w:b/>
        </w:rPr>
        <w:t xml:space="preserve">Abstract (EN): </w:t>
      </w:r>
      <w:r>
        <w:t>Despite lacking a stable three-dimensional structure, intrinsically disordered protein regions (IDRs) are ubiquitous across all kingdoms of life and have essential cellular roles1. While rational design of folded proteins has seen substantial recent progress2, our ability to design IDRs remains more limited3. Here we present GOOSE (Generate disOrdered prOteins Specifying propErties), a comprehensive computational framework for the rational design of IDRs. GOOSE's versatility and throughput enable us to design and test thousands of IDR sequences to reveal distinct sequence-to-function relationships. Using GOOSE to explore these relationships, we examine how sequence properties influence IDR structural ensembles in cells, design IDRs that respond to structural changes associated with cell volume decrease, create scaffold IDRs that self-assemble and recruit specific clients, and design novel IDRs that protect cells from desiccation. Our work uses rational sequence design as a powerful method for exploring function in IDRs and provides a versatile tool for designing functional disordered proteins.</w:t>
      </w:r>
    </w:p>
    <w:p>
      <w:pPr>
        <w:spacing w:before="120" w:after="120"/>
      </w:pPr>
      <w:r>
        <w:rPr>
          <w:sz w:val="18"/>
        </w:rPr>
        <w:t>——————————————————————————————————————————————————————————————————————</w:t>
      </w:r>
    </w:p>
    <w:p>
      <w:pPr>
        <w:spacing w:before="160" w:after="40" w:line="240" w:lineRule="auto"/>
      </w:pPr>
      <w:r>
        <w:rPr>
          <w:b/>
        </w:rPr>
        <w:t xml:space="preserve">[479] </w:t>
      </w:r>
      <w:hyperlink r:id="rId1307">
        <w:r>
          <w:rPr>
            <w:color w:val="1155CC"/>
            <w:u w:val="single"/>
          </w:rPr>
          <w:t>果蝇如何追踪气味羽流的边缘</w:t>
        </w:r>
      </w:hyperlink>
    </w:p>
    <w:p>
      <w:pPr>
        <w:spacing w:before="0" w:after="80"/>
      </w:pPr>
      <w:r>
        <w:rPr>
          <w:i/>
          <w:sz w:val="20"/>
        </w:rPr>
        <w:t>EN: How fruit flies track the edge of odour plumes</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08">
        <w:r>
          <w:rPr>
            <w:color w:val="1155CC"/>
            <w:u w:val="single"/>
          </w:rPr>
          <w:t>10.1038/d41586-026-02325-7</w:t>
        </w:r>
      </w:hyperlink>
    </w:p>
    <w:p>
      <w:pPr>
        <w:spacing w:before="0" w:after="120"/>
      </w:pPr>
      <w:r>
        <w:rPr>
          <w:b/>
        </w:rPr>
        <w:t xml:space="preserve">Notes: </w:t>
      </w:r>
      <w:r>
        <w:t>abstract_source=openalex</w:t>
      </w:r>
    </w:p>
    <w:p>
      <w:pPr>
        <w:spacing w:before="0" w:after="80" w:lineRule="auto" w:line="276"/>
      </w:pPr>
      <w:r>
        <w:rPr>
          <w:b/>
        </w:rPr>
        <w:t xml:space="preserve">摘要（ZH）: </w:t>
      </w:r>
      <w:r>
        <w:t>众所周知，蚂蚁和蜜蜂利用空间记忆导航到固定位置，例如巢穴。果蝇追踪虚构的气味羽流的虚拟现实实验现在表明，这些昆虫使用类似的记忆引导导航工具包的组件来跟踪羽流的边缘到其来源。果蝇大脑中的神经元编码了一种空间记忆，引导它们返回羽流。</w:t>
      </w:r>
    </w:p>
    <w:p>
      <w:pPr>
        <w:spacing w:before="0" w:after="200" w:lineRule="auto" w:line="276"/>
      </w:pPr>
      <w:r>
        <w:rPr>
          <w:b/>
        </w:rPr>
        <w:t xml:space="preserve">Abstract (EN): </w:t>
      </w:r>
      <w:r>
        <w:t>Ants and bees are known to use spatial memories to navigate to fixed locations, such as a nest. Virtual-reality experiments in which Drosophila fruit flies follow fictive odour plumes now show that these insects use components of a similar memory-guided navigational toolkit to track the edge of a plume towards its source. Neurons in the fly’s brain encode a spatial memory that guides them back to the plume.</w:t>
      </w:r>
    </w:p>
    <w:p>
      <w:pPr>
        <w:spacing w:before="120" w:after="120"/>
      </w:pPr>
      <w:r>
        <w:rPr>
          <w:sz w:val="18"/>
        </w:rPr>
        <w:t>——————————————————————————————————————————————————————————————————————</w:t>
      </w:r>
    </w:p>
    <w:p>
      <w:pPr>
        <w:spacing w:before="160" w:after="40" w:line="240" w:lineRule="auto"/>
      </w:pPr>
      <w:r>
        <w:rPr>
          <w:b/>
        </w:rPr>
        <w:t xml:space="preserve">[480] </w:t>
      </w:r>
      <w:hyperlink r:id="rId1309">
        <w:r>
          <w:rPr>
            <w:color w:val="1155CC"/>
            <w:u w:val="single"/>
          </w:rPr>
          <w:t>纳米科学和纳米技术领域的三位后起之秀</w:t>
        </w:r>
      </w:hyperlink>
    </w:p>
    <w:p>
      <w:pPr>
        <w:spacing w:before="0" w:after="80"/>
      </w:pPr>
      <w:r>
        <w:rPr>
          <w:i/>
          <w:sz w:val="20"/>
        </w:rPr>
        <w:t>EN: Three rising stars of nanoscience and nanotechnology</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10">
        <w:r>
          <w:rPr>
            <w:color w:val="1155CC"/>
            <w:u w:val="single"/>
          </w:rPr>
          <w:t>10.1038/d41586-026-02181-5</w:t>
        </w:r>
      </w:hyperlink>
    </w:p>
    <w:p>
      <w:pPr>
        <w:spacing w:before="0" w:after="120"/>
      </w:pPr>
      <w:r>
        <w:rPr>
          <w:b/>
        </w:rPr>
        <w:t xml:space="preserve">Notes: </w:t>
      </w:r>
      <w:r>
        <w:t>abstract_source=nature_html</w:t>
      </w:r>
    </w:p>
    <w:p>
      <w:pPr>
        <w:spacing w:before="0" w:after="80" w:lineRule="auto" w:line="276"/>
      </w:pPr>
      <w:r>
        <w:rPr>
          <w:b/>
        </w:rPr>
        <w:t xml:space="preserve">摘要（ZH）: </w:t>
      </w:r>
      <w:r>
        <w:t>最小的构建模块正在支持下一代解决方案。</w:t>
      </w:r>
    </w:p>
    <w:p>
      <w:pPr>
        <w:spacing w:before="0" w:after="200" w:lineRule="auto" w:line="276"/>
      </w:pPr>
      <w:r>
        <w:rPr>
          <w:b/>
        </w:rPr>
        <w:t xml:space="preserve">Abstract (EN): </w:t>
      </w:r>
      <w:r>
        <w:t>The smallest building blocks are enabling next-generation solutions.</w:t>
      </w:r>
    </w:p>
    <w:p>
      <w:pPr>
        <w:spacing w:before="120" w:after="120"/>
      </w:pPr>
      <w:r>
        <w:rPr>
          <w:sz w:val="18"/>
        </w:rPr>
        <w:t>——————————————————————————————————————————————————————————————————————</w:t>
      </w:r>
    </w:p>
    <w:p>
      <w:pPr>
        <w:spacing w:before="160" w:after="40" w:line="240" w:lineRule="auto"/>
      </w:pPr>
      <w:r>
        <w:rPr>
          <w:b/>
        </w:rPr>
        <w:t xml:space="preserve">[481] </w:t>
      </w:r>
      <w:hyperlink r:id="rId1311">
        <w:r>
          <w:rPr>
            <w:color w:val="1155CC"/>
            <w:u w:val="single"/>
          </w:rPr>
          <w:t>数控硅量子处理单元</w:t>
        </w:r>
      </w:hyperlink>
    </w:p>
    <w:p>
      <w:pPr>
        <w:spacing w:before="0" w:after="80"/>
      </w:pPr>
      <w:r>
        <w:rPr>
          <w:i/>
          <w:sz w:val="20"/>
        </w:rPr>
        <w:t>EN: A digitally controlled silicon quantum processing unit</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12">
        <w:r>
          <w:rPr>
            <w:color w:val="1155CC"/>
            <w:u w:val="single"/>
          </w:rPr>
          <w:t>10.1038/s41586-026-10754-7</w:t>
        </w:r>
      </w:hyperlink>
    </w:p>
    <w:p>
      <w:pPr>
        <w:spacing w:before="0" w:after="120"/>
      </w:pPr>
      <w:r>
        <w:rPr>
          <w:b/>
        </w:rPr>
        <w:t xml:space="preserve">Notes: </w:t>
      </w:r>
      <w:r>
        <w:t>abstract_source=crossref</w:t>
      </w:r>
    </w:p>
    <w:p>
      <w:pPr>
        <w:spacing w:before="0" w:after="80" w:lineRule="auto" w:line="276"/>
      </w:pPr>
      <w:r>
        <w:rPr>
          <w:b/>
        </w:rPr>
        <w:t xml:space="preserve">摘要（ZH）: </w:t>
      </w:r>
      <w:r>
        <w:t>商业相关的量子计算机将需要大量可以大规模制造、集成和控制的高性能量子位。仅限硅交换的量子位</w:t>
      </w:r>
      <w:r>
        <w:t xml:space="preserve"> </w:t>
      </w:r>
      <w:r>
        <w:t>1–10</w:t>
      </w:r>
      <w:r>
        <w:t xml:space="preserve"> </w:t>
      </w:r>
      <w:r>
        <w:t>由于其控制信号简单且与先进半导体制造兼容，因此成为强有力的候选模式</w:t>
      </w:r>
      <w:r>
        <w:t xml:space="preserve"> </w:t>
      </w:r>
      <w:r>
        <w:t>11–13</w:t>
      </w:r>
      <w:r>
        <w:t xml:space="preserve"> </w:t>
      </w:r>
      <w:r>
        <w:t>，但关于能否实现足够低的噪声以及可扩展的控制和接线解决方案仍然存在问题</w:t>
      </w:r>
      <w:r>
        <w:t xml:space="preserve"> </w:t>
      </w:r>
      <w:r>
        <w:t>13–19</w:t>
      </w:r>
      <w:r>
        <w:t xml:space="preserve"> </w:t>
      </w:r>
      <w:r>
        <w:t>。在这里，我们介绍一种量子处理单元，由定制设计的低温互补金属氧化物半导体 (CMOS) 控制器、高密度超导带状电缆和低噪声仅交换量子位设备组成。该量子芯片具有 54 个交换耦合量子点的 3 轨阵列，可配置为容纳多达 18 个仅交换量子位。我们集成并使用这些组件来演示单量子位和纠缠操作的量子位性能，从而推进仅交换的最先进技术</w:t>
      </w:r>
      <w:r>
        <w:t xml:space="preserve"> </w:t>
      </w:r>
      <w:r>
        <w:t>7,8,10</w:t>
      </w:r>
      <w:r>
        <w:t xml:space="preserve"> </w:t>
      </w:r>
      <w:r>
        <w:t>提高了一个数量级。我们通过实施距离 5 重复代码进一步验证该系统</w:t>
      </w:r>
      <w:r>
        <w:rPr>
          <w:vertAlign w:val="subscript"/>
        </w:rPr>
        <w:t>20</w:t>
      </w:r>
      <w:r>
        <w:t>和距离2量子检错码</w:t>
      </w:r>
      <w:r>
        <w:t xml:space="preserve"> </w:t>
      </w:r>
      <w:r>
        <w:t>21–26</w:t>
      </w:r>
      <w:r>
        <w:t xml:space="preserve"> </w:t>
      </w:r>
      <w:r>
        <w:t>然后与模拟进行详细比较。我们的工作促进了未来公用事业规模量子计算机的开发，并具有可管理的运营和资本要求。</w:t>
      </w:r>
    </w:p>
    <w:p>
      <w:pPr>
        <w:spacing w:before="0" w:after="200" w:lineRule="auto" w:line="276"/>
      </w:pPr>
      <w:r>
        <w:rPr>
          <w:b/>
        </w:rPr>
        <w:t xml:space="preserve">Abstract (EN): </w:t>
      </w:r>
      <w:r>
        <w:t>Commercially relevant quantum computers will require large numbers of high-performing qubits that can be manufactured, integrated and controlled at scale. Silicon exchange-only qubits</w:t>
      </w:r>
      <w:r>
        <w:t xml:space="preserve"> </w:t>
      </w:r>
      <w:r>
        <w:t>1–10</w:t>
      </w:r>
      <w:r>
        <w:t xml:space="preserve"> </w:t>
      </w:r>
      <w:r>
        <w:t>are a strong candidate modality owing to their control-signal simplicity and compatibility with advanced semiconductor manufacturing</w:t>
      </w:r>
      <w:r>
        <w:t xml:space="preserve"> </w:t>
      </w:r>
      <w:r>
        <w:t>11–13</w:t>
      </w:r>
      <w:r>
        <w:t xml:space="preserve"> </w:t>
      </w:r>
      <w:r>
        <w:t>, but questions remain around the achievability of sufficiently low noise and a scalable control and wiring solution</w:t>
      </w:r>
      <w:r>
        <w:t xml:space="preserve"> </w:t>
      </w:r>
      <w:r>
        <w:t>13–19</w:t>
      </w:r>
      <w:r>
        <w:t xml:space="preserve"> </w:t>
      </w:r>
      <w:r>
        <w:t>. Here we introduce a quantum processing unit composed of a custom-designed cryogenic complementary metal–oxide–semiconductor (CMOS) controller, a high-density superconducting ribbon cable and a low-noise exchange-only qubit device. The quantum chip features a 3-rail array of 54 exchange-coupled quantum dots, configurable to host up to 18 exchange-only qubits. We integrate and use these components to demonstrate qubit performance for both single-qubit and entangling operations that advances the exchange-only state of the art</w:t>
      </w:r>
      <w:r>
        <w:t xml:space="preserve"> </w:t>
      </w:r>
      <w:r>
        <w:t>7,8,10</w:t>
      </w:r>
      <w:r>
        <w:t xml:space="preserve"> </w:t>
      </w:r>
      <w:r>
        <w:t>by an order of magnitude. We further validate this system by implementing a distance-5 repetition code</w:t>
      </w:r>
      <w:r>
        <w:rPr>
          <w:vertAlign w:val="subscript"/>
        </w:rPr>
        <w:t>20</w:t>
      </w:r>
      <w:r>
        <w:t>and a distance-2 quantum error-detecting code</w:t>
      </w:r>
      <w:r>
        <w:t xml:space="preserve"> </w:t>
      </w:r>
      <w:r>
        <w:t>21–26</w:t>
      </w:r>
      <w:r>
        <w:t xml:space="preserve"> </w:t>
      </w:r>
      <w:r>
        <w:t>and then make detailed comparisons with simulations. Our work facilitates the development of future utility-scale quantum computers with manageable operational and capital requirements.</w:t>
      </w:r>
    </w:p>
    <w:p>
      <w:pPr>
        <w:spacing w:before="120" w:after="120"/>
      </w:pPr>
      <w:r>
        <w:rPr>
          <w:sz w:val="18"/>
        </w:rPr>
        <w:t>——————————————————————————————————————————————————————————————————————</w:t>
      </w:r>
    </w:p>
    <w:p>
      <w:pPr>
        <w:spacing w:before="160" w:after="40" w:line="240" w:lineRule="auto"/>
      </w:pPr>
      <w:r>
        <w:rPr>
          <w:b/>
        </w:rPr>
        <w:t xml:space="preserve">[482] </w:t>
      </w:r>
      <w:hyperlink r:id="rId1313">
        <w:r>
          <w:rPr>
            <w:color w:val="1155CC"/>
            <w:u w:val="single"/>
          </w:rPr>
          <w:t>肠道干细胞计数自我更新分裂以切换多能性</w:t>
        </w:r>
      </w:hyperlink>
    </w:p>
    <w:p>
      <w:pPr>
        <w:spacing w:before="0" w:after="80"/>
      </w:pPr>
      <w:r>
        <w:rPr>
          <w:i/>
          <w:sz w:val="20"/>
        </w:rPr>
        <w:t>EN: Intestinal stem cells count self-renewal divisions to switch multipotency</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14">
        <w:r>
          <w:rPr>
            <w:color w:val="1155CC"/>
            <w:u w:val="single"/>
          </w:rPr>
          <w:t>10.1038/s41586-026-10814-y</w:t>
        </w:r>
      </w:hyperlink>
    </w:p>
    <w:p>
      <w:pPr>
        <w:spacing w:before="0" w:after="120"/>
      </w:pPr>
      <w:r>
        <w:rPr>
          <w:b/>
        </w:rPr>
        <w:t xml:space="preserve">Notes: </w:t>
      </w:r>
      <w:r>
        <w:t>abstract_source=pubmed</w:t>
      </w:r>
    </w:p>
    <w:p>
      <w:pPr>
        <w:spacing w:before="0" w:after="80" w:lineRule="auto" w:line="276"/>
      </w:pPr>
      <w:r>
        <w:rPr>
          <w:b/>
        </w:rPr>
        <w:t xml:space="preserve">摘要（ZH）: </w:t>
      </w:r>
      <w:r>
        <w:t>多能干细胞通过按确定的比例产生不同的子细胞类型来维持组织稳态1,2，但它们在重复分裂过程中如何协调类型特异性比例仍然未知。果蝇肠干细胞 (ISC) 在产生肠内分泌细胞 (EEC) 和肠上皮细胞 (EC)3,4 之间切换，尽管组织更新速度很快，但仍保持恒定的 EEC:EC 比率 5-7。在这里，我们表明ISC本质上通过表观遗传机制来计数自我更新分裂，以控制多能性转换。每次不对称分裂产生肠内分泌母细胞（EMC；对称分裂产生一对 EEC）后，ISC 精确执行八次分裂，产生 EC，然后在第九次分裂时切换回 EMC 生产。这种计数是由拮抗组蛋白修饰驱动的：Trithorax组（TrxG）依赖性活性标记（H3K4me3和H3K36me3）逐渐下降，而Polycomb组（PcG）依赖性抑制标记（H3K27me3）在连续分裂中积累，在阈值处触发命运切换。分裂计数可通过调节 TrxG 和 PcG 活性来调节，但可以承受急性损伤。至关重要的是，EMC 衍生的瞬态 Notch 信号在 ISC 中建立活动标记以启动计数，将每个 EMC 生产指定为周期的起点。我们的工作确定了一种基于组蛋白修饰的分裂计数器，可以对干细胞的发育保真度进行编程，这对工程组织生长和分化障碍疗法具有影响。</w:t>
      </w:r>
    </w:p>
    <w:p>
      <w:pPr>
        <w:spacing w:before="0" w:after="200" w:lineRule="auto" w:line="276"/>
      </w:pPr>
      <w:r>
        <w:rPr>
          <w:b/>
        </w:rPr>
        <w:t xml:space="preserve">Abstract (EN): </w:t>
      </w:r>
      <w:r>
        <w:t>Multipotent stem cells maintain tissue homeostasis by producing distinct daughter cell types in defined proportions1,2, but how they coordinate type-specific ratios during repeated divisions remains unknown. Drosophila intestinal stem cells (ISCs) switch between producing enteroendocrine cells (EECs) and enterocytes (ECs)3,4, yet maintain a constant EEC:EC ratio despite rapid tissue turnover5-7. Here we show that ISCs intrinsically count self-renewal divisions through an epigenetic mechanism to control multipotency switching. After each asymmetrical division producing an enteroendocrine mother cell (EMC; which divides symmetrically to produce a pair of EECs), ISCs execute precisely eight divisions that generate ECs, before switching back to EMC production at the ninth division. This counting is driven by antagonistic histone modifications: Trithorax group (TrxG)-dependent active marks (H3K4me3 and H3K36me3) progressively decline, whereas Polycomb group (PcG)-dependent repressive marks (H3K27me3) accumulate over successive divisions, triggering fate switching at a threshold. The division count is tunable by modulating TrxG and PcG activities, but withstands acute injury. Crucially, EMC-derived transient Notch signalling establishes active marks in ISCs to initiate the count, designating each EMC production as the cycle's start point. Our work identifies a histone-modification-based division counter that programs developmental fidelity in stem cells, with implications for engineered tissue growth and differentiation disorder therapies.</w:t>
      </w:r>
    </w:p>
    <w:p>
      <w:pPr>
        <w:spacing w:before="120" w:after="120"/>
      </w:pPr>
      <w:r>
        <w:rPr>
          <w:sz w:val="18"/>
        </w:rPr>
        <w:t>——————————————————————————————————————————————————————————————————————</w:t>
      </w:r>
    </w:p>
    <w:p>
      <w:pPr>
        <w:spacing w:before="160" w:after="40" w:line="240" w:lineRule="auto"/>
      </w:pPr>
      <w:r>
        <w:rPr>
          <w:b/>
        </w:rPr>
        <w:t xml:space="preserve">[483] </w:t>
      </w:r>
      <w:hyperlink r:id="rId1315">
        <w:r>
          <w:rPr>
            <w:color w:val="1155CC"/>
            <w:u w:val="single"/>
          </w:rPr>
          <w:t>过去是一罐打开的蠕虫：一个刺激记忆的展览</w:t>
        </w:r>
      </w:hyperlink>
    </w:p>
    <w:p>
      <w:pPr>
        <w:spacing w:before="0" w:after="80"/>
      </w:pPr>
      <w:r>
        <w:rPr>
          <w:i/>
          <w:sz w:val="20"/>
        </w:rPr>
        <w:t>EN: The past is an open can of worms: a stimulated-memory exhibition</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16">
        <w:r>
          <w:rPr>
            <w:color w:val="1155CC"/>
            <w:u w:val="single"/>
          </w:rPr>
          <w:t>10.1038/d41586-026-02254-5</w:t>
        </w:r>
      </w:hyperlink>
    </w:p>
    <w:p>
      <w:pPr>
        <w:spacing w:before="0" w:after="120"/>
      </w:pPr>
      <w:r>
        <w:rPr>
          <w:b/>
        </w:rPr>
        <w:t xml:space="preserve">Notes: </w:t>
      </w:r>
      <w:r>
        <w:t>abstract_source=nature_html</w:t>
      </w:r>
    </w:p>
    <w:p>
      <w:pPr>
        <w:spacing w:before="0" w:after="80" w:lineRule="auto" w:line="276"/>
      </w:pPr>
      <w:r>
        <w:rPr>
          <w:b/>
        </w:rPr>
        <w:t xml:space="preserve">摘要（ZH）: </w:t>
      </w:r>
      <w:r>
        <w:t>一个失落的世界。</w:t>
      </w:r>
    </w:p>
    <w:p>
      <w:pPr>
        <w:spacing w:before="0" w:after="200" w:lineRule="auto" w:line="276"/>
      </w:pPr>
      <w:r>
        <w:rPr>
          <w:b/>
        </w:rPr>
        <w:t xml:space="preserve">Abstract (EN): </w:t>
      </w:r>
      <w:r>
        <w:t>A lost world.</w:t>
      </w:r>
    </w:p>
    <w:p>
      <w:pPr>
        <w:spacing w:before="120" w:after="120"/>
      </w:pPr>
      <w:r>
        <w:rPr>
          <w:sz w:val="18"/>
        </w:rPr>
        <w:t>——————————————————————————————————————————————————————————————————————</w:t>
      </w:r>
    </w:p>
    <w:p>
      <w:pPr>
        <w:spacing w:before="160" w:after="40" w:line="240" w:lineRule="auto"/>
      </w:pPr>
      <w:r>
        <w:rPr>
          <w:b/>
        </w:rPr>
        <w:t xml:space="preserve">[484] </w:t>
      </w:r>
      <w:hyperlink r:id="rId1317">
        <w:r>
          <w:rPr>
            <w:color w:val="1155CC"/>
            <w:u w:val="single"/>
          </w:rPr>
          <w:t>如果根除脊髓灰质炎的任务不尽快完成，它将会卷土重来</w:t>
        </w:r>
      </w:hyperlink>
    </w:p>
    <w:p>
      <w:pPr>
        <w:spacing w:before="0" w:after="80"/>
      </w:pPr>
      <w:r>
        <w:rPr>
          <w:i/>
          <w:sz w:val="20"/>
        </w:rPr>
        <w:t>EN: Polio will come roaring back if the task of eradicating it isn’t finished soon</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18">
        <w:r>
          <w:rPr>
            <w:color w:val="1155CC"/>
            <w:u w:val="single"/>
          </w:rPr>
          <w:t>10.1038/d41586-026-02308-8</w:t>
        </w:r>
      </w:hyperlink>
    </w:p>
    <w:p>
      <w:pPr>
        <w:spacing w:before="0" w:after="120"/>
      </w:pPr>
      <w:r>
        <w:rPr>
          <w:b/>
        </w:rPr>
        <w:t xml:space="preserve">Notes: </w:t>
      </w:r>
      <w:r>
        <w:t>abstract_source=rss_nature</w:t>
      </w:r>
    </w:p>
    <w:p>
      <w:pPr>
        <w:spacing w:before="0" w:after="80" w:lineRule="auto" w:line="276"/>
      </w:pPr>
      <w:r>
        <w:rPr>
          <w:b/>
        </w:rPr>
        <w:t xml:space="preserve">摘要（ZH）: </w:t>
      </w:r>
      <w:r>
        <w:t>如果各国将其视为重要的公共卫生优先事项，消除脊髓灰质炎是可以实现的。</w:t>
      </w:r>
    </w:p>
    <w:p>
      <w:pPr>
        <w:spacing w:before="0" w:after="200" w:lineRule="auto" w:line="276"/>
      </w:pPr>
      <w:r>
        <w:rPr>
          <w:b/>
        </w:rPr>
        <w:t xml:space="preserve">Abstract (EN): </w:t>
      </w:r>
      <w:r>
        <w:t>Eliminating polio is within reach — if countries see it as an essential public-health priority.</w:t>
      </w:r>
    </w:p>
    <w:p>
      <w:pPr>
        <w:spacing w:before="120" w:after="120"/>
      </w:pPr>
      <w:r>
        <w:rPr>
          <w:sz w:val="18"/>
        </w:rPr>
        <w:t>——————————————————————————————————————————————————————————————————————</w:t>
      </w:r>
    </w:p>
    <w:p>
      <w:pPr>
        <w:spacing w:before="160" w:after="40" w:line="240" w:lineRule="auto"/>
      </w:pPr>
      <w:r>
        <w:rPr>
          <w:b/>
        </w:rPr>
        <w:t xml:space="preserve">[485] </w:t>
      </w:r>
      <w:hyperlink r:id="rId1319">
        <w:r>
          <w:rPr>
            <w:color w:val="1155CC"/>
            <w:u w:val="single"/>
          </w:rPr>
          <w:t>自然指数指南</w:t>
        </w:r>
      </w:hyperlink>
    </w:p>
    <w:p>
      <w:pPr>
        <w:spacing w:before="0" w:after="80"/>
      </w:pPr>
      <w:r>
        <w:rPr>
          <w:i/>
          <w:sz w:val="20"/>
        </w:rPr>
        <w:t>EN: A guide to the Nature Index</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20">
        <w:r>
          <w:rPr>
            <w:color w:val="1155CC"/>
            <w:u w:val="single"/>
          </w:rPr>
          <w:t>10.1038/d41586-026-02183-3</w:t>
        </w:r>
      </w:hyperlink>
    </w:p>
    <w:p>
      <w:pPr>
        <w:spacing w:before="0" w:after="120"/>
      </w:pPr>
      <w:r>
        <w:rPr>
          <w:b/>
        </w:rPr>
        <w:t xml:space="preserve">Notes: </w:t>
      </w:r>
      <w:r>
        <w:t>abstract_source=rss_nature</w:t>
      </w:r>
    </w:p>
    <w:p>
      <w:pPr>
        <w:spacing w:before="0" w:after="80" w:lineRule="auto" w:line="276"/>
      </w:pPr>
      <w:r>
        <w:rPr>
          <w:b/>
        </w:rPr>
        <w:t xml:space="preserve">摘要（ZH）: </w:t>
      </w:r>
      <w:r>
        <w:t>本补充材料中使用的术语和方法的描述以及功能指南（可在 natureindex.com 上免费在线获取）。</w:t>
      </w:r>
    </w:p>
    <w:p>
      <w:pPr>
        <w:spacing w:before="0" w:after="200" w:lineRule="auto" w:line="276"/>
      </w:pPr>
      <w:r>
        <w:rPr>
          <w:b/>
        </w:rPr>
        <w:t xml:space="preserve">Abstract (EN): </w:t>
      </w:r>
      <w:r>
        <w:t>A description of the terminology and methodology used in this supplement, and a guide to the functionality that is available free online at natureindex.com.</w:t>
      </w:r>
    </w:p>
    <w:p>
      <w:pPr>
        <w:spacing w:before="120" w:after="120"/>
      </w:pPr>
      <w:r>
        <w:rPr>
          <w:sz w:val="18"/>
        </w:rPr>
        <w:t>——————————————————————————————————————————————————————————————————————</w:t>
      </w:r>
    </w:p>
    <w:p>
      <w:pPr>
        <w:spacing w:before="160" w:after="40" w:line="240" w:lineRule="auto"/>
      </w:pPr>
      <w:r>
        <w:rPr>
          <w:b/>
        </w:rPr>
        <w:t xml:space="preserve">[486] </w:t>
      </w:r>
      <w:hyperlink r:id="rId1321">
        <w:r>
          <w:rPr>
            <w:color w:val="1155CC"/>
            <w:u w:val="single"/>
          </w:rPr>
          <w:t>具有开放同行评审报告的论文被撤回的可能性较小</w:t>
        </w:r>
      </w:hyperlink>
    </w:p>
    <w:p>
      <w:pPr>
        <w:spacing w:before="0" w:after="80"/>
      </w:pPr>
      <w:r>
        <w:rPr>
          <w:i/>
          <w:sz w:val="20"/>
        </w:rPr>
        <w:t>EN: Papers with open peer-review reports are less likely to be retracted</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22">
        <w:r>
          <w:rPr>
            <w:color w:val="1155CC"/>
            <w:u w:val="single"/>
          </w:rPr>
          <w:t>10.1038/d41586-026-02282-1</w:t>
        </w:r>
      </w:hyperlink>
    </w:p>
    <w:p>
      <w:pPr>
        <w:spacing w:before="0" w:after="120"/>
      </w:pPr>
      <w:r>
        <w:rPr>
          <w:b/>
        </w:rPr>
        <w:t xml:space="preserve">Notes: </w:t>
      </w:r>
      <w:r>
        <w:t>abstract_source=rss_nature</w:t>
      </w:r>
    </w:p>
    <w:p>
      <w:pPr>
        <w:spacing w:before="0" w:after="80" w:lineRule="auto" w:line="276"/>
      </w:pPr>
      <w:r>
        <w:rPr>
          <w:b/>
        </w:rPr>
        <w:t xml:space="preserve">摘要（ZH）: </w:t>
      </w:r>
      <w:r>
        <w:t>研究人员表示，透明的出版实践可能与研究质量有关，但还需要更多证据。</w:t>
      </w:r>
    </w:p>
    <w:p>
      <w:pPr>
        <w:spacing w:before="0" w:after="200" w:lineRule="auto" w:line="276"/>
      </w:pPr>
      <w:r>
        <w:rPr>
          <w:b/>
        </w:rPr>
        <w:t xml:space="preserve">Abstract (EN): </w:t>
      </w:r>
      <w:r>
        <w:t>Researchers say that transparent publishing practices could be associated with research quality, but more evidence is needed.</w:t>
      </w:r>
    </w:p>
    <w:p>
      <w:pPr>
        <w:spacing w:before="120" w:after="120"/>
      </w:pPr>
      <w:r>
        <w:rPr>
          <w:sz w:val="18"/>
        </w:rPr>
        <w:t>——————————————————————————————————————————————————————————————————————</w:t>
      </w:r>
    </w:p>
    <w:p>
      <w:pPr>
        <w:spacing w:before="160" w:after="40" w:line="240" w:lineRule="auto"/>
      </w:pPr>
      <w:r>
        <w:rPr>
          <w:b/>
        </w:rPr>
        <w:t xml:space="preserve">[487] </w:t>
      </w:r>
      <w:hyperlink r:id="rId1323">
        <w:r>
          <w:rPr>
            <w:color w:val="1155CC"/>
            <w:u w:val="single"/>
          </w:rPr>
          <w:t>量子遇上资本主义：如何将对技术的长期押注与商业速度结合起来</w:t>
        </w:r>
      </w:hyperlink>
    </w:p>
    <w:p>
      <w:pPr>
        <w:spacing w:before="0" w:after="80"/>
      </w:pPr>
      <w:r>
        <w:rPr>
          <w:i/>
          <w:sz w:val="20"/>
        </w:rPr>
        <w:t>EN: Quantum meets capitalism: how to pair long-term bets on technology with commercial speed</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24">
        <w:r>
          <w:rPr>
            <w:color w:val="1155CC"/>
            <w:u w:val="single"/>
          </w:rPr>
          <w:t>10.1038/d41586-026-02310-0</w:t>
        </w:r>
      </w:hyperlink>
    </w:p>
    <w:p>
      <w:pPr>
        <w:spacing w:before="0" w:after="120"/>
      </w:pPr>
      <w:r>
        <w:rPr>
          <w:b/>
        </w:rPr>
        <w:t xml:space="preserve">Notes: </w:t>
      </w:r>
      <w:r>
        <w:t>abstract_source=rss_nature</w:t>
      </w:r>
    </w:p>
    <w:p>
      <w:pPr>
        <w:spacing w:before="0" w:after="80" w:lineRule="auto" w:line="276"/>
      </w:pPr>
      <w:r>
        <w:rPr>
          <w:b/>
        </w:rPr>
        <w:t xml:space="preserve">摘要（ZH）: </w:t>
      </w:r>
      <w:r>
        <w:t>量子计算的存在是因为政府资助了高风险的赌注。如果量子科学家得到支持，资本主义可以走完剩下的路。</w:t>
      </w:r>
    </w:p>
    <w:p>
      <w:pPr>
        <w:spacing w:before="0" w:after="200" w:lineRule="auto" w:line="276"/>
      </w:pPr>
      <w:r>
        <w:rPr>
          <w:b/>
        </w:rPr>
        <w:t xml:space="preserve">Abstract (EN): </w:t>
      </w:r>
      <w:r>
        <w:t>Quantum computing exists because governments funded risky bets. Capitalism can carry it the rest of the way — if quantum scientists are supported.</w:t>
      </w:r>
    </w:p>
    <w:p>
      <w:pPr>
        <w:spacing w:before="120" w:after="120"/>
      </w:pPr>
      <w:r>
        <w:rPr>
          <w:sz w:val="18"/>
        </w:rPr>
        <w:t>——————————————————————————————————————————————————————————————————————</w:t>
      </w:r>
    </w:p>
    <w:p>
      <w:pPr>
        <w:spacing w:before="160" w:after="40" w:line="240" w:lineRule="auto"/>
      </w:pPr>
      <w:r>
        <w:rPr>
          <w:b/>
        </w:rPr>
        <w:t xml:space="preserve">[488] </w:t>
      </w:r>
      <w:hyperlink r:id="rId1325">
        <w:r>
          <w:rPr>
            <w:color w:val="1155CC"/>
            <w:u w:val="single"/>
          </w:rPr>
          <w:t>如何为量子计算重新设计硅芯片技术</w:t>
        </w:r>
      </w:hyperlink>
    </w:p>
    <w:p>
      <w:pPr>
        <w:spacing w:before="0" w:after="80"/>
      </w:pPr>
      <w:r>
        <w:rPr>
          <w:i/>
          <w:sz w:val="20"/>
        </w:rPr>
        <w:t>EN: How silicon-chip technology is being re-engineered for quantum computing</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26">
        <w:r>
          <w:rPr>
            <w:color w:val="1155CC"/>
            <w:u w:val="single"/>
          </w:rPr>
          <w:t>10.1038/d41586-026-02124-0</w:t>
        </w:r>
      </w:hyperlink>
    </w:p>
    <w:p>
      <w:pPr>
        <w:spacing w:before="0" w:after="120"/>
      </w:pPr>
      <w:r>
        <w:rPr>
          <w:b/>
        </w:rPr>
        <w:t xml:space="preserve">Notes: </w:t>
      </w:r>
      <w:r>
        <w:t>abstract_source=rss_nature</w:t>
      </w:r>
    </w:p>
    <w:p>
      <w:pPr>
        <w:spacing w:before="0" w:after="80" w:lineRule="auto" w:line="276"/>
      </w:pPr>
      <w:r>
        <w:rPr>
          <w:b/>
        </w:rPr>
        <w:t xml:space="preserve">摘要（ZH）: </w:t>
      </w:r>
      <w:r>
        <w:t>硅基量子处理器的两个演示解决了构建可扩展量子计算机的工程挑战。</w:t>
      </w:r>
    </w:p>
    <w:p>
      <w:pPr>
        <w:spacing w:before="0" w:after="200" w:lineRule="auto" w:line="276"/>
      </w:pPr>
      <w:r>
        <w:rPr>
          <w:b/>
        </w:rPr>
        <w:t xml:space="preserve">Abstract (EN): </w:t>
      </w:r>
      <w:r>
        <w:t>Two demonstrations of silicon-based quantum processors tackle the engineering challenges of building scalable quantum computers.</w:t>
      </w:r>
    </w:p>
    <w:p>
      <w:pPr>
        <w:spacing w:before="120" w:after="120"/>
      </w:pPr>
      <w:r>
        <w:rPr>
          <w:sz w:val="18"/>
        </w:rPr>
        <w:t>——————————————————————————————————————————————————————————————————————</w:t>
      </w:r>
    </w:p>
    <w:p>
      <w:pPr>
        <w:spacing w:before="160" w:after="40" w:line="240" w:lineRule="auto"/>
      </w:pPr>
      <w:r>
        <w:rPr>
          <w:b/>
        </w:rPr>
        <w:t xml:space="preserve">[489] </w:t>
      </w:r>
      <w:hyperlink r:id="rId1327">
        <w:r>
          <w:rPr>
            <w:color w:val="1155CC"/>
            <w:u w:val="single"/>
          </w:rPr>
          <w:t>CELF2 通过核簇促进 4R Tau 剪接并导致 tau 病模型中的认知功能障碍</w:t>
        </w:r>
      </w:hyperlink>
    </w:p>
    <w:p>
      <w:pPr>
        <w:spacing w:before="0" w:after="80"/>
      </w:pPr>
      <w:r>
        <w:rPr>
          <w:i/>
          <w:sz w:val="20"/>
        </w:rPr>
        <w:t>EN: CELF2 promotes 4R Tau splicing via nuclear clustering and drives cognitive dysfunction in tauopathy models</w:t>
      </w:r>
    </w:p>
    <w:p>
      <w:pPr>
        <w:spacing w:before="0" w:after="120"/>
      </w:pPr>
      <w:r>
        <w:rPr>
          <w:b/>
        </w:rPr>
        <w:t xml:space="preserve">Source: </w:t>
      </w:r>
      <w:r>
        <w:t>Biological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选择性剪接是蛋白质多样性的基本机制。微管相关蛋白 tau (MAPT) 经历与年龄相关的外显子 10 选择性剪接，生成 3 R 和 4 R 同工型，而 4 R:3 R 比例的破坏是 tau 病的核心特征。然而，调节 tau 外显子 10 剪接的分子机制仍不完全清楚。在这里，我们确定了 RNA 结合蛋白 CELF2 调节 tau 剪接的基于聚类的机制。 CELF2 铰链域内的本质无序区域 (IDR) 介导多价组装，并且是剪接活性所必需的。 NOVA2 和 SFPQ 与 CELF2 共簇并协同调节 tau 外显子 10 剪接。保守的带负电残基 D388 对于 CELF2 组装、蛋白质相互作用和剪接功能至关重要。在体内，CELF2 的组装能力与 4 R tau 表达相关，并影响运动和认知表现。总之，这些发现支持 IDR 介导的 CELF2 高阶组装协调 tau 剪接调节并影响 tau 相关的神经变性。</w:t>
      </w:r>
    </w:p>
    <w:p>
      <w:pPr>
        <w:spacing w:before="0" w:after="200" w:lineRule="auto" w:line="276"/>
      </w:pPr>
      <w:r>
        <w:rPr>
          <w:b/>
        </w:rPr>
        <w:t xml:space="preserve">Abstract (EN): </w:t>
      </w:r>
      <w:r>
        <w:t>Alternative splicing is a fundamental mechanism underlying protein diversity. The microtubule-associated protein tau (MAPT) undergoes age-associated alternative splicing of exon 10 to generate 3 R and 4 R isoforms, and disruption of the 4 R:3 R ratio is a central feature of tauopathies. However, the molecular mechanisms regulating tau exon 10 splicing remain incompletely understood. Here we identify a clustering-based mechanism underlying tau splicing regulation by the RNA-binding protein CELF2. An intrinsically disordered region (IDR) within the CELF2 hinge domain mediates multivalent assembly and is required for splicing activity. NOVA2 and SFPQ co-cluster with CELF2 and cooperatively regulate tau exon 10 splicing. A conserved negatively charged residue, D388, is essential for CELF2 assembly, protein interactions, and splicing function. In vivo, the assembly capacity of CELF2 correlates with 4 R tau expression and influences locomotor and cognitive performance. Together, these findings support that IDR-mediated higher-order assembly of CELF2 coordinates tau splicing regulation and impacts tau-related neurodegeneration.</w:t>
      </w:r>
    </w:p>
    <w:p>
      <w:pPr>
        <w:spacing w:before="120" w:after="120"/>
      </w:pPr>
      <w:r>
        <w:rPr>
          <w:sz w:val="18"/>
        </w:rPr>
        <w:t>——————————————————————————————————————————————————————————————————————</w:t>
      </w:r>
    </w:p>
    <w:p>
      <w:pPr>
        <w:spacing w:before="160" w:after="40" w:line="240" w:lineRule="auto"/>
      </w:pPr>
      <w:r>
        <w:rPr>
          <w:b/>
        </w:rPr>
        <w:t xml:space="preserve">[490] </w:t>
      </w:r>
      <w:hyperlink r:id="rId1328">
        <w:r>
          <w:rPr>
            <w:color w:val="1155CC"/>
            <w:u w:val="single"/>
          </w:rPr>
          <w:t>这种人工智能“射线枪”可以缩小和放大蛋白质——为轻松编辑打开了大门</w:t>
        </w:r>
      </w:hyperlink>
    </w:p>
    <w:p>
      <w:pPr>
        <w:spacing w:before="0" w:after="80"/>
      </w:pPr>
      <w:r>
        <w:rPr>
          <w:i/>
          <w:sz w:val="20"/>
        </w:rPr>
        <w:t>EN: This AI ‘Raygun’ can shrink and supersize proteins — opening the door to easy editing</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29">
        <w:r>
          <w:rPr>
            <w:color w:val="1155CC"/>
            <w:u w:val="single"/>
          </w:rPr>
          <w:t>10.1038/d41586-026-02335-5</w:t>
        </w:r>
      </w:hyperlink>
    </w:p>
    <w:p>
      <w:pPr>
        <w:spacing w:before="0" w:after="120"/>
      </w:pPr>
      <w:r>
        <w:rPr>
          <w:b/>
        </w:rPr>
        <w:t xml:space="preserve">Notes: </w:t>
      </w:r>
      <w:r>
        <w:t>abstract_source=nature_html</w:t>
      </w:r>
    </w:p>
    <w:p>
      <w:pPr>
        <w:spacing w:before="0" w:after="80" w:lineRule="auto" w:line="276"/>
      </w:pPr>
      <w:r>
        <w:rPr>
          <w:b/>
        </w:rPr>
        <w:t xml:space="preserve">摘要（ZH）: </w:t>
      </w:r>
      <w:r>
        <w:t>模型使用概率方法修改现有蛋白质。</w:t>
      </w:r>
    </w:p>
    <w:p>
      <w:pPr>
        <w:spacing w:before="0" w:after="200" w:lineRule="auto" w:line="276"/>
      </w:pPr>
      <w:r>
        <w:rPr>
          <w:b/>
        </w:rPr>
        <w:t xml:space="preserve">Abstract (EN): </w:t>
      </w:r>
      <w:r>
        <w:t>Model modifies existing proteins using probability approach.</w:t>
      </w:r>
    </w:p>
    <w:p>
      <w:pPr>
        <w:spacing w:before="120" w:after="120"/>
      </w:pPr>
      <w:r>
        <w:rPr>
          <w:sz w:val="18"/>
        </w:rPr>
        <w:t>——————————————————————————————————————————————————————————————————————</w:t>
      </w:r>
    </w:p>
    <w:p>
      <w:pPr>
        <w:spacing w:before="160" w:after="40" w:line="240" w:lineRule="auto"/>
      </w:pPr>
      <w:r>
        <w:rPr>
          <w:b/>
        </w:rPr>
        <w:t xml:space="preserve">[491] </w:t>
      </w:r>
      <w:hyperlink r:id="rId1330">
        <w:r>
          <w:rPr>
            <w:color w:val="1155CC"/>
            <w:u w:val="single"/>
          </w:rPr>
          <w:t>长期新冠病毒可以预防吗？两种药物终于展现出希望</w:t>
        </w:r>
      </w:hyperlink>
    </w:p>
    <w:p>
      <w:pPr>
        <w:spacing w:before="0" w:after="80"/>
      </w:pPr>
      <w:r>
        <w:rPr>
          <w:i/>
          <w:sz w:val="20"/>
        </w:rPr>
        <w:t>EN: Can long COVID be prevented? Two drugs finally show promise</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31">
        <w:r>
          <w:rPr>
            <w:color w:val="1155CC"/>
            <w:u w:val="single"/>
          </w:rPr>
          <w:t>10.1038/d41586-026-02341-7</w:t>
        </w:r>
      </w:hyperlink>
    </w:p>
    <w:p>
      <w:pPr>
        <w:spacing w:before="0" w:after="120"/>
      </w:pPr>
      <w:r>
        <w:rPr>
          <w:b/>
        </w:rPr>
        <w:t xml:space="preserve">Notes: </w:t>
      </w:r>
      <w:r>
        <w:t>abstract_source=rss_nature</w:t>
      </w:r>
    </w:p>
    <w:p>
      <w:pPr>
        <w:spacing w:before="0" w:after="80" w:lineRule="auto" w:line="276"/>
      </w:pPr>
      <w:r>
        <w:rPr>
          <w:b/>
        </w:rPr>
        <w:t xml:space="preserve">摘要（ZH）: </w:t>
      </w:r>
      <w:r>
        <w:t>严格的试验表明，它们可以降低冠状病毒感染后长期患病的风险。</w:t>
      </w:r>
    </w:p>
    <w:p>
      <w:pPr>
        <w:spacing w:before="0" w:after="200" w:lineRule="auto" w:line="276"/>
      </w:pPr>
      <w:r>
        <w:rPr>
          <w:b/>
        </w:rPr>
        <w:t xml:space="preserve">Abstract (EN): </w:t>
      </w:r>
      <w:r>
        <w:t>Rigorous trials suggest they reduce the risk of long-term disease after coronavirus infection.</w:t>
      </w:r>
    </w:p>
    <w:p>
      <w:pPr>
        <w:spacing w:before="120" w:after="120"/>
      </w:pPr>
      <w:r>
        <w:rPr>
          <w:sz w:val="18"/>
        </w:rPr>
        <w:t>——————————————————————————————————————————————————————————————————————</w:t>
      </w:r>
    </w:p>
    <w:p>
      <w:pPr>
        <w:spacing w:before="160" w:after="40" w:line="240" w:lineRule="auto"/>
      </w:pPr>
      <w:r>
        <w:rPr>
          <w:b/>
        </w:rPr>
        <w:t xml:space="preserve">[492] </w:t>
      </w:r>
      <w:hyperlink r:id="rId1332">
        <w:r>
          <w:rPr>
            <w:color w:val="1155CC"/>
            <w:u w:val="single"/>
          </w:rPr>
          <w:t>深入了解多巴胺在根际微生物组组装中的作用</w:t>
        </w:r>
      </w:hyperlink>
    </w:p>
    <w:p>
      <w:pPr>
        <w:spacing w:before="0" w:after="80"/>
      </w:pPr>
      <w:r>
        <w:rPr>
          <w:i/>
          <w:sz w:val="20"/>
        </w:rPr>
        <w:t>EN: Insights into the role of dopamine in rhizosphere microbiome assembly</w:t>
      </w:r>
    </w:p>
    <w:p>
      <w:pPr>
        <w:spacing w:before="0" w:after="120"/>
      </w:pPr>
      <w:r>
        <w:rPr>
          <w:b/>
        </w:rPr>
        <w:t xml:space="preserve">Source: </w:t>
      </w:r>
      <w:r>
        <w:t>Biological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多巴胺在动物生理学以及与肠道微生物的相互作用中发挥着至关重要的作用。在植物中，多巴胺已知在植物防御和非生物胁迫耐受中发挥作用。然而，它在介导植物-微生物组相互作用中的作用仍有待探索。在这项研究中，我们表明多巴胺是最丰富的外代谢物之一，在不同短柄草属二穗花系的根分泌物中具有自然变化，这表明多巴胺在根际微生物组装中具有潜在作用。为了进一步研究这一点，我们用 16 个成员的细菌合成群落 (SynCom) 定殖了 10 个天然二穗 B. 线，收集代谢组和 16S rRNA 测序数据，并进行关联分析。我们的结果表明，根分泌物中的多巴胺水平与水培系统中六个 SynCom 成员的丰度显着相关。体外生长研究表明，多巴胺对相同的六种细菌分离株的生长具有显着影响。此外，直接用富含多巴胺的放线菌处理土壤，与 SynCom-多巴胺相关性和分离株生长结果一致。总的来说，我们的研究强调了多巴胺对根际微生物群落的选择性影响，对精准微生物组管理具有影响。</w:t>
      </w:r>
    </w:p>
    <w:p>
      <w:pPr>
        <w:spacing w:before="0" w:after="200" w:lineRule="auto" w:line="276"/>
      </w:pPr>
      <w:r>
        <w:rPr>
          <w:b/>
        </w:rPr>
        <w:t xml:space="preserve">Abstract (EN): </w:t>
      </w:r>
      <w:r>
        <w:t>Dopamine plays a critical role in animal physiology and interactions with gut microbes. In plants, dopamine is known to function in plant defense and abiotic stress tolerance; however, its role in mediating plant-microbiome interactions remains unexplored. In this study, we show that dopamine is one of the most abundant exometabolites with natural variation in root exudates across diverse Brachypodium distachyon lines, suggesting a potential role in rhizosphere microbial assembly. To further investigate this, we colonized ten natural B. distachyon lines with a 16-member bacterial synthetic community (SynCom), collected metabolomic and 16S rRNA sequencing data, and performed an association analysis. Our results reveal that dopamine levels in root exudates were significantly associated with the abundance of six SynCom members in a hydroponic system. In vitro growth studies demonstrated that dopamine had a significant effect on the growth of the same six bacterial isolates. Additionally, treating soil directly with dopamine enriched Actinobacteria, consistent with both the SynCom-dopamine correlations and the isolate growth results. Collectively, our study underscores the selective influence of dopamine on rhizosphere microbial communities, with implications for precision microbiome management.</w:t>
      </w:r>
    </w:p>
    <w:p>
      <w:pPr>
        <w:spacing w:before="120" w:after="120"/>
      </w:pPr>
      <w:r>
        <w:rPr>
          <w:sz w:val="18"/>
        </w:rPr>
        <w:t>——————————————————————————————————————————————————————————————————————</w:t>
      </w:r>
    </w:p>
    <w:p>
      <w:pPr>
        <w:spacing w:before="160" w:after="40" w:line="240" w:lineRule="auto"/>
      </w:pPr>
      <w:r>
        <w:rPr>
          <w:b/>
        </w:rPr>
        <w:t xml:space="preserve">[493] </w:t>
      </w:r>
      <w:hyperlink r:id="rId1333">
        <w:r>
          <w:rPr>
            <w:color w:val="1155CC"/>
            <w:u w:val="single"/>
          </w:rPr>
          <w:t>人造规范场驱动的光子系统中波向平顶包络变形</w:t>
        </w:r>
      </w:hyperlink>
    </w:p>
    <w:p>
      <w:pPr>
        <w:spacing w:before="0" w:after="80"/>
      </w:pPr>
      <w:r>
        <w:rPr>
          <w:i/>
          <w:sz w:val="20"/>
        </w:rPr>
        <w:t>EN: Wave morphing towards the flat-top envelope in photonics systems driven by artificial gauge fields</w:t>
      </w:r>
    </w:p>
    <w:p>
      <w:pPr>
        <w:spacing w:before="0" w:after="120"/>
      </w:pPr>
      <w:r>
        <w:rPr>
          <w:b/>
        </w:rPr>
        <w:t xml:space="preserve">Source: </w:t>
      </w:r>
      <w:r>
        <w:t>Physical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在量子物理学、经典光学和许多其他波系统中，有限域中的波限制会导致离散本征态，这些本征态通常表现出空间不均匀的振荡轮廓。一个长期存在的问题是，受限系统是否可以违反直觉地支持具有均匀、非零包络的本征态，从而为量子发射器、光学天线和激光器提供新的机会。在这里，我们证明这种状态可以通过充当人工规范势的空间相位工程来实现。通过不断调整累积相位，特征值谱经历谱流，重塑特征态的轮廓，从而形成具有均匀但不平凡的包络的平顶态。我们在光子晶体板中实现了这个概念，其中中心体区域被异质带隙包围，这些带隙定制反射相位以充当人工局部规范场。通过诱导单模激光，我们探测模式包络轮廓的变形，通过近场和远场测量演示从传统振荡状态到平顶状态的连续转变。</w:t>
      </w:r>
    </w:p>
    <w:p>
      <w:pPr>
        <w:spacing w:before="0" w:after="200" w:lineRule="auto" w:line="276"/>
      </w:pPr>
      <w:r>
        <w:rPr>
          <w:b/>
        </w:rPr>
        <w:t xml:space="preserve">Abstract (EN): </w:t>
      </w:r>
      <w:r>
        <w:t>In quantum physics, classical optics, and many other wave systems, wave confinement in a finite domain leads to discrete eigenstates that typically exhibit spatially nonuniform, oscillatory profiles. A long-standing question is whether a confined system can counterintuitively support an eigenstate with a uniform, nonzero envelope, offering new opportunities for quantum emitters, optical antennas, and lasers. Here, we show that such a state can be realized through spatial phase engineering that acts as an artificial gauge potential. By continuously tuning the accumulated phase, the eigenvalue spectra undergo a spectral flow that reshapes the profiles of the eigenstates, enabling the formation of a flat-top state with a uniform yet nontrivial envelope. We implement this concept in a photonic crystal slab, where a central bulk region is surrounded by heterogeneous band gaps that tailor reflection phases to serve as an artificial local gauge field. By inducing single-mode lasing, we probe the morphing of mode envelope profiles, demonstrating a continuous transition from conventional oscillatory states to a flat-top state via near- and far-field measurements.</w:t>
      </w:r>
    </w:p>
    <w:p>
      <w:pPr>
        <w:spacing w:before="120" w:after="120"/>
      </w:pPr>
      <w:r>
        <w:rPr>
          <w:sz w:val="18"/>
        </w:rPr>
        <w:t>——————————————————————————————————————————————————————————————————————</w:t>
      </w:r>
    </w:p>
    <w:p>
      <w:pPr>
        <w:spacing w:before="160" w:after="40" w:line="240" w:lineRule="auto"/>
      </w:pPr>
      <w:r>
        <w:rPr>
          <w:b/>
        </w:rPr>
        <w:t xml:space="preserve">[494] </w:t>
      </w:r>
      <w:hyperlink r:id="rId1334">
        <w:r>
          <w:rPr>
            <w:color w:val="1155CC"/>
            <w:u w:val="single"/>
          </w:rPr>
          <w:t>插层导电纤维</w:t>
        </w:r>
      </w:hyperlink>
    </w:p>
    <w:p>
      <w:pPr>
        <w:spacing w:before="0" w:after="80"/>
      </w:pPr>
      <w:r>
        <w:rPr>
          <w:i/>
          <w:sz w:val="20"/>
        </w:rPr>
        <w:t>EN: Intercalated conductive fibres</w:t>
      </w:r>
    </w:p>
    <w:p>
      <w:pPr>
        <w:spacing w:before="0" w:after="120"/>
      </w:pPr>
      <w:r>
        <w:rPr>
          <w:b/>
        </w:rPr>
        <w:t xml:space="preserve">Source: </w:t>
      </w:r>
      <w:r>
        <w:t>Nature Materials</w:t>
      </w:r>
      <w:r>
        <w:t xml:space="preserve">    </w:t>
      </w:r>
      <w:r>
        <w:rPr>
          <w:b/>
        </w:rPr>
        <w:t xml:space="preserve">Pub date: </w:t>
      </w:r>
      <w:r>
        <w:t>2026-07-29 00:00:00+00:00</w:t>
      </w:r>
      <w:r>
        <w:t xml:space="preserve">    </w:t>
      </w:r>
      <w:r>
        <w:rPr>
          <w:b/>
        </w:rPr>
        <w:t xml:space="preserve">DOI: </w:t>
      </w:r>
      <w:hyperlink r:id="rId1335">
        <w:r>
          <w:rPr>
            <w:color w:val="1155CC"/>
            <w:u w:val="single"/>
          </w:rPr>
          <w:t>10.1038/s41563-026-02681-9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[495] </w:t>
      </w:r>
      <w:hyperlink r:id="rId1336">
        <w:r>
          <w:rPr>
            <w:color w:val="1155CC"/>
            <w:u w:val="single"/>
          </w:rPr>
          <w:t>在复杂选择压力下通过系统实验室进化同时优化木质纤维素糖分解代谢</w:t>
        </w:r>
      </w:hyperlink>
    </w:p>
    <w:p>
      <w:pPr>
        <w:spacing w:before="0" w:after="80"/>
      </w:pPr>
      <w:r>
        <w:rPr>
          <w:i/>
          <w:sz w:val="20"/>
        </w:rPr>
        <w:t>EN: Simultaneous optimization of lignocellulosic sugar catabolism via systematic laboratory evolution under complex selection pressure</w:t>
      </w:r>
    </w:p>
    <w:p>
      <w:pPr>
        <w:spacing w:before="0" w:after="120"/>
      </w:pPr>
      <w:r>
        <w:rPr>
          <w:b/>
        </w:rPr>
        <w:t xml:space="preserve">Source: </w:t>
      </w:r>
      <w:r>
        <w:t>Biological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来自木质纤维素的己糖和戊糖的有效共同利用对于微生物生物转化至关重要，但工程分解代谢途径在复杂的资源环境中可能不稳定或次优。在这里，我们使用设计用于分解木糖和阿拉伯糖的恶臭假单胞菌菌株来研究资源丰度、时间可用性和传代培养如何影响进化结果。使用自动自适应实验室进化（ALE）平台，我们在简单的单基质和复杂的多基质选择压力下进化菌株。这些环境导致了分解代谢专家和通才之间的分歧。对木糖的选择弱或不存在常常导致木糖分解代谢的丧失，而碳限制的混合糖环境促进多种分解代谢途径的稳定保留和协调优化，从而增强生长和底物利用率。基因组、蛋白质组和生化分析表明，路径特异性的适应成本决定了进化的稳定性。与亲本菌株相比，通才克隆还显示出混合糖的靛蓝啶产量有所提高。总之，这些发现表明资源动态如何塑造适应分解代谢专业化、泛化、进化权衡和生物转化工程的适应度景观。</w:t>
      </w:r>
    </w:p>
    <w:p>
      <w:pPr>
        <w:spacing w:before="0" w:after="200" w:lineRule="auto" w:line="276"/>
      </w:pPr>
      <w:r>
        <w:rPr>
          <w:b/>
        </w:rPr>
        <w:t xml:space="preserve">Abstract (EN): </w:t>
      </w:r>
      <w:r>
        <w:t>Efficient co-utilization of hexose and pentose sugars from lignocellulose is essential for microbial bioconversion, yet engineered catabolic pathways can be unstable or suboptimal in complex resource environments. Here, we use a Pseudomonas putida strain engineered to catabolize xylose and arabinose to examine how resource abundance, temporal availability, and subculturing shape evolutionary outcomes. Using an automated adaptive laboratory evolution (ALE) platform, we evolve the strain under simple single-substrate and complex multi-substrate selection pressures. These environments drive divergence between catabolic specialists and generalists. Weak or absent selection for xylose frequently leads to loss of xylose catabolism, whereas carbon-limited mixed-sugar environments promote stable retention and coordinated optimization of multiple catabolic pathways, enhancing growth and substrate utilization. Genomic, proteomic, and biochemical analyses show that pathway-specific fitness costs determine evolutionary stability. A generalist clone also shows improved indigoidine production from mixed sugars relative to the parental strain. Together, these findings show how resource dynamics shape fitness landscapes that govern catabolic specialization, generalization, evolutionary trade-offs, and engineering of bioconversion.</w:t>
      </w:r>
    </w:p>
    <w:p>
      <w:pPr>
        <w:spacing w:before="120" w:after="120"/>
      </w:pPr>
      <w:r>
        <w:rPr>
          <w:sz w:val="18"/>
        </w:rPr>
        <w:t>——————————————————————————————————————————————————————————————————————</w:t>
      </w:r>
    </w:p>
    <w:p>
      <w:pPr>
        <w:spacing w:before="160" w:after="40" w:line="240" w:lineRule="auto"/>
      </w:pPr>
      <w:r>
        <w:rPr>
          <w:b/>
        </w:rPr>
        <w:t xml:space="preserve">[496] </w:t>
      </w:r>
      <w:hyperlink r:id="rId1337">
        <w:r>
          <w:rPr>
            <w:color w:val="1155CC"/>
            <w:u w:val="single"/>
          </w:rPr>
          <w:t>不同的分化轨迹对 V2a 神经元的基因调控和功能产生持久影响</w:t>
        </w:r>
      </w:hyperlink>
    </w:p>
    <w:p>
      <w:pPr>
        <w:spacing w:before="0" w:after="80"/>
      </w:pPr>
      <w:r>
        <w:rPr>
          <w:i/>
          <w:sz w:val="20"/>
        </w:rPr>
        <w:t>EN: Distinct differentiation trajectories leave lasting impacts on gene regulation and function of V2a neurons</w:t>
      </w:r>
    </w:p>
    <w:p>
      <w:pPr>
        <w:spacing w:before="0" w:after="120"/>
      </w:pPr>
      <w:r>
        <w:rPr>
          <w:b/>
        </w:rPr>
        <w:t xml:space="preserve">Source: </w:t>
      </w:r>
      <w:r>
        <w:t>Biological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V2a 中间神经元是在后脑和脊髓中发现的兴奋性神经元，这两个区域在胚胎发育过程中由不同的祖细胞产生。这种谱系差异是否影响成熟的基因调控和功能尚不清楚。 V2a 神经元在脊髓损伤后表现出可塑性，是细胞治疗的候选者。我们通过后脑和脊髓样祖细胞途径将人类干细胞分化为 V2a 神经元，并通过单核多组学测序对其进行分析。这两个谱系显示出不同的转录因子基序富集和控制轴突生长和钙处理的差异表达基因。直接诱导 V2a 转录因子，绕过发育模式，产生了与任一谱系不同的群体，证实了祖细胞历史是不可互换的。使用 CellOracle 和慢病毒敲低，我们确定 CREB5 和 TCF7L2 是脊髓样谱系的特异性调节因子。这些结果表明，祖细胞起源塑造了 V2a 身份，并揭示了沿前后轴神经多样性的新调节因子。</w:t>
      </w:r>
    </w:p>
    <w:p>
      <w:pPr>
        <w:spacing w:before="0" w:after="200" w:lineRule="auto" w:line="276"/>
      </w:pPr>
      <w:r>
        <w:rPr>
          <w:b/>
        </w:rPr>
        <w:t xml:space="preserve">Abstract (EN): </w:t>
      </w:r>
      <w:r>
        <w:t>V2a interneurons are excitatory neurons found throughout the hindbrain and spinal cord, two regions that arise from distinct progenitors during embryonic development. Whether this lineage difference shapes mature gene regulation and function is unknown. V2a neurons show plasticity after spinal cord injury and are candidates for cell therapy. We differentiated human stem cells into V2a neurons through hindbrain- and spinal cord-like progenitor routes and profiled them by single nucleus multiomic sequencing. The two lineages showed distinct transcription factor motif enrichment and differentially expressed genes governing axon growth and calcium handling. Inducing V2a transcription factors directly, bypassing developmental patterning, produced a population unlike either lineage, confirming progenitor history is not interchangeable. Using CellOracle and lentiviral knockdown, we identified CREB5 and TCF7L2 as regulators specific to the spinal-like lineage. These results show that progenitor origin shapes V2a identity and reveal new regulators of neural diversity along the anterior-posterior axis.</w:t>
      </w:r>
    </w:p>
    <w:p>
      <w:pPr>
        <w:spacing w:before="120" w:after="120"/>
      </w:pPr>
      <w:r>
        <w:rPr>
          <w:sz w:val="18"/>
        </w:rPr>
        <w:t>——————————————————————————————————————————————————————————————————————</w:t>
      </w:r>
    </w:p>
    <w:p>
      <w:pPr>
        <w:spacing w:before="160" w:after="40" w:line="240" w:lineRule="auto"/>
      </w:pPr>
      <w:r>
        <w:rPr>
          <w:b/>
        </w:rPr>
        <w:t xml:space="preserve">[497] </w:t>
      </w:r>
      <w:hyperlink r:id="rId1338">
        <w:r>
          <w:rPr>
            <w:color w:val="1155CC"/>
            <w:u w:val="single"/>
          </w:rPr>
          <w:t>霍乱弧菌鞘鞭毛的近原子原位结构和膜耦合动力学</w:t>
        </w:r>
      </w:hyperlink>
    </w:p>
    <w:p>
      <w:pPr>
        <w:spacing w:before="0" w:after="80"/>
      </w:pPr>
      <w:r>
        <w:rPr>
          <w:i/>
          <w:sz w:val="20"/>
        </w:rPr>
        <w:t>EN: Near-atomic in situ architecture and membrane-coupled dynamics of the Vibrio cholerae sheathed flagellum</w:t>
      </w:r>
    </w:p>
    <w:p>
      <w:pPr>
        <w:spacing w:before="0" w:after="120"/>
      </w:pPr>
      <w:r>
        <w:rPr>
          <w:b/>
        </w:rPr>
        <w:t xml:space="preserve">Source: </w:t>
      </w:r>
      <w:r>
        <w:t>Biological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霍乱弧菌的鞘鞭毛是一种自组装膜细胞器，协调鞭毛组装、鞘生物发生和快速旋转。在这里，我们确定了完整细胞内鞘鞭毛运动的原位近原子结构。马达通过脂化 HL 环锚定到外膜，而不形成膜孔，从而使鞭毛组装能够驱动鞘膜形成。保守的 LP 环起到滑动旋转衬套的作用，允许在细菌包膜内高速旋转，同时保留鞭毛喷射时收缩和密封管腔的能力。我们进一步表明，定子激活取决于特定的蛋白质-蛋白质相互作用，而不是肽聚糖的结合。总之，这些发现揭示了带鞘鞭毛的独特结构和动力学如何支持霍乱弧菌的运动、环境生存和人类肠道的持续定植。</w:t>
      </w:r>
    </w:p>
    <w:p>
      <w:pPr>
        <w:spacing w:before="0" w:after="200" w:lineRule="auto" w:line="276"/>
      </w:pPr>
      <w:r>
        <w:rPr>
          <w:b/>
        </w:rPr>
        <w:t xml:space="preserve">Abstract (EN): </w:t>
      </w:r>
      <w:r>
        <w:t>The sheathed flagellum of Vibrio cholerae is a self-assembling membranous organelle that coordinates flagellar assembly, sheath biogenesis, and rapid rotation. Here, we determine in-situ near-atomic structures of the sheathed flagellar motor within intact cells. The motor anchors to the outer membrane through lipidated HL-rings without forming a membrane pore, thereby enabling flagellar assembly to drive sheath formation. Conserved LP-rings function as slide-rotary bushings, permitting high-speed rotation within the bacterial envelope while retaining the ability to constrict and seal the lumen upon flagellar ejection. We further show that stator activation depends on a specific protein-protein interaction rather than peptidoglycan engagement. Together, these findings reveal how the distinctive architecture and dynamics of the sheathed flagellum support V. cholerae motility, environmental survival, and persistent colonization of the human gut.</w:t>
      </w:r>
    </w:p>
    <w:p>
      <w:pPr>
        <w:spacing w:before="120" w:after="120"/>
      </w:pPr>
      <w:r>
        <w:rPr>
          <w:sz w:val="18"/>
        </w:rPr>
        <w:t>——————————————————————————————————————————————————————————————————————</w:t>
      </w:r>
    </w:p>
    <w:p>
      <w:pPr>
        <w:spacing w:before="160" w:after="40" w:line="240" w:lineRule="auto"/>
      </w:pPr>
      <w:r>
        <w:rPr>
          <w:b/>
        </w:rPr>
        <w:t xml:space="preserve">[498] </w:t>
      </w:r>
      <w:hyperlink r:id="rId1339">
        <w:r>
          <w:rPr>
            <w:color w:val="1155CC"/>
            <w:u w:val="single"/>
          </w:rPr>
          <w:t>纳米孔测序识别人类基因组印记位点上亲本特定的年龄相关甲基化变化</w:t>
        </w:r>
      </w:hyperlink>
    </w:p>
    <w:p>
      <w:pPr>
        <w:spacing w:before="0" w:after="80"/>
      </w:pPr>
      <w:r>
        <w:rPr>
          <w:i/>
          <w:sz w:val="20"/>
        </w:rPr>
        <w:t>EN: Nanopore sequencing identifies parent-of-origin specific age-associated methylation changes at imprinted loci in the human genome</w:t>
      </w:r>
    </w:p>
    <w:p>
      <w:pPr>
        <w:spacing w:before="0" w:after="120"/>
      </w:pPr>
      <w:r>
        <w:rPr>
          <w:b/>
        </w:rPr>
        <w:t xml:space="preserve">Source: </w:t>
      </w:r>
      <w:r>
        <w:t>Biological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衰老伴随着广泛的 DNA 甲基化变化，但其完整的基因组范围和亲本动态仍然知之甚少。在这里，我们对 7,284 个全血样本应用纳米孔长读长测序，从而对 17,959,684 个高质量 CpG 单位进行甲基化测量。超过 20% 的测量高质量 CpG 单位经历了与年龄相关的变化，主要是低甲基化。根据这些数据，我们从 1,373 个高质量 CpG 单元构建了甲基化衰老时钟，中位绝对预测误差为 2.43 年。重要的是，将甲基化定相到亲本单倍型可以系统地分析亲本特定背景下的年龄效应，发现 702 个具有亲本特定年龄关联的高质量 CpG 单位，其中大部分位于印记基因组区域。在 DIRAS3 位点，我们检测到活性父本等位基因上年龄依赖性的高甲基化，表明亲本特异性甲基化随着年龄的增长而减弱。总之，这些发现确立了纳米孔测序作为绘制全基因组和亲本甲基化老化特征的强大工具，并提供了印记位点的甲基化模式随着年龄逐渐改变的证据。</w:t>
      </w:r>
    </w:p>
    <w:p>
      <w:pPr>
        <w:spacing w:before="0" w:after="200" w:lineRule="auto" w:line="276"/>
      </w:pPr>
      <w:r>
        <w:rPr>
          <w:b/>
        </w:rPr>
        <w:t xml:space="preserve">Abstract (EN): </w:t>
      </w:r>
      <w:r>
        <w:t>Aging is accompanied by widespread DNA methylation changes, yet their full genomic scope and parent-of-origin dynamics remain poorly understood. Here, we apply nanopore long-read sequencing to 7,284 whole blood samples enabling methylation measurements of 17,959,684 high-quality CpG units. Over 20% of the measured high quality CpG units undergo age-associated changes, predominantly hypomethylation. From these data, we construct a methylation aging clock from 1,373 high-quality CpG units, with median absolute prediction error of 2.43 years. Importantly, phasing the methylation to parental haplotypes enables systematic analysis of age effects in parent-of-origin specific context, uncovering 702 high-quality CpG units with parent-of-origin specific age-association, most of which are located at imprinted genomic regions. At the DIRAS3 locus, we detect age-dependent hypermethylation on the active paternal allele, indicative of attenuation of parent-of-origin specific methylation with age. Together, these findings establish nanopore sequencing as a powerful tool for mapping both genome-wide and parent-of-origin specific signatures of methylation aging and provide evidence that methylation patterns at imprinted loci become progressively altered with age.</w:t>
      </w:r>
    </w:p>
    <w:p>
      <w:pPr>
        <w:spacing w:before="120" w:after="120"/>
      </w:pPr>
      <w:r>
        <w:rPr>
          <w:sz w:val="18"/>
        </w:rPr>
        <w:t>——————————————————————————————————————————————————————————————————————</w:t>
      </w:r>
    </w:p>
    <w:p>
      <w:pPr>
        <w:spacing w:before="160" w:after="40" w:line="240" w:lineRule="auto"/>
      </w:pPr>
      <w:r>
        <w:rPr>
          <w:b/>
        </w:rPr>
        <w:t xml:space="preserve">[499] </w:t>
      </w:r>
      <w:hyperlink r:id="rId1340">
        <w:r>
          <w:rPr>
            <w:color w:val="1155CC"/>
            <w:u w:val="single"/>
          </w:rPr>
          <w:t>自然杀伤/T 细胞淋巴瘤的单细胞分析揭示了分层免疫特征和潜在的治疗意义</w:t>
        </w:r>
      </w:hyperlink>
    </w:p>
    <w:p>
      <w:pPr>
        <w:spacing w:before="0" w:after="80"/>
      </w:pPr>
      <w:r>
        <w:rPr>
          <w:i/>
          <w:sz w:val="20"/>
        </w:rPr>
        <w:t>EN: Single-cell profiling of natural killer/T-cell lymphoma reveals stratified immune features and potential therapeutic implications</w:t>
      </w:r>
    </w:p>
    <w:p>
      <w:pPr>
        <w:spacing w:before="0" w:after="120"/>
      </w:pPr>
      <w:r>
        <w:rPr>
          <w:b/>
        </w:rPr>
        <w:t xml:space="preserve">Source: </w:t>
      </w:r>
      <w:r>
        <w:t>Biological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肿瘤细胞异质性以及与免疫微环境的相互作用在自然杀伤/T细胞淋巴瘤（NKTCL）的进展和治疗效果中发挥着关键作用。我们对 63 个样本进行单细胞 RNA 测序分析，整合空间转录组学、批量转录组学、蛋白质组学和代谢组学，以剖析肿瘤间和肿瘤内的异质性。确定了四种元程序 (MP)，包括 MP1（免疫反应性）、MP2（增殖性）、MP3（炎症性）和 MP4（代谢性），每个元程序都与不同的分子和免疫特征相关。 MP1 表现出免疫衰竭的肿瘤微环境和高程序性死亡配体 1 表达，表明对免疫检查点阻断有潜在反应。 MP2 显示出免疫沙漠表型，HDAC2 和 MKI67 表达升高，表明肿瘤增殖中的表观遗传调控。 MP3 的特点是髓系肿瘤微环境、JAK/STAT 通路激活和侵袭性临床病程。 MP4 表现出独特的氨基酸代谢特征和丰富的三级淋巴结构。总的来说，我们的研究提供了 NKTCL 异质性的高分辨率分子图谱，为患者分层和未来治疗开发的潜在途径提供了见解。</w:t>
      </w:r>
    </w:p>
    <w:p>
      <w:pPr>
        <w:spacing w:before="0" w:after="200" w:lineRule="auto" w:line="276"/>
      </w:pPr>
      <w:r>
        <w:rPr>
          <w:b/>
        </w:rPr>
        <w:t xml:space="preserve">Abstract (EN): </w:t>
      </w:r>
      <w:r>
        <w:t>Tumor cell heterogeneity and interactions with the immune microenvironment play a key role in the progression and therapeutic efficacy of natural killer/T-cell lymphoma (NKTCL). We perform single-cell RNA sequencing analysis of 63 samples, integrating spatial transcriptomics, bulk transcriptomics, proteomics, and metabolomics to dissect inter- and intra-tumoral heterogeneity. Four meta-programs (MP) are identified, including MP1 (immune-responsive), MP2 (proliferative), MP3 (inflammatory), and MP4 (metabolic), each linked to distinct molecular and immune features. MP1 exhibits an immune-exhausted tumor microenvironment and high programmed death-ligand 1 expression, suggesting a potential response to immune checkpoint blockade. MP2 shows an immune-desert phenotype with elevated HDAC2 and MKI67 expression, indicating epigenetic regulation in tumor proliferation. MP3 is characterized by a myeloid-dominant tumor microenvironment, JAK/STAT pathway activation, and an aggressive clinical course. MP4 exhibits a distinct amino acid metabolic profile and enriched tertiary lymphoid structures. Collectively, our study provides a high-resolution molecular atlas of NKTCL heterogeneity, offering insights into patient stratification and potential avenues for future therapeutic development.</w:t>
      </w:r>
    </w:p>
    <w:p>
      <w:pPr>
        <w:spacing w:before="120" w:after="120"/>
      </w:pPr>
      <w:r>
        <w:rPr>
          <w:sz w:val="18"/>
        </w:rPr>
        <w:t>——————————————————————————————————————————————————————————————————————</w:t>
      </w:r>
    </w:p>
    <w:p>
      <w:pPr>
        <w:spacing w:before="160" w:after="40" w:line="240" w:lineRule="auto"/>
      </w:pPr>
      <w:r>
        <w:rPr>
          <w:b/>
        </w:rPr>
        <w:t xml:space="preserve">[500] </w:t>
      </w:r>
      <w:hyperlink r:id="rId1341">
        <w:r>
          <w:rPr>
            <w:color w:val="1155CC"/>
            <w:u w:val="single"/>
          </w:rPr>
          <w:t>利用掺有 DNA 的纳米笼进行 RNase 结构域依赖性 microRNA 检测，以实现准确的癌症诊断</w:t>
        </w:r>
      </w:hyperlink>
    </w:p>
    <w:p>
      <w:pPr>
        <w:spacing w:before="0" w:after="80"/>
      </w:pPr>
      <w:r>
        <w:rPr>
          <w:i/>
          <w:sz w:val="20"/>
        </w:rPr>
        <w:t>EN: An RNase domain-dependent microRNA detection with DNA-spiked nanocage for accurate cancer diagnosis</w:t>
      </w:r>
    </w:p>
    <w:p>
      <w:pPr>
        <w:spacing w:before="0" w:after="120"/>
      </w:pPr>
      <w:r>
        <w:rPr>
          <w:b/>
        </w:rPr>
        <w:t xml:space="preserve">Source: </w:t>
      </w:r>
      <w:r>
        <w:t>Biological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癌症相关的 microRNA 是用于早期癌症诊断的有前途的生物标志物。然而，当前的 microRNA 检测基于聚合酶链反应、微阵列分析、拉曼散射或各种电化学测定，依赖于多步骤分析，包括 microRNA 和/或读出信号的放大，尽管使用精密仪器，但通常会导致不准确，这仍然是一个重大挑战。在这里，我们描述了一种依赖于 RNaseH1 的、无扩增的 microRNA 检测，该检测基于供体（单链 DNA 探针 (ssDNA) 尖峰的绿色荧光纳米笼）和受体（RNaseH1 连接的橙色荧光蛋白）之间的 Förster 共振能量转移（FRET），并通过直接定量血清 microRNA 靶标，为人类肺癌和胃癌患者以及健康供体提供可靠、高精度的癌症诊断。值得注意的是，与传统的整体 FRET 不同，该 FRET 平台可感知 ssDNA 和 miRNA 之间的分子相互作用以及其混合螺旋的构象变化，从而区分单碱基错配，这为可靠的临床癌症诊断带来了重要前景。</w:t>
      </w:r>
    </w:p>
    <w:p>
      <w:pPr>
        <w:spacing w:before="0" w:after="200" w:lineRule="auto" w:line="276"/>
      </w:pPr>
      <w:r>
        <w:rPr>
          <w:b/>
        </w:rPr>
        <w:t xml:space="preserve">Abstract (EN): </w:t>
      </w:r>
      <w:r>
        <w:t>Cancer-associated microRNAs are promising biomarkers for early cancer diagnosis. However, current microRNA detections – which are based on polymerase chain reaction, microarray analysis, Raman scattering, or various electrochemical assays – rely on multi-step analysis including amplification of microRNA and/or read-out signals, often causing inaccuracy despite using elaborate instruments, which remains a major challenge. Here, we describe an RNaseH1-dependent, amplification-free detection of microRNAs, which is based on Förster resonance energy transfer (FRET) between donor (single-stranded DNA probe (ssDNA)-spiked, green fluorescent nanocage) and acceptor (RNaseH1-linked, orange fluorescent protein) and enables reliable cancer diagnosis with high accuracy for human lung and gastric cancer patients and healthy donors by directly quantifying serum microRNA targets. Notably, unlike traditional ensemble FRET, this FRET platform senses molecular interactions between ssDNA and miRNAs and conformational changes of their hybrid helices and thus differentiates even a single-base mismatch, which holds significant promise for reliable, clinical cancer diagnosis.</w:t>
      </w:r>
    </w:p>
    <w:p>
      <w:pPr>
        <w:spacing w:before="120" w:after="120"/>
      </w:pPr>
      <w:r>
        <w:rPr>
          <w:sz w:val="18"/>
        </w:rPr>
        <w:t>——————————————————————————————————————————————————————————————————————</w:t>
      </w:r>
    </w:p>
    <w:p>
      <w:pPr>
        <w:spacing w:before="160" w:after="40" w:line="240" w:lineRule="auto"/>
      </w:pPr>
      <w:r>
        <w:rPr>
          <w:b/>
        </w:rPr>
        <w:t xml:space="preserve">[501] </w:t>
      </w:r>
      <w:hyperlink r:id="rId1342">
        <w:r>
          <w:rPr>
            <w:color w:val="1155CC"/>
            <w:u w:val="single"/>
          </w:rPr>
          <w:t>利用大规模行车记录仪数据改进洪水检测</w:t>
        </w:r>
      </w:hyperlink>
    </w:p>
    <w:p>
      <w:pPr>
        <w:spacing w:before="0" w:after="80"/>
      </w:pPr>
      <w:r>
        <w:rPr>
          <w:i/>
          <w:sz w:val="20"/>
        </w:rPr>
        <w:t>EN: Improving flood detection with large-scale dashboard camera data</w:t>
      </w:r>
    </w:p>
    <w:p>
      <w:pPr>
        <w:spacing w:before="0" w:after="120"/>
      </w:pPr>
      <w:r>
        <w:rPr>
          <w:b/>
        </w:rPr>
        <w:t xml:space="preserve">Source: </w:t>
      </w:r>
      <w:r>
        <w:t>Earth and environmental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洪水在全球范围内构成了日益严峻的挑战，威胁着基础设施、生计和公共安全。然而，当前的洪水检测方法在时空粒度上受到限制，并且覆盖范围不公平。在这里，我们提出了 BayFlood，一种细粒度的城市洪水检测方法，可使用视觉语言模型识别大规模仪表板摄像机数据集中被洪水淹没的街道场景。我们利用现代视觉语言模型的能力来识别洪水，即使没有大型标记数据集（通常不可用）。我们使用 1,440,184 张图像全面验证了我们的方法，表明我们的模型为多个城市和时间段的洪水提供了强烈的信号，并且我们的洪水检测与已知的洪水风险外部预测因素相关。我们展示了我们的方法可用于改善纽约市的洪水检测：我们的分析检测到当前方法忽视的社区中的洪水，识别现有方法中的人口统计偏差，并建议新洪水传感器的位置。这项工作强调了利用密集街道图像来显着提高对洪水的理解、检测和管理的潜力，并且更广泛地适用于从街道场景数据中检测其他物体和事件，即使没有可用的标记数据。</w:t>
      </w:r>
    </w:p>
    <w:p>
      <w:pPr>
        <w:spacing w:before="0" w:after="200" w:lineRule="auto" w:line="276"/>
      </w:pPr>
      <w:r>
        <w:rPr>
          <w:b/>
        </w:rPr>
        <w:t xml:space="preserve">Abstract (EN): </w:t>
      </w:r>
      <w:r>
        <w:t>Flooding poses a significant and growing challenge globally, threatening infrastructure, livelihoods, and public safety. However, current methods for detecting floods are limited in their spatiotemporal granularity and inequitable in their coverage. Here, we propose BayFlood, a method for fine-grained urban flood detection that identifies flooded street scenes in large-scale dashboard camera datasets using a vision-language model. We leverage the ability of modern vision-language models to identify floods even without large labeled datasets, which are typically unavailable. We comprehensively validate our approach using 1,440,184 images, showing that our model provides strong signal for floods across multiple cities and time periods and that our flood detections correlate with known external predictors of flood risk. We show our approach can be used to improve flood detection in New York City: our analysis detects floods in neighborhoods overlooked by current methods, identifies demographic biases in existing methods, and suggests locations for new flood sensors. This work underscores the potential of leveraging dense street-level imagery to significantly improve the understanding, detection, and management of flooding, and is more broadly applicable to detecting other objects and incidents from street scene data even when no labeled data is available.</w:t>
      </w:r>
    </w:p>
    <w:p>
      <w:pPr>
        <w:spacing w:before="120" w:after="120"/>
      </w:pPr>
      <w:r>
        <w:rPr>
          <w:sz w:val="18"/>
        </w:rPr>
        <w:t>——————————————————————————————————————————————————————————————————————</w:t>
      </w:r>
    </w:p>
    <w:p>
      <w:pPr>
        <w:spacing w:before="160" w:after="40" w:line="240" w:lineRule="auto"/>
      </w:pPr>
      <w:r>
        <w:rPr>
          <w:b/>
        </w:rPr>
        <w:t xml:space="preserve">[502] </w:t>
      </w:r>
      <w:hyperlink r:id="rId1343">
        <w:r>
          <w:rPr>
            <w:color w:val="1155CC"/>
            <w:u w:val="single"/>
          </w:rPr>
          <w:t>范德华异双层中晶格重建驱动的快速层间激子漂移</w:t>
        </w:r>
      </w:hyperlink>
    </w:p>
    <w:p>
      <w:pPr>
        <w:spacing w:before="0" w:after="80"/>
      </w:pPr>
      <w:r>
        <w:rPr>
          <w:i/>
          <w:sz w:val="20"/>
        </w:rPr>
        <w:t>EN: Fast interlayer exciton drift driven by lattice reconstruction in a van der Waals heterobilayer</w:t>
      </w:r>
    </w:p>
    <w:p>
      <w:pPr>
        <w:spacing w:before="0" w:after="120"/>
      </w:pPr>
      <w:r>
        <w:rPr>
          <w:b/>
        </w:rPr>
        <w:t xml:space="preserve">Source: </w:t>
      </w:r>
      <w:r>
        <w:t>Nature Materials</w:t>
      </w:r>
      <w:r>
        <w:t xml:space="preserve">    </w:t>
      </w:r>
      <w:r>
        <w:rPr>
          <w:b/>
        </w:rPr>
        <w:t xml:space="preserve">Pub date: </w:t>
      </w:r>
      <w:r>
        <w:t>2026-07-29 00:00:00+00:00</w:t>
      </w:r>
      <w:r>
        <w:t xml:space="preserve">    </w:t>
      </w:r>
      <w:r>
        <w:rPr>
          <w:b/>
        </w:rPr>
        <w:t xml:space="preserve">DOI: </w:t>
      </w:r>
      <w:hyperlink r:id="rId1344">
        <w:r>
          <w:rPr>
            <w:color w:val="1155CC"/>
            <w:u w:val="single"/>
          </w:rPr>
          <w:t>10.1038/s41563-026-02688-2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现代短尺度信息传输主要依赖于耗散电荷传输，电子因缺陷和声子而散射，导致显着的功率损耗。相比之下，激子（电荷中性准粒子）由于其延长的寿命、电荷中性和高效的静电控制，为电光节能信息转换和处理提供了一个平台。在这项工作中，我们报告了范德华异质结构中激子快速传输的观察结果，距离超过 10μm，仅受异质结构有限尺寸的限制。我们观察到激子势斜坡的存在导致长程快速激子漂移并能够快速稀释初始激子群体。我们的测量揭示了激子的快速传播，层间激子漂移速度约为 2.66 × 10</w:t>
      </w:r>
      <w:r>
        <w:rPr>
          <w:vertAlign w:val="subscript"/>
        </w:rPr>
        <w:t>4</w:t>
      </w:r>
      <w:r>
        <w:t>米 秒</w:t>
      </w:r>
      <w:r>
        <w:t xml:space="preserve"> </w:t>
      </w:r>
      <w:r>
        <w:t>−1</w:t>
      </w:r>
      <w:r>
        <w:t xml:space="preserve"> </w:t>
      </w:r>
      <w:r>
        <w:t>，在一个广泛的激子密度和高达 150 K 的温度范围内保持稳健的输运机制。我们的工作为开发高速、节能的激子器件（例如场效应开关和调制器）开辟了道路。</w:t>
      </w:r>
    </w:p>
    <w:p>
      <w:pPr>
        <w:spacing w:before="0" w:after="200" w:lineRule="auto" w:line="276"/>
      </w:pPr>
      <w:r>
        <w:rPr>
          <w:b/>
        </w:rPr>
        <w:t xml:space="preserve">Abstract (EN): </w:t>
      </w:r>
      <w:r>
        <w:t>Modern short-scale information transmission mainly relies on dissipative charge transport, with electrons scattered by defects and phonons, leading to significant power losses. By contrast, excitons—charge-neutral quasiparticles—offer a playground for electro-optical energy-efficient information transduction and processing owing to their extended lifetimes, charge neutrality and efficient electrostatic control. In this work, we report the observation of fast exciton transport in a van der Waals heterostructure over distances exceeding 10 µm, constrained only by the heterostructure finite size. We observe the presence of excitonic potential ramps that leads to long-range rapid exciton drift and enables rapid dilution of the initial exciton population. Our measurements reveal fast exciton propagation, with interlayer exciton drift velocities of approximately 2.66 × 10</w:t>
      </w:r>
      <w:r>
        <w:rPr>
          <w:vertAlign w:val="subscript"/>
        </w:rPr>
        <w:t>4</w:t>
      </w:r>
      <w:r>
        <w:t>m s</w:t>
      </w:r>
      <w:r>
        <w:t xml:space="preserve"> </w:t>
      </w:r>
      <w:r>
        <w:t>−1</w:t>
      </w:r>
      <w:r>
        <w:t xml:space="preserve"> </w:t>
      </w:r>
      <w:r>
        <w:t>, within a transport regime that remains robust across a wide range of exciton densities and temperatures up to 150 K. Our work opens avenues for the development of high-speed, energy-efficient excitonic devices, such as field-effect switches and modulators.</w:t>
      </w:r>
    </w:p>
    <w:p>
      <w:pPr>
        <w:spacing w:before="120" w:after="120"/>
      </w:pPr>
      <w:r>
        <w:rPr>
          <w:sz w:val="18"/>
        </w:rPr>
        <w:t>——————————————————————————————————————————————————————————————————————</w:t>
      </w:r>
    </w:p>
    <w:p>
      <w:pPr>
        <w:spacing w:before="160" w:after="40" w:line="240" w:lineRule="auto"/>
      </w:pPr>
      <w:r>
        <w:rPr>
          <w:b/>
        </w:rPr>
        <w:t xml:space="preserve">[503] </w:t>
      </w:r>
      <w:hyperlink r:id="rId1345">
        <w:r>
          <w:rPr>
            <w:color w:val="1155CC"/>
            <w:u w:val="single"/>
          </w:rPr>
          <w:t>整个森林生态系统连续体的耦合和解耦碳汞动态</w:t>
        </w:r>
      </w:hyperlink>
    </w:p>
    <w:p>
      <w:pPr>
        <w:spacing w:before="0" w:after="80"/>
      </w:pPr>
      <w:r>
        <w:rPr>
          <w:i/>
          <w:sz w:val="20"/>
        </w:rPr>
        <w:t>EN: Coupled and decoupled carbon-mercury dynamics across forest ecosystem continua</w:t>
      </w:r>
    </w:p>
    <w:p>
      <w:pPr>
        <w:spacing w:before="0" w:after="120"/>
      </w:pPr>
      <w:r>
        <w:rPr>
          <w:b/>
        </w:rPr>
        <w:t xml:space="preserve">Source: </w:t>
      </w:r>
      <w:r>
        <w:t>Earth and environmental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碳维持生命，而汞是一种全球性毒素，但它们在森林中的循环似乎密切相关。在这里，我们利用元素化学计量、碳和汞同位素以及全球森林合成表明，森林沿着对比的生态系统连续体同时将汞与碳耦合和分离。汞/碳比率沿着水相连续体保持严格守恒（0.5–0.9 × 10−6），表明汞与溶解的有机碳成比例迁移。相比之下，沿着固相连续体，从大气到土壤的汞/碳比率增加了近三个数量级（0.007–3.6 × 10−6），反映了凋落物和土壤有机质分解过程中汞的逐渐富集。直立的枯枝落叶同时充当净碳源和汞汇，而生物质则调节耦合的碳和汞储存以及凋落物沉积。这些对比鲜明的碳-汞轨迹揭示了森林如何保留和重新分配大气汞，并为理解环境变化下的陆地汞循环提供了概念框架。</w:t>
      </w:r>
    </w:p>
    <w:p>
      <w:pPr>
        <w:spacing w:before="0" w:after="200" w:lineRule="auto" w:line="276"/>
      </w:pPr>
      <w:r>
        <w:rPr>
          <w:b/>
        </w:rPr>
        <w:t xml:space="preserve">Abstract (EN): </w:t>
      </w:r>
      <w:r>
        <w:t>Carbon sustains life, whereas mercury is a global toxin, yet their cycling in forests appears to be intimately linked. Here we show, using elemental stoichiometry, carbon and mercury isotopes and a global forest synthesis, that forests simultaneously couple and decouple mercury from carbon along contrasting ecosystem continua. Mercury/carbon ratios remain tightly conserved (0.5–0.9 × 10−6) along the aqueous-phase continuum, indicating proportional mercury transport with dissolved organic carbon. In comparison, mercury/carbon ratios increase by nearly three orders of magnitude from the atmosphere to soils (0.007–3.6 × 10−6) along the solid-phase continuum, reflecting progressive mercury enrichment during litter and soil organic matter decomposition. Standing litter acts concurrently as a net carbon source and mercury sink, whereas biomass regulates coupled carbon and mercury storage and litterfall deposition. These contrasting carbon-mercury trajectories reveal how forests both retain and redistribute atmospheric mercury and provide a conceptual framework for understanding terrestrial mercury cycling under environmental change.</w:t>
      </w:r>
    </w:p>
    <w:p>
      <w:pPr>
        <w:spacing w:before="120" w:after="120"/>
      </w:pPr>
      <w:r>
        <w:rPr>
          <w:sz w:val="18"/>
        </w:rPr>
        <w:t>——————————————————————————————————————————————————————————————————————</w:t>
      </w:r>
    </w:p>
    <w:p>
      <w:pPr>
        <w:spacing w:before="160" w:after="40" w:line="240" w:lineRule="auto"/>
      </w:pPr>
      <w:r>
        <w:rPr>
          <w:b/>
        </w:rPr>
        <w:t xml:space="preserve">[504] </w:t>
      </w:r>
      <w:hyperlink r:id="rId1346">
        <w:r>
          <w:rPr>
            <w:color w:val="1155CC"/>
            <w:u w:val="single"/>
          </w:rPr>
          <w:t>神经元 Na+、K+-ATP 酶亚型和致病突变体的活性构象</w:t>
        </w:r>
      </w:hyperlink>
    </w:p>
    <w:p>
      <w:pPr>
        <w:spacing w:before="0" w:after="80"/>
      </w:pPr>
      <w:r>
        <w:rPr>
          <w:i/>
          <w:sz w:val="20"/>
        </w:rPr>
        <w:t>EN: Active conformations of neuronal Na+, K+-ATPase isoforms and a disease-causing mutant</w:t>
      </w:r>
    </w:p>
    <w:p>
      <w:pPr>
        <w:spacing w:before="0" w:after="120"/>
      </w:pPr>
      <w:r>
        <w:rPr>
          <w:b/>
        </w:rPr>
        <w:t xml:space="preserve">Source: </w:t>
      </w:r>
      <w:r>
        <w:t>Biological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Na+、K+-ATP 酶建立并维持跨动物细胞膜的重要的 Na+ 和 K+ 电化学梯度。该蛋白质是由 α、β 和 FXYD 亚基组成的三元复合物，其中微调转运特性的亚型以组织特异性方式表达。在这里，我们报告了普遍表达的人类α1β1FXYD1和神经元特异性α3β1FXYD1亚型复合物在活性ATP酶转换条件下的冷冻电镜结构，并探讨了它们的特定功能和生物物理特性。这些数据提供了对 ATP 激活酶通过四种不同构象状态的 Na+ 转运的广泛了解，包括钠结合的磷酸酶中间体，表示为 [Na3]E2P。这种构象揭示了在顺序主动转运机制的一般背景下，在从内到外（E1P-E2P）转变中Na+释放之前的关键结构变化。我们讨论了 α3 与 α1 相比，Na+ 亲和力在生理上的重要差异机制、离子结合位点的协同 Na+ 结合，以及细胞质离子门控和细胞外 Na+ 释放的机制。最后，我们提出了与儿童交替性偏瘫 (Q140L) 相关的致病突变形式 α3 的结构。该突变损害了特定的磷脂结合袋，并阻碍多不饱和磷脂介导的 Na+,K+-ATP 酶活性刺激。</w:t>
      </w:r>
    </w:p>
    <w:p>
      <w:pPr>
        <w:spacing w:before="0" w:after="200" w:lineRule="auto" w:line="276"/>
      </w:pPr>
      <w:r>
        <w:rPr>
          <w:b/>
        </w:rPr>
        <w:t xml:space="preserve">Abstract (EN): </w:t>
      </w:r>
      <w:r>
        <w:t>Na+,K+-ATPases establish and maintain the vital electrochemical gradients for Na+ and K+ across animal cell membranes. The protein is a ternary complex composed of α, β and FXYD subunits, of which isoforms that fine-tune transport properties are expressed in a tissue-specific fashion. Here we report cryo-EM structures under active ATPase turn-over conditions of the ubiquitously expressed human α1β1FXYD1 and neuron-specific α3β1FXYD1 isoform complexes and probe their specific functional and biophysical properties. The data provides an extensive insight into Na+-transport of ATP-activated enzyme through four distinct conformational states, including a sodium-bound phosphoenzyme intermediate, denoted [Na3]E2P. This conformation reveals a crucial structural change that precedes Na+ release in the inward to outward (E1P-E2P) transition, within the general context of the sequential, active transport mechanism. We discuss the mechanism of the physiologically important differentiation in Na+ affinity of α3 compared to α1, the co-operative Na+ binding at the ion-binding sites, and the mechanistic aspects of cytoplasmic ion gating and extracellular Na+ release. Finally we present the structures of a disease-causing mutant form of α3, associated with Alternating Hemiplegia of Childhood (Q140L). The mutation compromises a specific phospholipid-binding pocket and impedes polyunsaturated phospholipid-mediated stimulation of Na+,K+-ATPase activity.</w:t>
      </w:r>
    </w:p>
    <w:p>
      <w:pPr>
        <w:spacing w:before="120" w:after="120"/>
      </w:pPr>
      <w:r>
        <w:rPr>
          <w:sz w:val="18"/>
        </w:rPr>
        <w:t>——————————————————————————————————————————————————————————————————————</w:t>
      </w:r>
    </w:p>
    <w:p>
      <w:pPr>
        <w:spacing w:before="160" w:after="40" w:line="240" w:lineRule="auto"/>
      </w:pPr>
      <w:r>
        <w:rPr>
          <w:b/>
        </w:rPr>
        <w:t xml:space="preserve">[505] </w:t>
      </w:r>
      <w:hyperlink r:id="rId1347">
        <w:r>
          <w:rPr>
            <w:color w:val="1155CC"/>
            <w:u w:val="single"/>
          </w:rPr>
          <w:t>国家公园准入的保留政策和公平性</w:t>
        </w:r>
      </w:hyperlink>
    </w:p>
    <w:p>
      <w:pPr>
        <w:spacing w:before="0" w:after="80"/>
      </w:pPr>
      <w:r>
        <w:rPr>
          <w:i/>
          <w:sz w:val="20"/>
        </w:rPr>
        <w:t>EN: Reservation policies and equity in national park access</w:t>
      </w:r>
    </w:p>
    <w:p>
      <w:pPr>
        <w:spacing w:before="0" w:after="120"/>
      </w:pPr>
      <w:r>
        <w:rPr>
          <w:b/>
        </w:rPr>
        <w:t xml:space="preserve">Source: </w:t>
      </w:r>
      <w:r>
        <w:t>Earth and environmental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国家公园正经历着前所未有的需求。高使用率会给基础设施带来压力，破坏生态系统并降低游客的享受。为了可持续地管理游客数量，许多公园现在都需要预订，这引发了人们对公平性的担忧。我们量化了两个预订系统功能（提前购买窗口和许可证竞争）对七个国家公园游客收入的影响。这两种效应都特别有利于高收入用户。在竞争最激烈的日前和提前市场中，预订持有者来自家庭收入中位数高出 3-5% 的邮政编码。将预购窗口延长至六个月，可将预订转移到居住在收入高出 5% 的邮政编码地区的用户。稳健性检查意味着同一方向的个体影响。这凸显了公园管理者面临的一个关键挑战：设计保护资源的预订系统，同时确保广泛的访问。如果不关注分配影响，控制拥挤的努力可能会加剧谁可以参观和享受国家公共土地的收入差距。</w:t>
      </w:r>
    </w:p>
    <w:p>
      <w:pPr>
        <w:spacing w:before="0" w:after="200" w:lineRule="auto" w:line="276"/>
      </w:pPr>
      <w:r>
        <w:rPr>
          <w:b/>
        </w:rPr>
        <w:t xml:space="preserve">Abstract (EN): </w:t>
      </w:r>
      <w:r>
        <w:t>National parks are experiencing unprecedented demand. High use strains infrastructure, damages ecosystems and reduces visitor enjoyment. To sustainably manage visitation, many parks now require reservations, raising concerns about equity. We quantify the effects of two reservation system features, advance purchase windows and competition for permits, on visitor income at seven national parks. Both effects disproportionately favor higher-income users. In the most competitive day-ahead and advance markets, reservation holders come from zip codes with 3–5% higher median household income. Extending the advance purchase window to six months shifts reservations toward users residing in zip codes with 5% higher income. Robustness checks imply individual effects of the same direction. This underscores a key challenge for park managers: designing reservation systems that protect resources while ensuring broad access. Without attention to distributional impacts, efforts to control crowding risk exacerbating income-based disparities in who can visit and enjoy the nation’s public lands.</w:t>
      </w:r>
    </w:p>
    <w:p>
      <w:pPr>
        <w:spacing w:before="120" w:after="120"/>
      </w:pPr>
      <w:r>
        <w:rPr>
          <w:sz w:val="18"/>
        </w:rPr>
        <w:t>——————————————————————————————————————————————————————————————————————</w:t>
      </w:r>
    </w:p>
    <w:p>
      <w:pPr>
        <w:spacing w:before="160" w:after="40" w:line="240" w:lineRule="auto"/>
      </w:pPr>
      <w:r>
        <w:rPr>
          <w:b/>
        </w:rPr>
        <w:t xml:space="preserve">[506] </w:t>
      </w:r>
      <w:hyperlink r:id="rId1348">
        <w:r>
          <w:rPr>
            <w:color w:val="1155CC"/>
            <w:u w:val="single"/>
          </w:rPr>
          <w:t>使用 Raygun 微型化和修饰天然蛋白质</w:t>
        </w:r>
      </w:hyperlink>
    </w:p>
    <w:p>
      <w:pPr>
        <w:spacing w:before="0" w:after="80"/>
      </w:pPr>
      <w:r>
        <w:rPr>
          <w:i/>
          <w:sz w:val="20"/>
        </w:rPr>
        <w:t>EN: Miniaturizing and modifying natural proteins with Raygun</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49">
        <w:r>
          <w:rPr>
            <w:color w:val="1155CC"/>
            <w:u w:val="single"/>
          </w:rPr>
          <w:t>10.1038/s41586-026-10842-8</w:t>
        </w:r>
      </w:hyperlink>
    </w:p>
    <w:p>
      <w:pPr>
        <w:spacing w:before="0" w:after="120"/>
      </w:pPr>
      <w:r>
        <w:rPr>
          <w:b/>
        </w:rPr>
        <w:t xml:space="preserve">Notes: </w:t>
      </w:r>
      <w:r>
        <w:t>abstract_source=pubmed</w:t>
      </w:r>
    </w:p>
    <w:p>
      <w:pPr>
        <w:spacing w:before="0" w:after="80" w:lineRule="auto" w:line="276"/>
      </w:pPr>
      <w:r>
        <w:rPr>
          <w:b/>
        </w:rPr>
        <w:t xml:space="preserve">摘要（ZH）: </w:t>
      </w:r>
      <w:r>
        <w:t>蛋白质通过协调的替换、插入和删除已经进化了数十亿年，但计算蛋白质设计无法完全复制自然界从现有模板设计新蛋白质的能力。蛋白质语言模型1-3生成信息丰富的每个残基表示，但利用它们进行大规模、功能保留的序列修饰仍然遥不可及。在这里，我们介绍 Raygun，一种生成人工智能框架，它使用从语言模型嵌入构建的蛋白质序列的概率编码来实现蛋白质的小型化、修改和增强。我们的关键概念进展是将每个蛋白质编码为固定维度中的概率分布，而不是高维空间中可变长度的序列，从而使任何长度的蛋白质都可直接通约。 Raygun 仅受两个控制取代和长度变化的参数控制，可以将蛋白质缩小 10-25%（有时超过 50%），将其扩展至超出其自然大小，并引入广泛的序列多样性，同时保留预测的结构完整性和功能位点。在基于细胞的验证中，Raygun 小型化了荧光蛋白（2 比 FPbase 中 96% 的荧光蛋白短）和 TurboID（一种已广泛应用于蛋白质组学的合成生物素连接酶）。它还扩展了表皮生长因子 (EGF)，产生了比野生型具有更高 EGFR 结合亲和力的变体。这些结果表明，可以在与长度无关的重复中忠实地捕获蛋白质功能</w:t>
      </w:r>
    </w:p>
    <w:p>
      <w:pPr>
        <w:spacing w:before="0" w:after="200" w:lineRule="auto" w:line="276"/>
      </w:pPr>
      <w:r>
        <w:rPr>
          <w:b/>
        </w:rPr>
        <w:t xml:space="preserve">Abstract (EN): </w:t>
      </w:r>
      <w:r>
        <w:t>Proteins have evolved over billions of years through coordinated substitutions, insertions and deletions, yet computational protein design cannot fully replicate nature's ability to engineer new proteins from existing templates. Protein language models1-3 generate informative per-residue representations, but harnessing them for large-scale, function-preserving sequence modifications has remained beyond reach. Here we introduce Raygun, a generative artificial intelligence framework that enables miniaturization, modification and augmentation of proteins, using a probabilistic encoding of protein sequences constructed from language model embeddings. Our key conceptual advance is to encode each protein not as a sequence of variable length in high-dimensional space, but as a probability distribution in fixed dimensions, making proteins of any length directly commensurable. Controlled by just two parameters governing substitutions and length changes, Raygun can shrink proteins by 10-25% (sometimes more than 50%), expand them beyond their natural size, and introduce extensive sequence diversity, all while preserving predicted structural integrity and functional sites. In cell-based validation, Raygun miniaturized fluorescent proteins (2 shorter than 96% of fluorescent proteins in FPbase) and TurboID, a synthetic biotin ligase that has been widely adopted for proteomics. It also expanded epidermal growth factor (EGF), generating variants with higher EGFR-binding affinity than the wild type. These results show that protein function can be faithfully captured in a length-agnostic representation, enabling the kind of coordinated, large-scale sequence modifications that characterize natural protein evolution.</w:t>
      </w:r>
    </w:p>
    <w:p>
      <w:pPr>
        <w:spacing w:before="120" w:after="120"/>
      </w:pPr>
      <w:r>
        <w:rPr>
          <w:sz w:val="18"/>
        </w:rPr>
        <w:t>——————————————————————————————————————————————————————————————————————</w:t>
      </w:r>
    </w:p>
    <w:p>
      <w:pPr>
        <w:spacing w:before="160" w:after="40" w:line="240" w:lineRule="auto"/>
      </w:pPr>
      <w:r>
        <w:rPr>
          <w:b/>
        </w:rPr>
        <w:t xml:space="preserve">[507] </w:t>
      </w:r>
      <w:hyperlink r:id="rId1350">
        <w:r>
          <w:rPr>
            <w:color w:val="1155CC"/>
            <w:u w:val="single"/>
          </w:rPr>
          <w:t>波动电子向列序的卡西米尔稳定性</w:t>
        </w:r>
      </w:hyperlink>
    </w:p>
    <w:p>
      <w:pPr>
        <w:spacing w:before="0" w:after="80"/>
      </w:pPr>
      <w:r>
        <w:rPr>
          <w:i/>
          <w:sz w:val="20"/>
        </w:rPr>
        <w:t>EN: Casimir stabilization of fluctuating electronic nematic order</w:t>
      </w:r>
    </w:p>
    <w:p>
      <w:pPr>
        <w:spacing w:before="0" w:after="120"/>
      </w:pPr>
      <w:r>
        <w:rPr>
          <w:b/>
        </w:rPr>
        <w:t xml:space="preserve">Source: </w:t>
      </w:r>
      <w:r>
        <w:t>Physical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量子材料真空腔控制领域旨在通过电磁零点涨落来工程化量子材料。在这项工作中，我们阐明并从理论上研究了电子顺序真空控制的通用机制：卡西米尔控制，其中通过最小化周围电磁连续体的零点能量来稳定波动相位。我们关注波动向列序的卡西米尔稳定性，其中局部有序发展，但热波动抑制长程有序。作为一个具体的例子，我们通过利用双折射晶体的各向异性电磁环境来稳定波动的量子霍尔条纹。我们表明，对于实验上可行的设置，会出现一种与方向相关的卡西米尔能量，其比其他已知的稳定机制大 103 倍，这意味着我们的设置可以通过当前可用的技术来实现。我们最后讨论了与最近的量子霍尔条纹实验的联系，以及卡西米尔控制的更广泛的应用。</w:t>
      </w:r>
    </w:p>
    <w:p>
      <w:pPr>
        <w:spacing w:before="0" w:after="200" w:lineRule="auto" w:line="276"/>
      </w:pPr>
      <w:r>
        <w:rPr>
          <w:b/>
        </w:rPr>
        <w:t xml:space="preserve">Abstract (EN): </w:t>
      </w:r>
      <w:r>
        <w:t>The field of vacuum cavity control of quantum materials aims to engineer quantum materials through electromagnetic zero-point fluctuations. In this work we articulate and theoretically study a generic mechanism for vacuum control of electronic order: Casimir control, where a fluctuating phase is stabilized by minimizing the zero-point energy of the surrounding electromagnetic continuum. We focus on the Casimir stabilization of fluctuating nematic order, where local order develops but thermal fluctuations inhibit long-range order. As a concrete example, we stabilize fluctuating quantum Hall stripes by leveraging the anisotropic electromagnetic environment of a birefringent crystal. We show that for experimentally feasible setups, an orientation-dependent Casimir energy emerges which can be 103 times larger than other known stabilization mechanisms, implying that our setting may be realized with currently available technology. We close by discussing connections to recent quantum Hall stripes experiments, as well as broader applications of Casimir control.</w:t>
      </w:r>
    </w:p>
    <w:p>
      <w:pPr>
        <w:spacing w:before="120" w:after="120"/>
      </w:pPr>
      <w:r>
        <w:rPr>
          <w:sz w:val="18"/>
        </w:rPr>
        <w:t>——————————————————————————————————————————————————————————————————————</w:t>
      </w:r>
    </w:p>
    <w:p>
      <w:pPr>
        <w:spacing w:before="160" w:after="40" w:line="240" w:lineRule="auto"/>
      </w:pPr>
      <w:r>
        <w:rPr>
          <w:b/>
        </w:rPr>
        <w:t xml:space="preserve">[508] </w:t>
      </w:r>
      <w:hyperlink r:id="rId1351">
        <w:r>
          <w:rPr>
            <w:color w:val="1155CC"/>
            <w:u w:val="single"/>
          </w:rPr>
          <w:t>具有集成微波神经元的宽带编码和高速概率位生成</w:t>
        </w:r>
      </w:hyperlink>
    </w:p>
    <w:p>
      <w:pPr>
        <w:spacing w:before="0" w:after="80"/>
      </w:pPr>
      <w:r>
        <w:rPr>
          <w:i/>
          <w:sz w:val="20"/>
        </w:rPr>
        <w:t>EN: Broadband encoding and high-speed probabilistic bit generation with integrated microwave neurons</w:t>
      </w:r>
    </w:p>
    <w:p>
      <w:pPr>
        <w:spacing w:before="0" w:after="120"/>
      </w:pPr>
      <w:r>
        <w:rPr>
          <w:b/>
        </w:rPr>
        <w:t xml:space="preserve">Source: </w:t>
      </w:r>
      <w:r>
        <w:t>Physical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高数据速率下的智能取决于信息到达时提取含义。尽管无线电信号是模拟信号，但大多数系统在特征提取之前将其数字化，增加了延迟和功率开销，同时限制了数字时钟速率的处理速度。相反，我们发现输入数据本身可以重新编程微波波导集合中频率模式之间的耦合，编码跨几个千兆赫的光谱特征。这种毫瓦级微波神经网络 (MNN) 采用互补金属氧化物半导体 (CMOS) 技术制造，可在扩频范围内表达数据令牌，使连续令牌之间的关系更容易检测，并通过轻量级数字处理实现更快的下游决策。我们还发现每秒千兆位的比特流，如 8 位像素数据，驱动 MNN 产生概率位，其偏差反映了输入模式。这种模拟抖动保留了压缩数据中的细节，有可能在带宽限制下以八分之一的比特率实现更丰富的卫星成像。</w:t>
      </w:r>
    </w:p>
    <w:p>
      <w:pPr>
        <w:spacing w:before="0" w:after="200" w:lineRule="auto" w:line="276"/>
      </w:pPr>
      <w:r>
        <w:rPr>
          <w:b/>
        </w:rPr>
        <w:t xml:space="preserve">Abstract (EN): </w:t>
      </w:r>
      <w:r>
        <w:t>Intelligence at high data rates depends on extracting meaning as information arrives. Although radio signals are analog, most systems digitize them before feature extraction, adding latency and power overhead while limiting processing speed to digital clock rates. Instead, we find that incoming data can itself reprogram coupling between frequency modes in an ensemble of microwave waveguides, encoding spectral features across several gigahertz. This milliwatt-scale Microwave Neural Network (MNN), manufactured in Complementary-Metal-Oxide-Semiconductor (CMOS) technology, expresses data tokens across a spread spectrum, making relationships between successive tokens easier to detect and enabling faster downstream decisions with lightweight digital processing. We also find that gigabit-per-second bitstreams, like 8-bit pixel data, drive the MNN to produce probabilistic bits whose bias reflects the input pattern. This analog dithering preserves detail in compressed data, potentially enabling richer satellite imaging at one-eighth the bit-rate under bandwidth constraints.</w:t>
      </w:r>
    </w:p>
    <w:p>
      <w:pPr>
        <w:spacing w:before="120" w:after="120"/>
      </w:pPr>
      <w:r>
        <w:rPr>
          <w:sz w:val="18"/>
        </w:rPr>
        <w:t>——————————————————————————————————————————————————————————————————————</w:t>
      </w:r>
    </w:p>
    <w:p>
      <w:pPr>
        <w:spacing w:before="160" w:after="40" w:line="240" w:lineRule="auto"/>
      </w:pPr>
      <w:r>
        <w:rPr>
          <w:b/>
        </w:rPr>
        <w:t xml:space="preserve">[509] </w:t>
      </w:r>
      <w:hyperlink r:id="rId1352">
        <w:r>
          <w:rPr>
            <w:color w:val="1155CC"/>
            <w:u w:val="single"/>
          </w:rPr>
          <w:t>松岛冰川对二十年间歇性冰架重新接地的动态响应</w:t>
        </w:r>
      </w:hyperlink>
    </w:p>
    <w:p>
      <w:pPr>
        <w:spacing w:before="0" w:after="80"/>
      </w:pPr>
      <w:r>
        <w:rPr>
          <w:i/>
          <w:sz w:val="20"/>
        </w:rPr>
        <w:t>EN: The dynamic response of Pine Island Glacier to two decades of intermittent ice shelf regrounding</w:t>
      </w:r>
    </w:p>
    <w:p>
      <w:pPr>
        <w:spacing w:before="0" w:after="120"/>
      </w:pPr>
      <w:r>
        <w:rPr>
          <w:b/>
        </w:rPr>
        <w:t xml:space="preserve">Source: </w:t>
      </w:r>
      <w:r>
        <w:t>Earth and environmental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在过去的几十年里，冰龙骨间歇性地撞击松岛冰架下方的基岩。总的来说，人们认为这个被称为重新接地的过程可以增强支撑作用，并可能减缓冰川流动或阻止冰川退缩。在这里，我们针对松岛冰川检验这一假设。利用应用于卫星雷达数据的偏移跟踪，我们揭示了自 2009 年以来中央大陆架重新搁浅的广泛历史。结合地球观测和冰盖建模，我们评估了这可能对冰动力学产生的直接影响以及通过其对崩解行为的影响产生的间接影响。我们的结果表明，重新接地对冰架底部几乎没有造成额外的阻力。此外，它似乎有助于促进 2015 年至 2020 年冰川崩解，而这又是过去十年冰川流量增加的主要原因。</w:t>
      </w:r>
    </w:p>
    <w:p>
      <w:pPr>
        <w:spacing w:before="0" w:after="200" w:lineRule="auto" w:line="276"/>
      </w:pPr>
      <w:r>
        <w:rPr>
          <w:b/>
        </w:rPr>
        <w:t xml:space="preserve">Abstract (EN): </w:t>
      </w:r>
      <w:r>
        <w:t>Over the last few decades, ice keels have intermittently bumped against the bedrock underneath Pine Island Ice Shelf. In general, it is thought that this process, termed regrounding, could enhance buttressing and potentially slow glacier flow or arrest retreat. Here, we test this hypothesis for Pine Island Glacier. Using offset tracking applied to satellite radar data, we reveal an extensive history of regrounding on the central shelf since 2009. Combining Earth observation and ice sheet modelling, we assess the direct effects this might have had on ice dynamics and indirect effects via its influencing on calving behaviour. Our results show that regrounding caused little additional drag on the base of the ice shelf. Furthermore, it plausibly contributed to the promotion of calving between 2015 and 2020 which is, in turn, held largely responsible for the increase in flow rate of the glacier over the last decade.</w:t>
      </w:r>
    </w:p>
    <w:p>
      <w:pPr>
        <w:spacing w:before="120" w:after="120"/>
      </w:pPr>
      <w:r>
        <w:rPr>
          <w:sz w:val="18"/>
        </w:rPr>
        <w:t>——————————————————————————————————————————————————————————————————————</w:t>
      </w:r>
    </w:p>
    <w:p>
      <w:pPr>
        <w:spacing w:before="160" w:after="40" w:line="240" w:lineRule="auto"/>
      </w:pPr>
      <w:r>
        <w:rPr>
          <w:b/>
        </w:rPr>
        <w:t xml:space="preserve">[510] </w:t>
      </w:r>
      <w:hyperlink r:id="rId1353">
        <w:r>
          <w:rPr>
            <w:color w:val="1155CC"/>
            <w:u w:val="single"/>
          </w:rPr>
          <w:t>大宗作物是中国生物地球化学汞循环的关键枢纽</w:t>
        </w:r>
      </w:hyperlink>
    </w:p>
    <w:p>
      <w:pPr>
        <w:spacing w:before="0" w:after="80"/>
      </w:pPr>
      <w:r>
        <w:rPr>
          <w:i/>
          <w:sz w:val="20"/>
        </w:rPr>
        <w:t>EN: Staple crops as a key hub of biogeochemical mercury cycle across China</w:t>
      </w:r>
    </w:p>
    <w:p>
      <w:pPr>
        <w:spacing w:before="0" w:after="120"/>
      </w:pPr>
      <w:r>
        <w:rPr>
          <w:b/>
        </w:rPr>
        <w:t xml:space="preserve">Source: </w:t>
      </w:r>
      <w:r>
        <w:t>Earth and environmental sciences : Nature Communications subject feeds</w:t>
      </w:r>
      <w:r>
        <w:t xml:space="preserve">    </w:t>
      </w:r>
      <w:r>
        <w:rPr>
          <w:b/>
        </w:rPr>
        <w:t xml:space="preserve">Pub date: </w:t>
      </w:r>
      <w:r>
        <w:t>2026-07-29 00:00:00+00:00</w:t>
      </w:r>
    </w:p>
    <w:p>
      <w:pPr>
        <w:spacing w:before="0" w:after="120"/>
      </w:pPr>
      <w:r>
        <w:rPr>
          <w:b/>
        </w:rPr>
        <w:t xml:space="preserve">Notes: </w:t>
      </w:r>
      <w:r>
        <w:t>abstract_source=nature_html</w:t>
      </w:r>
    </w:p>
    <w:p>
      <w:pPr>
        <w:spacing w:before="0" w:after="80" w:lineRule="auto" w:line="276"/>
      </w:pPr>
      <w:r>
        <w:rPr>
          <w:b/>
        </w:rPr>
        <w:t xml:space="preserve">摘要（ZH）: </w:t>
      </w:r>
      <w:r>
        <w:t>汞（Hg）污染威胁人类健康和生态安全。植物在调节全球汞循环中发挥着关键作用，但农作物如何影响汞传输仍然难以捉摸。在这里，我们通过对中国 301 个地点的标准化实地调查显示，主要作物（即小麦、水稻和玉米）每年吸收 25.59 毫克汞，根据 Δ199Hg 特征，其中约 53% 来自大气，47% 来自土壤。我们进一步预测华北平原、江南丘陵和东北平原是中国农作物汞积累的热点地区。收获后，主要作物积累的汞有36.4%作为残留物返回土壤，而43.4%则通过粮食消费和秸秆牲畜饲料转移到食物链。这些发现表明，主粮作物是全球汞循环的关键枢纽，对评估地球上现有汞的命运和风险具有重要意义。</w:t>
      </w:r>
    </w:p>
    <w:p>
      <w:pPr>
        <w:spacing w:before="0" w:after="200" w:lineRule="auto" w:line="276"/>
      </w:pPr>
      <w:r>
        <w:rPr>
          <w:b/>
        </w:rPr>
        <w:t xml:space="preserve">Abstract (EN): </w:t>
      </w:r>
      <w:r>
        <w:t>Mercury (Hg) contamination threatens human health and ecological security. Plants play a critical role in regulating the global Hg cycle, yet how agricultural crops influence Hg transport remains elusive. Here we show that staple crops (i.e., wheat, rice, and maize) assimilate 25.59 Mg Hg annually using a standardized field survey of 301 sites across China, with approximately 53% originating from the atmosphere and 47% from the soil based on Δ199Hg signatures. We further predict the North China Plain, Jiangnan Hills, and Northeast Plain as hotspots of crop Hg accumulation in China. Following harvest, 36.4% of the Hg accumulated by staple crops is returned to the soil as residues, while 43.4% is transferred to the food chain via grain consumption and straw-livestock feed. These findings demonstrate that staple crops act as a key hub in global Hg cycling, with implications for assessing the fate and risk of existing Hg on Earth.</w:t>
      </w:r>
    </w:p>
    <w:p>
      <w:pPr>
        <w:spacing w:before="120" w:after="120"/>
      </w:pPr>
      <w:r>
        <w:rPr>
          <w:sz w:val="18"/>
        </w:rPr>
        <w:t>——————————————————————————————————————————————————————————————————————</w:t>
      </w:r>
    </w:p>
    <w:p>
      <w:pPr>
        <w:spacing w:before="160" w:after="40" w:line="240" w:lineRule="auto"/>
      </w:pPr>
      <w:r>
        <w:rPr>
          <w:b/>
        </w:rPr>
        <w:t xml:space="preserve">[511] </w:t>
      </w:r>
      <w:hyperlink r:id="rId1354">
        <w:r>
          <w:rPr>
            <w:color w:val="1155CC"/>
            <w:u w:val="single"/>
          </w:rPr>
          <w:t>亚马逊流域西南部有 20,000 多个殖民前土方工程</w:t>
        </w:r>
      </w:hyperlink>
    </w:p>
    <w:p>
      <w:pPr>
        <w:spacing w:before="0" w:after="80"/>
      </w:pPr>
      <w:r>
        <w:rPr>
          <w:i/>
          <w:sz w:val="20"/>
        </w:rPr>
        <w:t>EN: Over 20,000 precolonial earthworks in the Southwest Amazonia</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55">
        <w:r>
          <w:rPr>
            <w:color w:val="1155CC"/>
            <w:u w:val="single"/>
          </w:rPr>
          <w:t>10.1038/s41586-026-10835-7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在亚马逊流域西南部发现了许多几何土方工程，这是前殖民文明的纪念碑建筑的证据</w:t>
      </w:r>
      <w:r>
        <w:t xml:space="preserve"> </w:t>
      </w:r>
      <w:r>
        <w:t>1–3</w:t>
      </w:r>
      <w:r>
        <w:t xml:space="preserve"> </w:t>
      </w:r>
      <w:r>
        <w:t>。这些知识有助于讨论亚马逊流域的深厚历史和前殖民城市主义、其社会文化背景和环境遗产</w:t>
      </w:r>
      <w:r>
        <w:t xml:space="preserve"> </w:t>
      </w:r>
      <w:r>
        <w:t>2,4–8</w:t>
      </w:r>
      <w:r>
        <w:t xml:space="preserve"> </w:t>
      </w:r>
      <w:r>
        <w:t>。对森林文明的地理范围和人口规模的估计仍然薄弱，因为土方工程的探测几乎完全局限于植被无法完全隐藏建筑物的森林砍伐地区。在这里，我们使用了超过 4,430 公里飞行的冠层穿透激光雷达数据来更好地确定该地区土方工程的地理分布和数量。根据现有数据和我们的激光雷达文档，我们表明，仅这个文化区域就包含了之前估计的整个亚马逊流域的土方工程数量。我们还建议该地区的总人口在 100-300 人之间</w:t>
      </w:r>
      <w:r>
        <w:t xml:space="preserve"> </w:t>
      </w:r>
      <w:r>
        <w:t>广告</w:t>
      </w:r>
      <w:r>
        <w:t xml:space="preserve"> </w:t>
      </w:r>
      <w:r>
        <w:t>是 1.25-300 万人。如果在亚马逊流域其他地方发现类似的结果，则应该重新评估前殖民时期的总人口密度及其对当前亚马逊土壤和森林结构、生物多样性甚至某些全球气候模型的影响。</w:t>
      </w:r>
    </w:p>
    <w:p>
      <w:pPr>
        <w:spacing w:before="0" w:after="200" w:lineRule="auto" w:line="276"/>
      </w:pPr>
      <w:r>
        <w:rPr>
          <w:b/>
        </w:rPr>
        <w:t xml:space="preserve">Abstract (EN): </w:t>
      </w:r>
      <w:r>
        <w:t>Numerous geometric earthworks have been found in southwestern Amazonia, evidence of a monument-building precolonial civilization</w:t>
      </w:r>
      <w:r>
        <w:t xml:space="preserve"> </w:t>
      </w:r>
      <w:r>
        <w:t>1–3</w:t>
      </w:r>
      <w:r>
        <w:t xml:space="preserve"> </w:t>
      </w:r>
      <w:r>
        <w:t>. This knowledge has contributed to the discussion about the deep history and the precolonial urbanism of Amazonia, its sociocultural contexts and its environmental legacy</w:t>
      </w:r>
      <w:r>
        <w:t xml:space="preserve"> </w:t>
      </w:r>
      <w:r>
        <w:t>2,4–8</w:t>
      </w:r>
      <w:r>
        <w:t xml:space="preserve"> </w:t>
      </w:r>
      <w:r>
        <w:t>. Estimates of the geographical extent and population size of the forest civilization have remained weak, because the detection of earthworks has been almost exclusively limited to deforested areas where vegetation does not completely hide the structures. Here we used canopy-penetrating LiDAR data over 4,430 km of flight to define the geographical distribution and quantity of earthworks in this region better. On the basis of both existing data and our LiDAR documentation, we show that this cultural area alone contains as many earthworks as previously estimated for the whole of Amazonia. We also propose that the total human population of the area in 100–300</w:t>
      </w:r>
      <w:r>
        <w:t xml:space="preserve"> </w:t>
      </w:r>
      <w:r>
        <w:t>ad</w:t>
      </w:r>
      <w:r>
        <w:t xml:space="preserve"> </w:t>
      </w:r>
      <w:r>
        <w:t>was 1.25–3 million people. If similar results are found elsewhere in Amazonia, the total precolonial population density and its effect on the current Amazonian soil and forest structure, biodiversity and even some modelling of the global climate should be re-evaluated.</w:t>
      </w:r>
    </w:p>
    <w:p>
      <w:pPr>
        <w:spacing w:before="120" w:after="120"/>
      </w:pPr>
      <w:r>
        <w:rPr>
          <w:sz w:val="18"/>
        </w:rPr>
        <w:t>——————————————————————————————————————————————————————————————————————</w:t>
      </w:r>
    </w:p>
    <w:p>
      <w:pPr>
        <w:spacing w:before="160" w:after="40" w:line="240" w:lineRule="auto"/>
      </w:pPr>
      <w:r>
        <w:rPr>
          <w:b/>
        </w:rPr>
        <w:t xml:space="preserve">[512] </w:t>
      </w:r>
      <w:hyperlink r:id="rId1356">
        <w:r>
          <w:rPr>
            <w:color w:val="1155CC"/>
            <w:u w:val="single"/>
          </w:rPr>
          <w:t>气候变化对非洲儿童疟疾过去和未来的影响</w:t>
        </w:r>
      </w:hyperlink>
    </w:p>
    <w:p>
      <w:pPr>
        <w:spacing w:before="0" w:after="80"/>
      </w:pPr>
      <w:r>
        <w:rPr>
          <w:i/>
          <w:sz w:val="20"/>
        </w:rPr>
        <w:t>EN: The past and future impact of climate change on childhood malaria in Africa</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57">
        <w:r>
          <w:rPr>
            <w:color w:val="1155CC"/>
            <w:u w:val="single"/>
          </w:rPr>
          <w:t>10.1038/s41586-026-10840-w</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尽管最近在气候变化归因方面取得了进展，但许多健康影响仍然无法衡量</w:t>
      </w:r>
      <w:r>
        <w:rPr>
          <w:vertAlign w:val="subscript"/>
        </w:rPr>
        <w:t>1</w:t>
      </w:r>
      <w:r>
        <w:t>。在这里，我们利用一个多世纪的临床数据</w:t>
      </w:r>
      <w:r>
        <w:rPr>
          <w:vertAlign w:val="subscript"/>
        </w:rPr>
        <w:t>2</w:t>
      </w:r>
      <w:r>
        <w:t>调查人为造成的气候变化是否增加了撒哈拉以南非洲地区儿童疟疾的负担。我们发现温度和极端降水对患病率有强烈影响，这与之前在当地规模和实验室实验中的发现一致。我们估计，气温上升可能增加了东非和南部非洲的疟疾发病率，但避免了西非类似数量的病例，对整个非洲大陆每 1,000 名儿童中就有 1 例过量病例产生净影响（95% 置信区间 (CI) -4 至 6）。在下个世纪，我们预计气候变化可能会略微加速西非和中非疟疾的消除，这些地区目前疟疾负担最重；在整个非洲大陆，到本世纪末，这可以避免每 1,000 名儿童出现 1 例（低温室气体排放：95% CI -2 至 6）至 20 例（高温室气体排放：95% CI 0-52）病例。然而，到2100年，将未来全球变暖从3°C降低到2°C以下，可以防止东非高海拔地区（超过1公里）和南部非洲平均每1,000人中增加5例病例（95%置信区间分别为-3至13和-4至14）。我们的研究解决了长达数十年的关于气候变化的第一个疑似健康影响之一的争论，为未来的工作提供了模板测量它</w:t>
      </w:r>
    </w:p>
    <w:p>
      <w:pPr>
        <w:spacing w:before="0" w:after="200" w:lineRule="auto" w:line="276"/>
      </w:pPr>
      <w:r>
        <w:rPr>
          <w:b/>
        </w:rPr>
        <w:t xml:space="preserve">Abstract (EN): </w:t>
      </w:r>
      <w:r>
        <w:t>Despite recent advances in climate change attribution, many health impacts remain unmeasured</w:t>
      </w:r>
      <w:r>
        <w:rPr>
          <w:vertAlign w:val="subscript"/>
        </w:rPr>
        <w:t>1</w:t>
      </w:r>
      <w:r>
        <w:t>. Here we leverage over a century of clinical data</w:t>
      </w:r>
      <w:r>
        <w:rPr>
          <w:vertAlign w:val="subscript"/>
        </w:rPr>
        <w:t>2</w:t>
      </w:r>
      <w:r>
        <w:t>to investigate whether human-caused climate change has increased the burden of childhood malaria across sub-Saharan Africa. We find a robust effect of temperature and extreme precipitation on prevalence, consistent with previous findings at local scales and in laboratory experiments. We estimate that rising temperatures have probably increased malaria in East and southern Africa, but averted a comparable number of cases in West Africa, with a net impact of 1 excess case per 1,000 children (95% confidence interval (CI) −4 to 6) across the continent. Over the coming century, we project that climate change could marginally accelerate the elimination of malaria in West and central Africa, where the present-day burden is highest; across the continent, this could avert 1 (low greenhouse gas emissions: 95% CI −2 to 6) to 20 (high greenhouse gas emissions: 95% CI 0–52) cases per 1,000 children by the end of the century. However, reducing future global warming from 3 °C to under 2 °C could prevent an average of 5 excess cases per 1,000 in high-elevation (more than 1 km) East Africa and in southern Africa (95% CIs −3 to 13 and −4 to 14, respectively) by 2100. Our study resolves a decades-old debate about one of the first suspected health impacts of climate change, providing a template for future work measuring its true global burden.</w:t>
      </w:r>
    </w:p>
    <w:p>
      <w:pPr>
        <w:spacing w:before="120" w:after="120"/>
      </w:pPr>
      <w:r>
        <w:rPr>
          <w:sz w:val="18"/>
        </w:rPr>
        <w:t>——————————————————————————————————————————————————————————————————————</w:t>
      </w:r>
    </w:p>
    <w:p>
      <w:pPr>
        <w:spacing w:before="160" w:after="40" w:line="240" w:lineRule="auto"/>
      </w:pPr>
      <w:r>
        <w:rPr>
          <w:b/>
        </w:rPr>
        <w:t xml:space="preserve">[513] </w:t>
      </w:r>
      <w:hyperlink r:id="rId1358">
        <w:r>
          <w:rPr>
            <w:color w:val="1155CC"/>
            <w:u w:val="single"/>
          </w:rPr>
          <w:t>自旋穿梭架构中的权重四奇偶校验</w:t>
        </w:r>
      </w:hyperlink>
    </w:p>
    <w:p>
      <w:pPr>
        <w:spacing w:before="0" w:after="80"/>
      </w:pPr>
      <w:r>
        <w:rPr>
          <w:i/>
          <w:sz w:val="20"/>
        </w:rPr>
        <w:t>EN: Weight-four parity checks in a spin-shuttling architecture</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59">
        <w:r>
          <w:rPr>
            <w:color w:val="1155CC"/>
            <w:u w:val="single"/>
          </w:rPr>
          <w:t>10.1038/s41586-026-10766-3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相干自旋穿梭的最新进展使稀疏半导体自旋量子位阵列成为实现量子处理器的有吸引力的固态平台</w:t>
      </w:r>
      <w:r>
        <w:t xml:space="preserve"> </w:t>
      </w:r>
      <w:r>
        <w:t>1–7</w:t>
      </w:r>
      <w:r>
        <w:t xml:space="preserve"> </w:t>
      </w:r>
      <w:r>
        <w:t>。穿梭实现的动态和远程连接对于许多量子纠错方案也至关重要</w:t>
      </w:r>
      <w:r>
        <w:t xml:space="preserve"> </w:t>
      </w:r>
      <w:r>
        <w:t>8–10</w:t>
      </w:r>
      <w:r>
        <w:t xml:space="preserve"> </w:t>
      </w:r>
      <w:r>
        <w:t>。在这里，我们演示了一种硅自旋量子位设备，包括用于连贯地传输量子位的穿梭总线，该总线可以在我们称为公交车站的四个隔离位置进行交互。我们动态地填充阵列并使用穿梭和量子非拆卸自旋测量来调整所有单量子位和两个量子位操作，而无需访问大多数设备中的电荷传感。我们实现了对有效五量子位处理器的通用控制，并选择形成表面代码稳定器板所需的连接，该表面代码稳定器板支持</w:t>
      </w:r>
      <w:r>
        <w:t xml:space="preserve"> </w:t>
      </w:r>
      <w:r>
        <w:t>X</w:t>
      </w:r>
      <w:r>
        <w:t xml:space="preserve"> </w:t>
      </w:r>
      <w:r>
        <w:t>- 和</w:t>
      </w:r>
      <w:r>
        <w:t xml:space="preserve"> </w:t>
      </w:r>
      <w:r>
        <w:t>Z</w:t>
      </w:r>
      <w:r>
        <w:t xml:space="preserve"> </w:t>
      </w:r>
      <w:r>
        <w:t>-类型奇偶校验最多为权重四。我们使用奇偶校验在阵列中的所有量子位组合之间生成多量子位纠缠，并报告五量子位 Greenberger-Horne-Zeilinger 状态的真正纠缠，该状态构成了用门定义的半导体自旋构造的最大此类状态之一。这里开发的协议为稀疏自旋量子位阵列的模块化校准和操作奠定了基础，我们强调了使用移动自旋量子位进行近期量子纠错实验的可行性。</w:t>
      </w:r>
    </w:p>
    <w:p>
      <w:pPr>
        <w:spacing w:before="0" w:after="200" w:lineRule="auto" w:line="276"/>
      </w:pPr>
      <w:r>
        <w:rPr>
          <w:b/>
        </w:rPr>
        <w:t xml:space="preserve">Abstract (EN): </w:t>
      </w:r>
      <w:r>
        <w:t>Recent advances in coherent spin shuttling have made sparse semiconductor spin-qubit arrays an appealing solid-state platform to realize quantum processors</w:t>
      </w:r>
      <w:r>
        <w:t xml:space="preserve"> </w:t>
      </w:r>
      <w:r>
        <w:t>1–7</w:t>
      </w:r>
      <w:r>
        <w:t xml:space="preserve"> </w:t>
      </w:r>
      <w:r>
        <w:t>. The dynamic and long-range connectivity enabled by shuttling is also essential for many quantum error-correction schemes</w:t>
      </w:r>
      <w:r>
        <w:t xml:space="preserve"> </w:t>
      </w:r>
      <w:r>
        <w:t>8–10</w:t>
      </w:r>
      <w:r>
        <w:t xml:space="preserve"> </w:t>
      </w:r>
      <w:r>
        <w:t>. Here we demonstrate a silicon spin-qubit device comprising a shuttling bus for coherently transporting qubits that can interact at four isolated locations that we call bus stops. We dynamically populate the array and tune all single- and two-qubit operations using shuttling and quantum non-demolition spin measurements, without access to charge sensing in most of the device. We achieve universal control of the effective five-qubit processor and select the connectivity required to form a surface-code stabilizer plaquette that supports</w:t>
      </w:r>
      <w:r>
        <w:t xml:space="preserve"> </w:t>
      </w:r>
      <w:r>
        <w:t>X</w:t>
      </w:r>
      <w:r>
        <w:t xml:space="preserve"> </w:t>
      </w:r>
      <w:r>
        <w:t>- and</w:t>
      </w:r>
      <w:r>
        <w:t xml:space="preserve"> </w:t>
      </w:r>
      <w:r>
        <w:t>Z</w:t>
      </w:r>
      <w:r>
        <w:t xml:space="preserve"> </w:t>
      </w:r>
      <w:r>
        <w:t>-type parity checks up to weight four. We use the parity checks to generate multi-qubit entanglement between all qubit combinations in the array and report the genuine entanglement of a five-qubit Greenberger–Horne–Zeilinger state, constituting one of the largest such states constructed with gate-defined semiconductor spins. The protocols developed here lay the groundwork for modular calibration and operation of sparse spin-qubit arrays, and we highlight the feasibility of near-term quantum error-correction experiments with mobile spin qubits.</w:t>
      </w:r>
    </w:p>
    <w:p>
      <w:pPr>
        <w:spacing w:before="120" w:after="120"/>
      </w:pPr>
      <w:r>
        <w:rPr>
          <w:sz w:val="18"/>
        </w:rPr>
        <w:t>——————————————————————————————————————————————————————————————————————</w:t>
      </w:r>
    </w:p>
    <w:p>
      <w:pPr>
        <w:spacing w:before="160" w:after="40" w:line="240" w:lineRule="auto"/>
      </w:pPr>
      <w:r>
        <w:rPr>
          <w:b/>
        </w:rPr>
        <w:t xml:space="preserve">[514] </w:t>
      </w:r>
      <w:hyperlink r:id="rId1360">
        <w:r>
          <w:rPr>
            <w:color w:val="1155CC"/>
            <w:u w:val="single"/>
          </w:rPr>
          <w:t>救助罕见病儿童，必须解决送药问题</w:t>
        </w:r>
      </w:hyperlink>
    </w:p>
    <w:p>
      <w:pPr>
        <w:spacing w:before="0" w:after="80"/>
      </w:pPr>
      <w:r>
        <w:rPr>
          <w:i/>
          <w:sz w:val="20"/>
        </w:rPr>
        <w:t>EN: To help children with rare diseases, we must solve drug delivery</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61">
        <w:r>
          <w:rPr>
            <w:color w:val="1155CC"/>
            <w:u w:val="single"/>
          </w:rPr>
          <w:t>10.1038/d41586-026-02182-4</w:t>
        </w:r>
      </w:hyperlink>
    </w:p>
    <w:p>
      <w:pPr>
        <w:spacing w:before="0" w:after="120"/>
      </w:pPr>
      <w:r>
        <w:rPr>
          <w:b/>
        </w:rPr>
        <w:t xml:space="preserve">Notes: </w:t>
      </w:r>
      <w:r>
        <w:t>abstract_source=rss_nature</w:t>
      </w:r>
    </w:p>
    <w:p>
      <w:pPr>
        <w:spacing w:before="0" w:after="80" w:lineRule="auto" w:line="276"/>
      </w:pPr>
      <w:r>
        <w:rPr>
          <w:b/>
        </w:rPr>
        <w:t xml:space="preserve">摘要（ZH）: </w:t>
      </w:r>
      <w:r>
        <w:t>纳米颗粒技术有望为治疗选择很少的儿童提供基因疗法。</w:t>
      </w:r>
    </w:p>
    <w:p>
      <w:pPr>
        <w:spacing w:before="0" w:after="200" w:lineRule="auto" w:line="276"/>
      </w:pPr>
      <w:r>
        <w:rPr>
          <w:b/>
        </w:rPr>
        <w:t xml:space="preserve">Abstract (EN): </w:t>
      </w:r>
      <w:r>
        <w:t>Nanoparticle technologies hold promise for delivering gene therapies to children with few treatment options.</w:t>
      </w:r>
    </w:p>
    <w:p>
      <w:pPr>
        <w:spacing w:before="120" w:after="120"/>
      </w:pPr>
      <w:r>
        <w:rPr>
          <w:sz w:val="18"/>
        </w:rPr>
        <w:t>——————————————————————————————————————————————————————————————————————</w:t>
      </w:r>
    </w:p>
    <w:p>
      <w:pPr>
        <w:spacing w:before="160" w:after="40" w:line="240" w:lineRule="auto"/>
      </w:pPr>
      <w:r>
        <w:rPr>
          <w:b/>
        </w:rPr>
        <w:t xml:space="preserve">[515] </w:t>
      </w:r>
      <w:hyperlink r:id="rId1362">
        <w:r>
          <w:rPr>
            <w:color w:val="1155CC"/>
            <w:u w:val="single"/>
          </w:rPr>
          <w:t>固定在纳米孔上的逐步缩短的肽的顺序读取</w:t>
        </w:r>
      </w:hyperlink>
    </w:p>
    <w:p>
      <w:pPr>
        <w:spacing w:before="0" w:after="80"/>
      </w:pPr>
      <w:r>
        <w:rPr>
          <w:i/>
          <w:sz w:val="20"/>
        </w:rPr>
        <w:t>EN: Sequential reading of a stepwise-shortened peptide immobilized on nanopore</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63">
        <w:r>
          <w:rPr>
            <w:color w:val="1155CC"/>
            <w:u w:val="single"/>
          </w:rPr>
          <w:t>10.1038/s41586-026-10881-1</w:t>
        </w:r>
      </w:hyperlink>
    </w:p>
    <w:p>
      <w:pPr>
        <w:spacing w:before="0" w:after="120"/>
      </w:pPr>
      <w:r>
        <w:rPr>
          <w:b/>
        </w:rPr>
        <w:t xml:space="preserve">Notes: </w:t>
      </w:r>
      <w:r>
        <w:t>abstract_source=pubmed</w:t>
      </w:r>
    </w:p>
    <w:p>
      <w:pPr>
        <w:spacing w:before="0" w:after="80" w:lineRule="auto" w:line="276"/>
      </w:pPr>
      <w:r>
        <w:rPr>
          <w:b/>
        </w:rPr>
        <w:t xml:space="preserve">摘要（ZH）: </w:t>
      </w:r>
      <w:r>
        <w:t>肽序列的准确解码在蛋白质组学中至关重要。然而，由于肽的组成和结构复杂性，实现这一目标是一项技术挑战。受纳米孔核酸测序成功启发的研究表明，基于纳米孔的技术也可以应用于肽测序2、3。关键是在顺序纳米孔读出过程中生成分布狭窄、一致且序列依赖的事件。在这里，我们介绍了一种基于纳米孔的策略，称为瞬时孔分析物循环（tPAL）。我们开发了一种工程化的耻垢分枝杆菌孔蛋白 A (MspA) 纳米孔，该纳米孔经过镍离子结合次氮基三乙酸 (NTA-Ni) 接头和目标肽的双重修饰。这种独特的传感配置能够通过多次重读来精确识别固定肽的 N 末端。在胆固醇化氨肽酶的帮助下，固定肽可以以单个氨基酸增量顺序缩短，产生序列依赖性、逐步且窄分布的信号改变，为肽序列解码提供线索。我们的策略实现了单氨基酸分辨率，并有效识别单氨基酸突变、翻译后修饰和非天然氨基酸插入，表明其在纳米孔蛋白质组学和手性肽分析中的多功能性。</w:t>
      </w:r>
    </w:p>
    <w:p>
      <w:pPr>
        <w:spacing w:before="0" w:after="200" w:lineRule="auto" w:line="276"/>
      </w:pPr>
      <w:r>
        <w:rPr>
          <w:b/>
        </w:rPr>
        <w:t xml:space="preserve">Abstract (EN): </w:t>
      </w:r>
      <w:r>
        <w:t>Accurate decoding of peptide sequences is crucial in proteomics. However, achieving this goal is a technical challenge, owing to the compositional and structural complexity of peptides1. Studies inspired by the success of nanopore nucleic acid sequencing have shown that nanopore-based techniques can also be applied to peptide sequencing2,3. The key is to generate narrowly distributed, consistent and sequence-dependent events during sequential nanopore readout. Here we introduce a nanopore-based strategy termed transient pore analyte looping (tPAL). We develop an engineered Mycobacterium smegmatis porin A (MspA) nanopore that is dual modified with a nickel-ion-bound nitrilotriacetic acid (NTA-Ni) adapter and the target peptide. This distinctive sensing configuration enables precise recognition of the N terminus of the immobilized peptide by multiple re-readings. With the aid of cholesterolized aminopeptidase, the immobilized peptide can be shortened sequentially in single-amino-acid increments, yielding sequence-dependent, stepwise and narrowly distributed signal alterations that provide clues to allow peptide sequence decoding. Our strategy achieves single-amino-acid resolution and effectively identifies single-amino-acid mutations, post-translational modifications and unnatural-amino-acid insertions-indicative of its versatility in nanopore proteomics and chiral peptide analyses.</w:t>
      </w:r>
    </w:p>
    <w:p>
      <w:pPr>
        <w:spacing w:before="120" w:after="120"/>
      </w:pPr>
      <w:r>
        <w:rPr>
          <w:sz w:val="18"/>
        </w:rPr>
        <w:t>——————————————————————————————————————————————————————————————————————</w:t>
      </w:r>
    </w:p>
    <w:p>
      <w:pPr>
        <w:spacing w:before="160" w:after="40" w:line="240" w:lineRule="auto"/>
      </w:pPr>
      <w:r>
        <w:rPr>
          <w:b/>
        </w:rPr>
        <w:t xml:space="preserve">[516] </w:t>
      </w:r>
      <w:hyperlink r:id="rId1364">
        <w:r>
          <w:rPr>
            <w:color w:val="1155CC"/>
            <w:u w:val="single"/>
          </w:rPr>
          <w:t>生物学的黑马：RNA 如何成为纳米工具制造商的梦想</w:t>
        </w:r>
      </w:hyperlink>
    </w:p>
    <w:p>
      <w:pPr>
        <w:spacing w:before="0" w:after="80"/>
      </w:pPr>
      <w:r>
        <w:rPr>
          <w:i/>
          <w:sz w:val="20"/>
        </w:rPr>
        <w:t>EN: The dark horse of biology: how RNA is becoming a nanotool maker’s dream</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65">
        <w:r>
          <w:rPr>
            <w:color w:val="1155CC"/>
            <w:u w:val="single"/>
          </w:rPr>
          <w:t>10.1038/d41586-026-02180-6</w:t>
        </w:r>
      </w:hyperlink>
    </w:p>
    <w:p>
      <w:pPr>
        <w:spacing w:before="0" w:after="120"/>
      </w:pPr>
      <w:r>
        <w:rPr>
          <w:b/>
        </w:rPr>
        <w:t xml:space="preserve">Notes: </w:t>
      </w:r>
      <w:r>
        <w:t>abstract_source=rss_nature</w:t>
      </w:r>
    </w:p>
    <w:p>
      <w:pPr>
        <w:spacing w:before="0" w:after="80" w:lineRule="auto" w:line="276"/>
      </w:pPr>
      <w:r>
        <w:rPr>
          <w:b/>
        </w:rPr>
        <w:t xml:space="preserve">摘要（ZH）: </w:t>
      </w:r>
      <w:r>
        <w:t>科学家们正在利用其折叠、转换和重组的能力来创造新一代的细胞技术。</w:t>
      </w:r>
    </w:p>
    <w:p>
      <w:pPr>
        <w:spacing w:before="0" w:after="200" w:lineRule="auto" w:line="276"/>
      </w:pPr>
      <w:r>
        <w:rPr>
          <w:b/>
        </w:rPr>
        <w:t xml:space="preserve">Abstract (EN): </w:t>
      </w:r>
      <w:r>
        <w:t>Scientists are harnessing its ability to fold, switch and reorganize itself to create a new generation of cellular technologies.</w:t>
      </w:r>
    </w:p>
    <w:p>
      <w:pPr>
        <w:spacing w:before="120" w:after="120"/>
      </w:pPr>
      <w:r>
        <w:rPr>
          <w:sz w:val="18"/>
        </w:rPr>
        <w:t>——————————————————————————————————————————————————————————————————————</w:t>
      </w:r>
    </w:p>
    <w:p>
      <w:pPr>
        <w:spacing w:before="160" w:after="40" w:line="240" w:lineRule="auto"/>
      </w:pPr>
      <w:r>
        <w:rPr>
          <w:b/>
        </w:rPr>
        <w:t xml:space="preserve">[517] </w:t>
      </w:r>
      <w:hyperlink r:id="rId1366">
        <w:r>
          <w:rPr>
            <w:color w:val="1155CC"/>
            <w:u w:val="single"/>
          </w:rPr>
          <w:t>4 万年前的鸟雕为冰河时代人类如何繁盛提供了线索</w:t>
        </w:r>
      </w:hyperlink>
    </w:p>
    <w:p>
      <w:pPr>
        <w:spacing w:before="0" w:after="80"/>
      </w:pPr>
      <w:r>
        <w:rPr>
          <w:i/>
          <w:sz w:val="20"/>
        </w:rPr>
        <w:t>EN: 40,000-year-old bird carvings provide clues to how ice age humans flourished</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67">
        <w:r>
          <w:rPr>
            <w:color w:val="1155CC"/>
            <w:u w:val="single"/>
          </w:rPr>
          <w:t>10.1038/d41586-026-02312-y</w:t>
        </w:r>
      </w:hyperlink>
    </w:p>
    <w:p>
      <w:pPr>
        <w:spacing w:before="0" w:after="120"/>
      </w:pPr>
      <w:r>
        <w:rPr>
          <w:b/>
        </w:rPr>
        <w:t xml:space="preserve">Notes: </w:t>
      </w:r>
      <w:r>
        <w:t>abstract_source=rss_nature</w:t>
      </w:r>
    </w:p>
    <w:p>
      <w:pPr>
        <w:spacing w:before="0" w:after="80" w:lineRule="auto" w:line="276"/>
      </w:pPr>
      <w:r>
        <w:rPr>
          <w:b/>
        </w:rPr>
        <w:t xml:space="preserve">摘要（ZH）: </w:t>
      </w:r>
      <w:r>
        <w:t>新发现的雕像表明，这些技能可能有助于早期人类在欧洲的扩张。</w:t>
      </w:r>
    </w:p>
    <w:p>
      <w:pPr>
        <w:spacing w:before="0" w:after="200" w:lineRule="auto" w:line="276"/>
      </w:pPr>
      <w:r>
        <w:rPr>
          <w:b/>
        </w:rPr>
        <w:t xml:space="preserve">Abstract (EN): </w:t>
      </w:r>
      <w:r>
        <w:t>Newly discovered figurines point to skills that might have helped shape early humans’ expansion across Europe.</w:t>
      </w:r>
    </w:p>
    <w:p>
      <w:pPr>
        <w:spacing w:before="120" w:after="120"/>
      </w:pPr>
      <w:r>
        <w:rPr>
          <w:sz w:val="18"/>
        </w:rPr>
        <w:t>——————————————————————————————————————————————————————————————————————</w:t>
      </w:r>
    </w:p>
    <w:p>
      <w:pPr>
        <w:spacing w:before="160" w:after="40" w:line="240" w:lineRule="auto"/>
      </w:pPr>
      <w:r>
        <w:rPr>
          <w:b/>
        </w:rPr>
        <w:t xml:space="preserve">[518] </w:t>
      </w:r>
      <w:hyperlink r:id="rId1368">
        <w:r>
          <w:rPr>
            <w:color w:val="1155CC"/>
            <w:u w:val="single"/>
          </w:rPr>
          <w:t>讣告：日本首位诺贝尔生理学或医学奖获得者利根川进</w:t>
        </w:r>
      </w:hyperlink>
    </w:p>
    <w:p>
      <w:pPr>
        <w:spacing w:before="0" w:after="80"/>
      </w:pPr>
      <w:r>
        <w:rPr>
          <w:i/>
          <w:sz w:val="20"/>
        </w:rPr>
        <w:t>EN: Obituary: Susumu Tonegawa, Japan’s first Nobel prizewinner in physiology or medicine</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69">
        <w:r>
          <w:rPr>
            <w:color w:val="1155CC"/>
            <w:u w:val="single"/>
          </w:rPr>
          <w:t>10.1038/d41586-026-02340-8</w:t>
        </w:r>
      </w:hyperlink>
    </w:p>
    <w:p>
      <w:pPr>
        <w:spacing w:before="0" w:after="120"/>
      </w:pPr>
      <w:r>
        <w:rPr>
          <w:b/>
        </w:rPr>
        <w:t xml:space="preserve">Notes: </w:t>
      </w:r>
      <w:r>
        <w:t>abstract_source=rss_nature</w:t>
      </w:r>
    </w:p>
    <w:p>
      <w:pPr>
        <w:spacing w:before="0" w:after="80" w:lineRule="auto" w:line="276"/>
      </w:pPr>
      <w:r>
        <w:rPr>
          <w:b/>
        </w:rPr>
        <w:t xml:space="preserve">摘要（ZH）: </w:t>
      </w:r>
      <w:r>
        <w:t>无畏的分子生物学家揭示了抗体和记忆的运作原理。</w:t>
      </w:r>
    </w:p>
    <w:p>
      <w:pPr>
        <w:spacing w:before="0" w:after="200" w:lineRule="auto" w:line="276"/>
      </w:pPr>
      <w:r>
        <w:rPr>
          <w:b/>
        </w:rPr>
        <w:t xml:space="preserve">Abstract (EN): </w:t>
      </w:r>
      <w:r>
        <w:t>Fearless molecular biologist who revealed the workings of antibodies and memories.</w:t>
      </w:r>
    </w:p>
    <w:p>
      <w:pPr>
        <w:spacing w:before="120" w:after="120"/>
      </w:pPr>
      <w:r>
        <w:rPr>
          <w:sz w:val="18"/>
        </w:rPr>
        <w:t>——————————————————————————————————————————————————————————————————————</w:t>
      </w:r>
    </w:p>
    <w:p>
      <w:pPr>
        <w:spacing w:before="160" w:after="40" w:line="240" w:lineRule="auto"/>
      </w:pPr>
      <w:r>
        <w:rPr>
          <w:b/>
        </w:rPr>
        <w:t xml:space="preserve">[519] </w:t>
      </w:r>
      <w:hyperlink r:id="rId1370">
        <w:r>
          <w:rPr>
            <w:color w:val="1155CC"/>
            <w:u w:val="single"/>
          </w:rPr>
          <w:t>在实用量子计算机的竞争中，“自旋量子位”处于劣势</w:t>
        </w:r>
      </w:hyperlink>
    </w:p>
    <w:p>
      <w:pPr>
        <w:spacing w:before="0" w:after="80"/>
      </w:pPr>
      <w:r>
        <w:rPr>
          <w:i/>
          <w:sz w:val="20"/>
        </w:rPr>
        <w:t>EN: Underdog ‘spin qubits’ leap forward in race to a useful quantum computer</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71">
        <w:r>
          <w:rPr>
            <w:color w:val="1155CC"/>
            <w:u w:val="single"/>
          </w:rPr>
          <w:t>10.1038/d41586-026-02357-z</w:t>
        </w:r>
      </w:hyperlink>
    </w:p>
    <w:p>
      <w:pPr>
        <w:spacing w:before="0" w:after="120"/>
      </w:pPr>
      <w:r>
        <w:rPr>
          <w:b/>
        </w:rPr>
        <w:t xml:space="preserve">Notes: </w:t>
      </w:r>
      <w:r>
        <w:t>abstract_source=rss_nature</w:t>
      </w:r>
    </w:p>
    <w:p>
      <w:pPr>
        <w:spacing w:before="0" w:after="80" w:lineRule="auto" w:line="276"/>
      </w:pPr>
      <w:r>
        <w:rPr>
          <w:b/>
        </w:rPr>
        <w:t xml:space="preserve">摘要（ZH）: </w:t>
      </w:r>
      <w:r>
        <w:t>四个独立研究团队报告称，使用被低估的量子比特构建的设备取得了巨大进步，包括更低的错误率。</w:t>
      </w:r>
    </w:p>
    <w:p>
      <w:pPr>
        <w:spacing w:before="0" w:after="200" w:lineRule="auto" w:line="276"/>
      </w:pPr>
      <w:r>
        <w:rPr>
          <w:b/>
        </w:rPr>
        <w:t xml:space="preserve">Abstract (EN): </w:t>
      </w:r>
      <w:r>
        <w:t>Four independent research teams report big advances in devices built with the underestimated quantum bits, including lower error rates.</w:t>
      </w:r>
    </w:p>
    <w:p>
      <w:pPr>
        <w:spacing w:before="120" w:after="120"/>
      </w:pPr>
      <w:r>
        <w:rPr>
          <w:sz w:val="18"/>
        </w:rPr>
        <w:t>——————————————————————————————————————————————————————————————————————</w:t>
      </w:r>
    </w:p>
    <w:p>
      <w:pPr>
        <w:spacing w:before="160" w:after="40" w:line="240" w:lineRule="auto"/>
      </w:pPr>
      <w:r>
        <w:rPr>
          <w:b/>
        </w:rPr>
        <w:t xml:space="preserve">[520] </w:t>
      </w:r>
      <w:hyperlink r:id="rId1372">
        <w:r>
          <w:rPr>
            <w:color w:val="1155CC"/>
            <w:u w:val="single"/>
          </w:rPr>
          <w:t>复发的儿童癌症显示出先前治疗留下的基因组疤痕</w:t>
        </w:r>
      </w:hyperlink>
    </w:p>
    <w:p>
      <w:pPr>
        <w:spacing w:before="0" w:after="80"/>
      </w:pPr>
      <w:r>
        <w:rPr>
          <w:i/>
          <w:sz w:val="20"/>
        </w:rPr>
        <w:t>EN: Relapsed childhood cancers show genomic scars left by previous therapy</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73">
        <w:r>
          <w:rPr>
            <w:color w:val="1155CC"/>
            <w:u w:val="single"/>
          </w:rPr>
          <w:t>10.1038/d41586-026-02329-3</w:t>
        </w:r>
      </w:hyperlink>
    </w:p>
    <w:p>
      <w:pPr>
        <w:spacing w:before="0" w:after="120"/>
      </w:pPr>
      <w:r>
        <w:rPr>
          <w:b/>
        </w:rPr>
        <w:t xml:space="preserve">Notes: </w:t>
      </w:r>
      <w:r>
        <w:t>abstract_source=openalex</w:t>
      </w:r>
    </w:p>
    <w:p>
      <w:pPr>
        <w:spacing w:before="0" w:after="80" w:lineRule="auto" w:line="276"/>
      </w:pPr>
      <w:r>
        <w:rPr>
          <w:b/>
        </w:rPr>
        <w:t xml:space="preserve">摘要（ZH）: </w:t>
      </w:r>
      <w:r>
        <w:t>对数百个儿童肿瘤的全基因组测序（丰富了预处理、复发和转移样本）表明，癌症疗法，尤其是铂类疗法，与快速获得独特的 DNA 损伤模式相关。这些突变特征与更糟糕的结果有关，可用于跟踪复发并指导治疗决策。与其他疗法相比，基于铂的治疗与复发性儿童肿瘤中更多的 DNA 损伤相关。</w:t>
      </w:r>
    </w:p>
    <w:p>
      <w:pPr>
        <w:spacing w:before="0" w:after="200" w:lineRule="auto" w:line="276"/>
      </w:pPr>
      <w:r>
        <w:rPr>
          <w:b/>
        </w:rPr>
        <w:t xml:space="preserve">Abstract (EN): </w:t>
      </w:r>
      <w:r>
        <w:t>Whole-genome sequencing of hundreds of childhood tumours, enriched for pretreated, relapsed and metastatic samples, shows that cancer therapies, especially platinum-based ones, are associated with rapid acquisition of distinctive patterns of DNA damage. These mutational signatures are linked with worse outcomes and could be used to track relapses and guide treatment decisions. Platinum-based treatments are associated with more DNA damage in relapsed childhood tumours than other therapies.</w:t>
      </w:r>
    </w:p>
    <w:p>
      <w:pPr>
        <w:spacing w:before="120" w:after="120"/>
      </w:pPr>
      <w:r>
        <w:rPr>
          <w:sz w:val="18"/>
        </w:rPr>
        <w:t>——————————————————————————————————————————————————————————————————————</w:t>
      </w:r>
    </w:p>
    <w:p>
      <w:pPr>
        <w:spacing w:before="160" w:after="40" w:line="240" w:lineRule="auto"/>
      </w:pPr>
      <w:r>
        <w:rPr>
          <w:b/>
        </w:rPr>
        <w:t xml:space="preserve">[521] </w:t>
      </w:r>
      <w:hyperlink r:id="rId1374">
        <w:r>
          <w:rPr>
            <w:color w:val="1155CC"/>
            <w:u w:val="single"/>
          </w:rPr>
          <w:t>在 20 世纪 30 年代和 1940 年代，受益于美国政府支持的抵押贷款的黑人相对较少</w:t>
        </w:r>
      </w:hyperlink>
    </w:p>
    <w:p>
      <w:pPr>
        <w:spacing w:before="0" w:after="80"/>
      </w:pPr>
      <w:r>
        <w:rPr>
          <w:i/>
          <w:sz w:val="20"/>
        </w:rPr>
        <w:t>EN: Relatively few Black people benefited in the 1930s and 1940s from mortgages backed by the US government</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75">
        <w:r>
          <w:rPr>
            <w:color w:val="1155CC"/>
            <w:u w:val="single"/>
          </w:rPr>
          <w:t>10.1038/d41586-026-02246-5</w:t>
        </w:r>
      </w:hyperlink>
    </w:p>
    <w:p>
      <w:pPr>
        <w:spacing w:before="0" w:after="120"/>
      </w:pPr>
      <w:r>
        <w:rPr>
          <w:b/>
        </w:rPr>
        <w:t xml:space="preserve">Notes: </w:t>
      </w:r>
      <w:r>
        <w:t>abstract_source=openalex</w:t>
      </w:r>
    </w:p>
    <w:p>
      <w:pPr>
        <w:spacing w:before="0" w:after="80" w:lineRule="auto" w:line="276"/>
      </w:pPr>
      <w:r>
        <w:rPr>
          <w:b/>
        </w:rPr>
        <w:t xml:space="preserve">摘要（ZH）: </w:t>
      </w:r>
      <w:r>
        <w:t>美国 38 个州最新数字化的抵押贷款记录揭示了 20 世纪 30 年代和 1940 年代两种抵押贷款计划存在的深刻种族不平等。这些贷款得到了联邦住房管理局和退伍军人管理局的支持，主要促成了理想化住房所有权的美国社会的出现。然而，黑人家庭被系统性地排除在获得此类贷款之外。相比之下，移民获得的抵押贷款与其数量成正比。当时主要来自欧洲的移民在美国的贷款接受者中所占比例较高。</w:t>
      </w:r>
    </w:p>
    <w:p>
      <w:pPr>
        <w:spacing w:before="0" w:after="200" w:lineRule="auto" w:line="276"/>
      </w:pPr>
      <w:r>
        <w:rPr>
          <w:b/>
        </w:rPr>
        <w:t xml:space="preserve">Abstract (EN): </w:t>
      </w:r>
      <w:r>
        <w:t>Newly digitized mortgage records from 38 US states reveal the profound racial inequality of two mortgage programmes during the 1930s and 1940s. These loans, supported by the Federal Housing Administration and the Veterans Administration, were mainly responsible for the emergence of a US society that idealized home ownership. However, Black households were systematically excluded from receiving such loans. By contrast, immigrants received mortgages proportional to their number. Immigrants, who were mainly from Europe at the time, were proportionally represented among loan recipients in the United States.</w:t>
      </w:r>
    </w:p>
    <w:p>
      <w:pPr>
        <w:spacing w:before="120" w:after="120"/>
      </w:pPr>
      <w:r>
        <w:rPr>
          <w:sz w:val="18"/>
        </w:rPr>
        <w:t>——————————————————————————————————————————————————————————————————————</w:t>
      </w:r>
    </w:p>
    <w:p>
      <w:pPr>
        <w:spacing w:before="160" w:after="40" w:line="240" w:lineRule="auto"/>
      </w:pPr>
      <w:r>
        <w:rPr>
          <w:b/>
        </w:rPr>
        <w:t xml:space="preserve">[522] </w:t>
      </w:r>
      <w:hyperlink r:id="rId1376">
        <w:r>
          <w:rPr>
            <w:color w:val="1155CC"/>
            <w:u w:val="single"/>
          </w:rPr>
          <w:t>第一个已知的头足类动物只有一毫米长，生活在大约 5.2 亿年前</w:t>
        </w:r>
      </w:hyperlink>
    </w:p>
    <w:p>
      <w:pPr>
        <w:spacing w:before="0" w:after="80"/>
      </w:pPr>
      <w:r>
        <w:rPr>
          <w:i/>
          <w:sz w:val="20"/>
        </w:rPr>
        <w:t>EN: The first known cephalopod was only a millimetre long and lived about 520 million years ago</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77">
        <w:r>
          <w:rPr>
            <w:color w:val="1155CC"/>
            <w:u w:val="single"/>
          </w:rPr>
          <w:t>10.1038/d41586-026-02319-5</w:t>
        </w:r>
      </w:hyperlink>
    </w:p>
    <w:p>
      <w:pPr>
        <w:spacing w:before="0" w:after="120"/>
      </w:pPr>
      <w:r>
        <w:rPr>
          <w:b/>
        </w:rPr>
        <w:t xml:space="preserve">Notes: </w:t>
      </w:r>
      <w:r>
        <w:t>abstract_source=openalex</w:t>
      </w:r>
    </w:p>
    <w:p>
      <w:pPr>
        <w:spacing w:before="0" w:after="80" w:lineRule="auto" w:line="276"/>
      </w:pPr>
      <w:r>
        <w:rPr>
          <w:b/>
        </w:rPr>
        <w:t xml:space="preserve">摘要（ZH）: </w:t>
      </w:r>
      <w:r>
        <w:t>现代头足类动物（例如鱿鱼和墨鱼）的运动依赖于浮力控制，主要通过称为虹吸管的特殊结构来实现。始角龙（Eoceras）——一种毫米大小、带有管管的头足类动物——化石的发现表明，该类群早在寒武纪早期，即大约 5.2 亿年前就已出现。小壳化石表明，具有管管结构的头足类动物生活在寒武纪早期。</w:t>
      </w:r>
    </w:p>
    <w:p>
      <w:pPr>
        <w:spacing w:before="0" w:after="200" w:lineRule="auto" w:line="276"/>
      </w:pPr>
      <w:r>
        <w:rPr>
          <w:b/>
        </w:rPr>
        <w:t xml:space="preserve">Abstract (EN): </w:t>
      </w:r>
      <w:r>
        <w:t>The locomotion of modern cephalopods, such as squid and cuttlefish, relies on buoyancy control achieved mainly by a specialized structure called a siphuncle. The discovery of fossils of Eoceras — a millimetre-sized cephalopod with a siphuncle — suggests that the group had already emerged in the early Cambrian, around 520 million years ago. Small shelly fossils show that cephalopods with siphuncle structures lived in the early Cambrian period.</w:t>
      </w:r>
    </w:p>
    <w:p>
      <w:pPr>
        <w:spacing w:before="120" w:after="120"/>
      </w:pPr>
      <w:r>
        <w:rPr>
          <w:sz w:val="18"/>
        </w:rPr>
        <w:t>——————————————————————————————————————————————————————————————————————</w:t>
      </w:r>
    </w:p>
    <w:p>
      <w:pPr>
        <w:spacing w:before="160" w:after="40" w:line="240" w:lineRule="auto"/>
      </w:pPr>
      <w:r>
        <w:rPr>
          <w:b/>
        </w:rPr>
        <w:t xml:space="preserve">[523] </w:t>
      </w:r>
      <w:hyperlink r:id="rId1378">
        <w:r>
          <w:rPr>
            <w:color w:val="1155CC"/>
            <w:u w:val="single"/>
          </w:rPr>
          <w:t>亚马逊土方调查表明古代人口比想象的要多得多</w:t>
        </w:r>
      </w:hyperlink>
    </w:p>
    <w:p>
      <w:pPr>
        <w:spacing w:before="0" w:after="80"/>
      </w:pPr>
      <w:r>
        <w:rPr>
          <w:i/>
          <w:sz w:val="20"/>
        </w:rPr>
        <w:t>EN: Amazonian earthwork survey indicates ancient population was much larger than thought</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79">
        <w:r>
          <w:rPr>
            <w:color w:val="1155CC"/>
            <w:u w:val="single"/>
          </w:rPr>
          <w:t>10.1038/d41586-026-02321-x</w:t>
        </w:r>
      </w:hyperlink>
    </w:p>
    <w:p>
      <w:pPr>
        <w:spacing w:before="0" w:after="120"/>
      </w:pPr>
      <w:r>
        <w:rPr>
          <w:b/>
        </w:rPr>
        <w:t xml:space="preserve">Notes: </w:t>
      </w:r>
      <w:r>
        <w:t>abstract_source=openalex</w:t>
      </w:r>
    </w:p>
    <w:p>
      <w:pPr>
        <w:spacing w:before="0" w:after="80" w:lineRule="auto" w:line="276"/>
      </w:pPr>
      <w:r>
        <w:rPr>
          <w:b/>
        </w:rPr>
        <w:t xml:space="preserve">摘要（ZH）: </w:t>
      </w:r>
      <w:r>
        <w:t>空中激光扫描数据显示，从公元 100 年到公元 300 年，大亚马逊地区不到 3% 的区域可能养活了 125 万到 300 万人，并包含超过 20,000 个人造土方工程。这些发现要求重新评估前殖民时期亚马逊人口的密度以及这些文明对当今热带土壤和森林的影响。公元 100 年至 300 年左右，阿奎里文明的人口为 125 万至 300 万。</w:t>
      </w:r>
    </w:p>
    <w:p>
      <w:pPr>
        <w:spacing w:before="0" w:after="200" w:lineRule="auto" w:line="276"/>
      </w:pPr>
      <w:r>
        <w:rPr>
          <w:b/>
        </w:rPr>
        <w:t xml:space="preserve">Abstract (EN): </w:t>
      </w:r>
      <w:r>
        <w:t>Aerial laser-scanning data reveal that, from ad 100 to ad 300, an area spanning less than 3% of the Greater Amazonia region probably supported between 1.25 million and 3 million people and contained more than 20,000 human-made earthworks. These findings call for a re-evaluation of the density of pre-colonial Amazonian populations and the influence these civilizations had on present-day tropical soils and forests. The Aquiry civilization comprised between 1.25 million and 3 million people around AD 100–300.</w:t>
      </w:r>
    </w:p>
    <w:p>
      <w:pPr>
        <w:spacing w:before="120" w:after="120"/>
      </w:pPr>
      <w:r>
        <w:rPr>
          <w:sz w:val="18"/>
        </w:rPr>
        <w:t>——————————————————————————————————————————————————————————————————————</w:t>
      </w:r>
    </w:p>
    <w:p>
      <w:pPr>
        <w:spacing w:before="160" w:after="40" w:line="240" w:lineRule="auto"/>
      </w:pPr>
      <w:r>
        <w:rPr>
          <w:b/>
        </w:rPr>
        <w:t xml:space="preserve">[524] </w:t>
      </w:r>
      <w:hyperlink r:id="rId1380">
        <w:r>
          <w:rPr>
            <w:color w:val="1155CC"/>
            <w:u w:val="single"/>
          </w:rPr>
          <w:t>酶促糖基化和酰胺化重塑多烯生物活性</w:t>
        </w:r>
      </w:hyperlink>
    </w:p>
    <w:p>
      <w:pPr>
        <w:spacing w:before="0" w:after="80"/>
      </w:pPr>
      <w:r>
        <w:rPr>
          <w:i/>
          <w:sz w:val="20"/>
        </w:rPr>
        <w:t>EN: Enzymatic glycosylation and amidation reshapes polyene bioactivity</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81">
        <w:r>
          <w:rPr>
            <w:color w:val="1155CC"/>
            <w:u w:val="single"/>
          </w:rPr>
          <w:t>10.1038/s41586-026-10834-8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由于抗菌素耐药性上升和缺乏新的抗真菌治疗方法，真菌病对人类健康构成了日益严重的威胁</w:t>
      </w:r>
      <w:r>
        <w:t xml:space="preserve"> </w:t>
      </w:r>
      <w:r>
        <w:t>1,2</w:t>
      </w:r>
      <w:r>
        <w:t xml:space="preserve"> </w:t>
      </w:r>
      <w:r>
        <w:t>。多烯是一类复杂的天然产物，由于其广谱活性而被广泛用作抗真菌剂</w:t>
      </w:r>
      <w:r>
        <w:rPr>
          <w:vertAlign w:val="subscript"/>
        </w:rPr>
        <w:t>3</w:t>
      </w:r>
      <w:r>
        <w:t>。然而，它们的临床使用因严重毒性和溶解性差而受到限制，迫切需要更安全、更有效的替代品</w:t>
      </w:r>
      <w:r>
        <w:rPr>
          <w:vertAlign w:val="subscript"/>
        </w:rPr>
        <w:t>4</w:t>
      </w:r>
      <w:r>
        <w:t>。以前生产改进多烯的努力依赖于昂贵、步骤低效和原子效率低的化学合成</w:t>
      </w:r>
      <w:r>
        <w:t xml:space="preserve"> </w:t>
      </w:r>
      <w:r>
        <w:t>5,6</w:t>
      </w:r>
      <w:r>
        <w:t xml:space="preserve"> </w:t>
      </w:r>
      <w:r>
        <w:t>。在这里，我们描述了先前未描述的多烯途径的发现和表征，包括将糖引入多烯支架上的不寻常的糖基转移酶。我们还展示了如何扩大酰胺转移酶的反应范围，以将多烯的有害羧酸取代基转化为替代功能。引入第二种糖与羧酸盐修饰相结合可产生更有效的多烯抗真菌剂，并降低毒性，可通过清洁有效的发酵或酶促途径获得。</w:t>
      </w:r>
    </w:p>
    <w:p>
      <w:pPr>
        <w:spacing w:before="0" w:after="200" w:lineRule="auto" w:line="276"/>
      </w:pPr>
      <w:r>
        <w:rPr>
          <w:b/>
        </w:rPr>
        <w:t xml:space="preserve">Abstract (EN): </w:t>
      </w:r>
      <w:r>
        <w:t>Fungal diseases are an escalating threat to human health, driven by rising antimicrobial resistance and a lack of new antifungal treatments</w:t>
      </w:r>
      <w:r>
        <w:t xml:space="preserve"> </w:t>
      </w:r>
      <w:r>
        <w:t>1,2</w:t>
      </w:r>
      <w:r>
        <w:t xml:space="preserve"> </w:t>
      </w:r>
      <w:r>
        <w:t>. Polyenes, a class of complex natural products, have been widely used as antifungal agents due to their broad-spectrum activity</w:t>
      </w:r>
      <w:r>
        <w:rPr>
          <w:vertAlign w:val="subscript"/>
        </w:rPr>
        <w:t>3</w:t>
      </w:r>
      <w:r>
        <w:t>. However, their clinical use is limited by severe toxicity and poor solubility, making safer and more effective alternatives urgently needed</w:t>
      </w:r>
      <w:r>
        <w:rPr>
          <w:vertAlign w:val="subscript"/>
        </w:rPr>
        <w:t>4</w:t>
      </w:r>
      <w:r>
        <w:t>. Previous efforts to generate improved polyenes have relied on costly, step-inefficient and atom-inefficient chemical syntheses</w:t>
      </w:r>
      <w:r>
        <w:t xml:space="preserve"> </w:t>
      </w:r>
      <w:r>
        <w:t>5,6</w:t>
      </w:r>
      <w:r>
        <w:t xml:space="preserve"> </w:t>
      </w:r>
      <w:r>
        <w:t>. Here we describe the discovery and characterization of pathways to previously undescribed polyenes, including unusual glycosyltransferase enzymes that introduce sugars onto polyene scaffolds. We also show how the reaction scope of an amidotransferase enzyme can be expanded to transform the detrimental carboxylate substituent of polyenes to alternative functionality. Introduction of a second sugar combined with carboxylate modifications leads to more potent polyene antifungals, with reduced toxicity, that are accessible by clean and efficient fermentation or enzymatic routes.</w:t>
      </w:r>
    </w:p>
    <w:p>
      <w:pPr>
        <w:spacing w:before="120" w:after="120"/>
      </w:pPr>
      <w:r>
        <w:rPr>
          <w:sz w:val="18"/>
        </w:rPr>
        <w:t>——————————————————————————————————————————————————————————————————————</w:t>
      </w:r>
    </w:p>
    <w:p>
      <w:pPr>
        <w:spacing w:before="160" w:after="40" w:line="240" w:lineRule="auto"/>
      </w:pPr>
      <w:r>
        <w:rPr>
          <w:b/>
        </w:rPr>
        <w:t xml:space="preserve">[525] </w:t>
      </w:r>
      <w:hyperlink r:id="rId1382">
        <w:r>
          <w:rPr>
            <w:color w:val="1155CC"/>
            <w:u w:val="single"/>
          </w:rPr>
          <w:t>霍尔木兹海峡中断、地缘政治争端强度和欧洲燃料市场基于布伦特原油的对冲有效性：来自 DCC-GARCH 方法的经验证据</w:t>
        </w:r>
      </w:hyperlink>
    </w:p>
    <w:p>
      <w:pPr>
        <w:spacing w:before="0" w:after="80"/>
      </w:pPr>
      <w:r>
        <w:rPr>
          <w:i/>
          <w:sz w:val="20"/>
        </w:rPr>
        <w:t>EN: Strait of Hormuz disruption, geopolitical dispute intensity and Brent-based hedging effectiveness in European fuel markets: Empirical evidence from DCC-GARCH approach</w:t>
      </w:r>
    </w:p>
    <w:p>
      <w:pPr>
        <w:spacing w:before="0" w:after="120"/>
      </w:pPr>
      <w:r>
        <w:rPr>
          <w:b/>
        </w:rPr>
        <w:t xml:space="preserve">Source: </w:t>
      </w:r>
      <w:r>
        <w:t>ScienceDirect Publication: Energy Policy</w:t>
      </w:r>
      <w:r>
        <w:t xml:space="preserve">    </w:t>
      </w:r>
      <w:r>
        <w:rPr>
          <w:b/>
        </w:rPr>
        <w:t xml:space="preserve">Pub date: </w:t>
      </w:r>
      <w:r>
        <w:t>2026-07-29 00:00:00+00:00</w:t>
      </w:r>
      <w:r>
        <w:t xml:space="preserve">    </w:t>
      </w:r>
      <w:r>
        <w:rPr>
          <w:b/>
        </w:rPr>
        <w:t xml:space="preserve">DOI: </w:t>
      </w:r>
      <w:hyperlink r:id="rId1383">
        <w:r>
          <w:rPr>
            <w:color w:val="1155CC"/>
            <w:u w:val="single"/>
          </w:rPr>
          <w:t>10.1016/j.enpol.2026.115521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[526] </w:t>
      </w:r>
      <w:hyperlink r:id="rId1384">
        <w:r>
          <w:rPr>
            <w:color w:val="1155CC"/>
            <w:u w:val="single"/>
          </w:rPr>
          <w:t>线粒体代谢和表观遗传串扰驱动 SASP</w:t>
        </w:r>
      </w:hyperlink>
    </w:p>
    <w:p>
      <w:pPr>
        <w:spacing w:before="0" w:after="80"/>
      </w:pPr>
      <w:r>
        <w:rPr>
          <w:i/>
          <w:sz w:val="20"/>
        </w:rPr>
        <w:t>EN: Mitochondrial metabolism and epigenetic crosstalk drive SASP</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85">
        <w:r>
          <w:rPr>
            <w:color w:val="1155CC"/>
            <w:u w:val="single"/>
          </w:rPr>
          <w:t>10.1038/s41586-026-10791-2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衰老细胞部分通过衰老相关分泌表型（SASP）促进组织功能障碍</w:t>
      </w:r>
      <w:r>
        <w:rPr>
          <w:vertAlign w:val="subscript"/>
        </w:rPr>
        <w:t>1</w:t>
      </w:r>
      <w:r>
        <w:t>。胞浆线粒体核酸激活先天免疫信号以启动这种炎症程序</w:t>
      </w:r>
      <w:r>
        <w:t xml:space="preserve"> </w:t>
      </w:r>
      <w:r>
        <w:t>2,3</w:t>
      </w:r>
      <w:r>
        <w:t xml:space="preserve"> </w:t>
      </w:r>
      <w:r>
        <w:t>。在这里，我们表明线粒体代谢提供了第二层控制，可以执行炎症程序。在衰老细胞中，线粒体丙酮酸-柠檬酸-乙酰辅酶A轴上调，增加了乙酰辅酶A支持SASP基因组蛋白乙酰化的可用性。虽然线粒体 DNA 驱动的信号传导会激活炎症转录因子，但乙酰辅酶 A 的可用性对于 SASP 基因的稳健转录是必需的。因此，增强乙酰辅酶A水平会促进SASP基因表达，而抑制线粒体柠檬酸输出蛋白SLC25A1会减少SASP位点的组蛋白乙酰化，从而限制该程序的活性。在体内，抑制 SLC25A1 会降低 SASP 位点染色质的可及性，抑制炎症并延长老年小鼠的健康寿命。总之，这些发现确定了一个线粒体代谢检查点，该检查点能够实现先天免疫信号的表观遗传执行，揭示了一种选择性控制衰老细胞炎症输出的机制。</w:t>
      </w:r>
    </w:p>
    <w:p>
      <w:pPr>
        <w:spacing w:before="0" w:after="200" w:lineRule="auto" w:line="276"/>
      </w:pPr>
      <w:r>
        <w:rPr>
          <w:b/>
        </w:rPr>
        <w:t xml:space="preserve">Abstract (EN): </w:t>
      </w:r>
      <w:r>
        <w:t>Senescent cells promote tissue dysfunction in part through the senescence-associated secretory phenotype (SASP)</w:t>
      </w:r>
      <w:r>
        <w:rPr>
          <w:vertAlign w:val="subscript"/>
        </w:rPr>
        <w:t>1</w:t>
      </w:r>
      <w:r>
        <w:t>. Cytosolic mitochondrial nucleic acids activate innate immune signalling to initiate this inflammatory programme</w:t>
      </w:r>
      <w:r>
        <w:t xml:space="preserve"> </w:t>
      </w:r>
      <w:r>
        <w:t>2,3</w:t>
      </w:r>
      <w:r>
        <w:t xml:space="preserve"> </w:t>
      </w:r>
      <w:r>
        <w:t>. Here we show that mitochondrial metabolism provides a second layer of control that enables execution of the inflammatory programme. In senescent cells, the mitochondrial pyruvate–citrate–acetyl-CoA axis is upregulated, increasing the availability of acetyl-CoA to support histone acetylation at SASP genes. Whereas mitochondrial DNA-driven signalling activates inflammatory transcription factors, acetyl-CoA availability is required for robust transcription of SASP genes. Accordingly, enhancing acetyl-CoA levels promotes SASP gene expression, whereas inhibition of SLC25A1, the mitochondrial citrate exporter, reduces histone acetylation at SASP loci, limiting activity of this programme. In vivo, inhibition of SLC25A1 reduces chromatin accessibility at SASP loci, dampens inflammation and improves healthspan in aged mice. Together, these findings identify a mitochondrial metabolic checkpoint that enables the epigenetic execution of innate immune signalling, revealing a mechanism that selectively controls the inflammatory output of senescent cells.</w:t>
      </w:r>
    </w:p>
    <w:p>
      <w:pPr>
        <w:spacing w:before="120" w:after="120"/>
      </w:pPr>
      <w:r>
        <w:rPr>
          <w:sz w:val="18"/>
        </w:rPr>
        <w:t>——————————————————————————————————————————————————————————————————————</w:t>
      </w:r>
    </w:p>
    <w:p>
      <w:pPr>
        <w:spacing w:before="160" w:after="40" w:line="240" w:lineRule="auto"/>
      </w:pPr>
      <w:r>
        <w:rPr>
          <w:b/>
        </w:rPr>
        <w:t xml:space="preserve">[527] </w:t>
      </w:r>
      <w:hyperlink r:id="rId1386">
        <w:r>
          <w:rPr>
            <w:color w:val="1155CC"/>
            <w:u w:val="single"/>
          </w:rPr>
          <w:t>多种细菌模式识别受体感知核心噬菌体蛋白质组</w:t>
        </w:r>
      </w:hyperlink>
    </w:p>
    <w:p>
      <w:pPr>
        <w:spacing w:before="0" w:after="80"/>
      </w:pPr>
      <w:r>
        <w:rPr>
          <w:i/>
          <w:sz w:val="20"/>
        </w:rPr>
        <w:t>EN: Diverse bacterial pattern recognition receptors sense the core phage proteome</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87">
        <w:r>
          <w:rPr>
            <w:color w:val="1155CC"/>
            <w:u w:val="single"/>
          </w:rPr>
          <w:t>10.1038/s41586-026-10852-6</w:t>
        </w:r>
      </w:hyperlink>
    </w:p>
    <w:p>
      <w:pPr>
        <w:spacing w:before="0" w:after="120"/>
      </w:pPr>
      <w:r>
        <w:rPr>
          <w:b/>
        </w:rPr>
        <w:t xml:space="preserve">Notes: </w:t>
      </w:r>
      <w:r>
        <w:t>abstract_source=pubmed</w:t>
      </w:r>
    </w:p>
    <w:p>
      <w:pPr>
        <w:spacing w:before="0" w:after="80" w:lineRule="auto" w:line="276"/>
      </w:pPr>
      <w:r>
        <w:rPr>
          <w:b/>
        </w:rPr>
        <w:t xml:space="preserve">摘要（ZH）: </w:t>
      </w:r>
      <w:r>
        <w:t>识别细胞内的外来分子对于生命各个领域的免疫至关重要。 STAND NTPase 超家族1,2 的蛋白质，包括真核NOD 样受体，在此过程中发挥核心作用3,4。在细菌和古细菌中，尽管有几个 STAND 家族能够感知噬菌体蛋白 5-9，但它们的功能多样性在很大程度上仍未被探索。在这里，我们对原核 STAND NTPase 进行了系统的系统发育分析，并鉴定了至少 90 个与抗病毒防御相关的结构不同的家族。我们首先证明未表征的 Avs7 家族可以识别有尾噬菌体的主要衣壳蛋白 (MCP)。肠沙门氏菌 Avs7 的三种低温电子显微镜结构揭示了一种不对称的蝴蝶形四聚体，该四聚体通过 MCP 诱导的大构象变化逐步组装，将细菌延伸因子 Tu (EF-Tu) 作为增强防御的结构成分。通过对 687 个噬菌体基因库进行遗传筛选，我们进一步表明另外 13 个 STAND 家族可感知 13 个保守的噬菌体蛋白，涵盖尾噬菌体的大部分核心结构和复制成分。其中包括 2 个不同的 MCP 传感家族（Avs8 和 Avs10）和其他 11 个（Avs11-21），它们分别识别入口、入口适配器、尾喷嘴、头尾连接器、尾部终止子、尾管蛋白、尾部组装伴侣、卷尺蛋白、DNA 聚合酶、解旋酶/RecA 型 ATP 酶和单链 DNA 退火蛋白。总之，我们的研究结果揭示了宿主因子重新利用和建立的机制</w:t>
      </w:r>
    </w:p>
    <w:p>
      <w:pPr>
        <w:spacing w:before="0" w:after="200" w:lineRule="auto" w:line="276"/>
      </w:pPr>
      <w:r>
        <w:rPr>
          <w:b/>
        </w:rPr>
        <w:t xml:space="preserve">Abstract (EN): </w:t>
      </w:r>
      <w:r>
        <w:t>Recognition of foreign molecules inside cells is critical for immunity across all domains of life. Proteins of the STAND NTPase superfamily1,2, including eukaryotic NOD-like receptors, play a central role in this process3,4. In bacteria and archaea, although several STAND families sense phage proteins5-9, their functional diversity remains largely unexplored. Here we conduct a systematic phylogenetic analysis of prokaryotic STAND NTPases and identify at least 90 structurally distinct families associated with antiviral defence. We first show that the uncharacterized Avs7 family recognizes the major capsid protein (MCP) of tailed phages. Three cryogenic electron microscopy structures of Salmonella enterica Avs7 reveal an asymmetric, butterfly-shaped tetramer that assembles stepwise through large, MCP-induced conformational changes, incorporating bacterial elongation factor Tu (EF-Tu) as a structural component that enhances defence. Using genetic screens with a library of 687 phage genes, we further show that 13 additional STAND families sense 13 conserved phage proteins, encompassing most of the core structural and replicative components of tailed phages. These include 2 distinct MCP-sensing families (Avs8 and Avs10) and 11 others (Avs11-21), which recognize the portal, portal adaptor, tail nozzle, head-tail connector, tail terminator, tail tube protein, tail assembly chaperone, tape measure protein, DNA polymerase, helicase/RecA-type ATPase and single-stranded DNA annealing protein, respectively. Together, our findings reveal a mechanism of host-factor repurposing and establish structure-based pattern recognition as a fundamental strategy of bacterial immunity.</w:t>
      </w:r>
    </w:p>
    <w:p>
      <w:pPr>
        <w:spacing w:before="120" w:after="120"/>
      </w:pPr>
      <w:r>
        <w:rPr>
          <w:sz w:val="18"/>
        </w:rPr>
        <w:t>——————————————————————————————————————————————————————————————————————</w:t>
      </w:r>
    </w:p>
    <w:p>
      <w:pPr>
        <w:spacing w:before="160" w:after="40" w:line="240" w:lineRule="auto"/>
      </w:pPr>
      <w:r>
        <w:rPr>
          <w:b/>
        </w:rPr>
        <w:t xml:space="preserve">[528] </w:t>
      </w:r>
      <w:hyperlink r:id="rId1388">
        <w:r>
          <w:rPr>
            <w:color w:val="1155CC"/>
            <w:u w:val="single"/>
          </w:rPr>
          <w:t>新政抵押贷款计划使白人借款人受益匪浅</w:t>
        </w:r>
      </w:hyperlink>
    </w:p>
    <w:p>
      <w:pPr>
        <w:spacing w:before="0" w:after="80"/>
      </w:pPr>
      <w:r>
        <w:rPr>
          <w:i/>
          <w:sz w:val="20"/>
        </w:rPr>
        <w:t>EN: New-deal mortgage programmes benefited white borrowers disproportionately</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89">
        <w:r>
          <w:rPr>
            <w:color w:val="1155CC"/>
            <w:u w:val="single"/>
          </w:rPr>
          <w:t>10.1038/s41586-026-10850-8</w:t>
        </w:r>
      </w:hyperlink>
    </w:p>
    <w:p>
      <w:pPr>
        <w:spacing w:before="0" w:after="120"/>
      </w:pPr>
      <w:r>
        <w:rPr>
          <w:b/>
        </w:rPr>
        <w:t xml:space="preserve">Notes: </w:t>
      </w:r>
      <w:r>
        <w:t>abstract_source=pubmed</w:t>
      </w:r>
    </w:p>
    <w:p>
      <w:pPr>
        <w:spacing w:before="0" w:after="80" w:lineRule="auto" w:line="276"/>
      </w:pPr>
      <w:r>
        <w:rPr>
          <w:b/>
        </w:rPr>
        <w:t xml:space="preserve">摘要（ZH）: </w:t>
      </w:r>
      <w:r>
        <w:t>我们发现，联邦住房管理局 (FHA) 和退伍军人管理局 (VA) 抵押贷款计划在早期几乎没有黑人借款人，而外国出生的借款人也占比例。尽管学者们长期以来一直认为这些计划的受益人中白人比例过高，但这些早期借款人身份的证据很少，而且缺乏有关其出生地的信息1-3。在这里，我们通过将重建金融公司抵押贷款公司 (RFCMC) 的记录（包括 1935 年至 1947 年间 29,921 笔 FHA 承保和 VA 担保的贷款）与人口普查数据联系起来来填补这一空白。尽管 1940 年美国人口中有 9.9% 是黑人，但我们发现只有 2.1% 的 FHA 担保贷款和 5.1% 的 VA 担保贷款流向了黑人借款人。我们还表明，移民在 FHA 贷款（占贷款的 10.0%）中所占的比例与其在人口中所占的比例有关，在 VA 贷款（占贷款的 2.2%）中所占比例则与他们在二战退伍军人中所占的比例相关4。我们的结果表明美国两项基本住房所有权政策中存在严重的种族不平等5,6。我们预计我们的研究结果将成为新兴学术研究的起点，探索 FHA 和 VA 贷款在塑造住房所有权和相关成果（例如邻里成就和财富）方面的种族差异方面的作用7,8。</w:t>
      </w:r>
    </w:p>
    <w:p>
      <w:pPr>
        <w:spacing w:before="0" w:after="200" w:lineRule="auto" w:line="276"/>
      </w:pPr>
      <w:r>
        <w:rPr>
          <w:b/>
        </w:rPr>
        <w:t xml:space="preserve">Abstract (EN): </w:t>
      </w:r>
      <w:r>
        <w:t>We show that the Federal Housing Administration (FHA) and Veterans' Administration (VA) mortgage programmes had few Black borrowers and proportionate foreign-born borrowers in their early years. Although scholars have long posited that the beneficiaries of these programmes were disproportionately white, evidence of the identities of these early borrowers was scant and lacking information on their nativity1-3. Here we fill this void by linking records from the Reconstruction Finance Corporation Mortgage Company (RFCMC), consisting of 29,921 FHA-insured and VA-guaranteed loans from 1935 to 1947, to Census data. Although the population of the USA was 9.9% Black in 1940, we find that only 2.1% of FHA-insured loans and 5.1% of VA-guaranteed loans went to Black borrowers. We also show that immigrants were proportionally represented in FHA lending (10.0% of loans) relative to their share of the population and in VA lending (2.2% of loans) relative to their share of Second World War veterans4. Our results indicate substantial racial inequality in the two foundational homeownership policies in the USA5,6. We anticipate our findings to be a starting point for nascent scholarship exploring the roles of FHA and VA lending in shaping racial disparities in access to homeownership and related outcomes, such as neighbourhood attainment and wealth7,8.</w:t>
      </w:r>
    </w:p>
    <w:p>
      <w:pPr>
        <w:spacing w:before="120" w:after="120"/>
      </w:pPr>
      <w:r>
        <w:rPr>
          <w:sz w:val="18"/>
        </w:rPr>
        <w:t>——————————————————————————————————————————————————————————————————————</w:t>
      </w:r>
    </w:p>
    <w:p>
      <w:pPr>
        <w:spacing w:before="160" w:after="40" w:line="240" w:lineRule="auto"/>
      </w:pPr>
      <w:r>
        <w:rPr>
          <w:b/>
        </w:rPr>
        <w:t xml:space="preserve">[529] </w:t>
      </w:r>
      <w:hyperlink r:id="rId1390">
        <w:r>
          <w:rPr>
            <w:color w:val="1155CC"/>
            <w:u w:val="single"/>
          </w:rPr>
          <w:t>等离激元超材料时间晶体</w:t>
        </w:r>
      </w:hyperlink>
    </w:p>
    <w:p>
      <w:pPr>
        <w:spacing w:before="0" w:after="80"/>
      </w:pPr>
      <w:r>
        <w:rPr>
          <w:i/>
          <w:sz w:val="20"/>
        </w:rPr>
        <w:t>EN: Plasmonic metamaterial time crystal</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91">
        <w:r>
          <w:rPr>
            <w:color w:val="1155CC"/>
            <w:u w:val="single"/>
          </w:rPr>
          <w:t>10.1038/s41586-026-10825-9</w:t>
        </w:r>
      </w:hyperlink>
    </w:p>
    <w:p>
      <w:pPr>
        <w:spacing w:before="0" w:after="120"/>
      </w:pPr>
      <w:r>
        <w:rPr>
          <w:b/>
        </w:rPr>
        <w:t xml:space="preserve">Notes: </w:t>
      </w:r>
      <w:r>
        <w:t>abstract_source=pubmed</w:t>
      </w:r>
    </w:p>
    <w:p>
      <w:pPr>
        <w:spacing w:before="0" w:after="80" w:lineRule="auto" w:line="276"/>
      </w:pPr>
      <w:r>
        <w:rPr>
          <w:b/>
        </w:rPr>
        <w:t xml:space="preserve">摘要（ZH）: </w:t>
      </w:r>
      <w:r>
        <w:t>空间光子晶体 (SPC) 是光与物质相互作用的独特结构，因为它们在波长尺度 1-4 上实现了大的空间周期性介电对比度。它们的时间类似物，光子时间晶体（PTC），通过在时间中周期性调制光学特性来实现类似的进步5-11，但需要强大的超快调制，这在实验上获得具有挑战性5,12-15。驱动超材料已被认为是实现 PTC 的一种途径，但由于在如此短的时间尺度上实现调制的挑战，全光学实现仍然未知。在这里，我们演示了光子时间晶体的全光学实现，这是通过在太赫兹频率下工作的表面等离子体腔超材料实现的。我们展示了等离子体超材料的强（接近一致）和相干（亚光循环）周期性驱动，这是通过场致动态调制载流子的动能和有效质量达到其静止质量的 80% 来实现的。我们的光谱测量显示，由一个异常点介导向 PTC 状态的转变，在该异常点处两个 Floquet 驱动的光学本征模合并。在 PTC 体系中，涌现增益可将等离子体损失减少 50% 以上（参考文献 16,17），并且我们预测等离子体激射将在实验范围内。这些结果为等离子体系统中的时域光子学建立了一个强大的平台。</w:t>
      </w:r>
    </w:p>
    <w:p>
      <w:pPr>
        <w:spacing w:before="0" w:after="200" w:lineRule="auto" w:line="276"/>
      </w:pPr>
      <w:r>
        <w:rPr>
          <w:b/>
        </w:rPr>
        <w:t xml:space="preserve">Abstract (EN): </w:t>
      </w:r>
      <w:r>
        <w:t>Spatial photonic crystals (SPCs) are unique structures for light-matter interactions because they achieve a large and spatially periodic dielectric contrast on wavelength scales1-4. Their temporal analogues, photonic time crystals (PTCs), promise similar advances by periodically modulating optical properties in time5-11, but require strong, ultrafast modulation, which is challenging to obtain experimentally5,12-15. Driven metamaterials have been considered as a route to realize PTCs, yet all-optical implementations have remained unknown because of the challenge of achieving modulation on such short timescales. Here we demonstrate the all-optical realization of a photonic time crystal, achieved with a surface plasmon cavity metamaterial operating at terahertz frequencies. We demonstrate strong (near-unity) and coherent (sub-optical cycle) periodic driving of the plasmonic metamaterial enabled by field-induced dynamical modulation of the kinetic energy of the carriers and effective mass reaching up to 80% of their rest mass. Our spectroscopic measurements show a transition into the PTC regime mediated by an exceptional point, at which two Floquet-driven optical eigenmodes coalesce. In the PTC regime, emergent gain is shown to reduce plasmonic losses by more than 50% (refs. 16,17), and we predict plasmonic lasing to be within experimental reach. These results establish a robust platform for time-domain photonics in plasmonic systems.</w:t>
      </w:r>
    </w:p>
    <w:p>
      <w:pPr>
        <w:spacing w:before="120" w:after="120"/>
      </w:pPr>
      <w:r>
        <w:rPr>
          <w:sz w:val="18"/>
        </w:rPr>
        <w:t>——————————————————————————————————————————————————————————————————————</w:t>
      </w:r>
    </w:p>
    <w:p>
      <w:pPr>
        <w:spacing w:before="160" w:after="40" w:line="240" w:lineRule="auto"/>
      </w:pPr>
      <w:r>
        <w:rPr>
          <w:b/>
        </w:rPr>
        <w:t xml:space="preserve">[530] </w:t>
      </w:r>
      <w:hyperlink r:id="rId1392">
        <w:r>
          <w:rPr>
            <w:color w:val="1155CC"/>
            <w:u w:val="single"/>
          </w:rPr>
          <w:t>压电手性效应</w:t>
        </w:r>
      </w:hyperlink>
    </w:p>
    <w:p>
      <w:pPr>
        <w:spacing w:before="0" w:after="80"/>
      </w:pPr>
      <w:r>
        <w:rPr>
          <w:i/>
          <w:sz w:val="20"/>
        </w:rPr>
        <w:t>EN: The piezochiral effect</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93">
        <w:r>
          <w:rPr>
            <w:color w:val="1155CC"/>
            <w:u w:val="single"/>
          </w:rPr>
          <w:t>10.1038/s41586-026-10845-5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手性是物质的普遍属性，是物理学中许多重要现象的基础</w:t>
      </w:r>
      <w:r>
        <w:rPr>
          <w:vertAlign w:val="subscript"/>
        </w:rPr>
        <w:t>1</w:t>
      </w:r>
      <w:r>
        <w:t>, 化学</w:t>
      </w:r>
      <w:r>
        <w:rPr>
          <w:vertAlign w:val="subscript"/>
        </w:rPr>
        <w:t>2</w:t>
      </w:r>
      <w:r>
        <w:t>和生物学</w:t>
      </w:r>
      <w:r>
        <w:rPr>
          <w:vertAlign w:val="subscript"/>
        </w:rPr>
        <w:t>3</w:t>
      </w:r>
      <w:r>
        <w:t>。鉴于其广泛的重要性，开发用于合理控制固态系统中手性的协议是非常可取的，特别是如果这种效应可以在两个方向上连续调节的话。然而，由于缺乏与这种结构顺序线性耦合的通用共轭场，这一目标仍然难以实现</w:t>
      </w:r>
      <w:r>
        <w:t xml:space="preserve"> </w:t>
      </w:r>
      <w:r>
        <w:t>4-6</w:t>
      </w:r>
      <w:r>
        <w:t xml:space="preserve"> </w:t>
      </w:r>
      <w:r>
        <w:t>。在这里，我们介绍压电手性效应，它可以通过机械应变控制手性。我们通过对称分析表明，单轴应变会在一大类非手性晶体中诱导手性，这些晶体在每个晶胞内含有相反手性的片段</w:t>
      </w:r>
      <w:r>
        <w:t xml:space="preserve"> </w:t>
      </w:r>
      <w:r>
        <w:t>7,8</w:t>
      </w:r>
      <w:r>
        <w:t xml:space="preserve"> </w:t>
      </w:r>
      <w:r>
        <w:t>，迄今为止尚未认识到这一效应。应变引起的旋向性可以通过改变应变方向或通过在压缩应变和拉伸应变之间切换来调节。我们在 AgGaS 中实验验证了这种效应</w:t>
      </w:r>
      <w:r>
        <w:rPr>
          <w:vertAlign w:val="subscript"/>
        </w:rPr>
        <w:t>2</w:t>
      </w:r>
      <w:r>
        <w:t>，使用应变下的光学活性测量。我们的发现建立了一种手性控制的新方案，其潜在应用范围包括自旋电子学、不对称催化以及生物系统中的对映选择性相互作用。</w:t>
      </w:r>
    </w:p>
    <w:p>
      <w:pPr>
        <w:spacing w:before="0" w:after="200" w:lineRule="auto" w:line="276"/>
      </w:pPr>
      <w:r>
        <w:rPr>
          <w:b/>
        </w:rPr>
        <w:t xml:space="preserve">Abstract (EN): </w:t>
      </w:r>
      <w:r>
        <w:t>Chirality is a pervasive property of matter that underpins many important phenomena across physics</w:t>
      </w:r>
      <w:r>
        <w:rPr>
          <w:vertAlign w:val="subscript"/>
        </w:rPr>
        <w:t>1</w:t>
      </w:r>
      <w:r>
        <w:t>, chemistry</w:t>
      </w:r>
      <w:r>
        <w:rPr>
          <w:vertAlign w:val="subscript"/>
        </w:rPr>
        <w:t>2</w:t>
      </w:r>
      <w:r>
        <w:t>and biology</w:t>
      </w:r>
      <w:r>
        <w:rPr>
          <w:vertAlign w:val="subscript"/>
        </w:rPr>
        <w:t>3</w:t>
      </w:r>
      <w:r>
        <w:t>. Given its broad importance, the development of protocols for rational control of chirality in solid-state systems is highly desirable, especially if this effect can be tuned continuously and in two directions. Yet, this goal has remained elusive owing to the absence of a universal conjugate field that couples linearly to this structural order</w:t>
      </w:r>
      <w:r>
        <w:t xml:space="preserve"> </w:t>
      </w:r>
      <w:r>
        <w:t>4–6</w:t>
      </w:r>
      <w:r>
        <w:t xml:space="preserve"> </w:t>
      </w:r>
      <w:r>
        <w:t>. Here we introduce the piezochiral effect, which enables control of chirality through mechanical strain. We show by symmetry analysis that uniaxial strain induces chirality in a broad class of achiral crystals that host fragments of opposite chirality within each unit cell</w:t>
      </w:r>
      <w:r>
        <w:t xml:space="preserve"> </w:t>
      </w:r>
      <w:r>
        <w:t>7,8</w:t>
      </w:r>
      <w:r>
        <w:t xml:space="preserve"> </w:t>
      </w:r>
      <w:r>
        <w:t>, an effect that has so far remained unrecognized. The strain-induced handedness can be tuned either by changing the strain direction or by switching between compressive and tensile strain. We experimentally verify this effect in AgGaS</w:t>
      </w:r>
      <w:r>
        <w:rPr>
          <w:vertAlign w:val="subscript"/>
        </w:rPr>
        <w:t>2</w:t>
      </w:r>
      <w:r>
        <w:t>, using measurements of the optical activity under strain. Our discovery establishes a new scheme for chirality control, with potential applications that range from spintronics to asymmetric catalysis, and enantioselective interactions in biosystems.</w:t>
      </w:r>
    </w:p>
    <w:p>
      <w:pPr>
        <w:spacing w:before="120" w:after="120"/>
      </w:pPr>
      <w:r>
        <w:rPr>
          <w:sz w:val="18"/>
        </w:rPr>
        <w:t>——————————————————————————————————————————————————————————————————————</w:t>
      </w:r>
    </w:p>
    <w:p>
      <w:pPr>
        <w:spacing w:before="160" w:after="40" w:line="240" w:lineRule="auto"/>
      </w:pPr>
      <w:r>
        <w:rPr>
          <w:b/>
        </w:rPr>
        <w:t xml:space="preserve">[531] </w:t>
      </w:r>
      <w:hyperlink r:id="rId1394">
        <w:r>
          <w:rPr>
            <w:color w:val="1155CC"/>
            <w:u w:val="single"/>
          </w:rPr>
          <w:t>痘病毒门复合体的原位结构</w:t>
        </w:r>
      </w:hyperlink>
    </w:p>
    <w:p>
      <w:pPr>
        <w:spacing w:before="0" w:after="80"/>
      </w:pPr>
      <w:r>
        <w:rPr>
          <w:i/>
          <w:sz w:val="20"/>
        </w:rPr>
        <w:t>EN: In situ structure of the poxvirus portal complex</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95">
        <w:r>
          <w:rPr>
            <w:color w:val="1155CC"/>
            <w:u w:val="single"/>
          </w:rPr>
          <w:t>10.1038/s41586-026-10856-2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痘病毒是一个大型、复杂的双链 DNA 病毒家族，其中包括人类病原体，例如天花（天花的病因）和猴痘。最近爆发的痘痘凸显了更好地了解痘病毒生物学的必要性</w:t>
      </w:r>
      <w:r>
        <w:t xml:space="preserve"> </w:t>
      </w:r>
      <w:r>
        <w:t>1,2</w:t>
      </w:r>
      <w:r>
        <w:t xml:space="preserve"> </w:t>
      </w:r>
      <w:r>
        <w:t>。痘病毒组装是一个保守的过程，涉及在成熟病毒的膜内形成双凹核心</w:t>
      </w:r>
      <w:r>
        <w:t xml:space="preserve"> </w:t>
      </w:r>
      <w:r>
        <w:t>3,4</w:t>
      </w:r>
      <w:r>
        <w:t xml:space="preserve"> </w:t>
      </w:r>
      <w:r>
        <w:t>。在这里，我们使用冷冻电子断层扫描结合亚断层平均和结构预测来确定痘苗病毒（典型的痘病毒）中门静脉复合体（跨越核心壁的孔）的结构和组成。该六聚体复合物由 E8、E6 和 L3 蛋白组成，这些蛋白在痘病毒中是保守的，对于感染建立过程中 mRNA 的释放至关重要</w:t>
      </w:r>
      <w:r>
        <w:t xml:space="preserve"> </w:t>
      </w:r>
      <w:r>
        <w:t>5–7</w:t>
      </w:r>
      <w:r>
        <w:t xml:space="preserve"> </w:t>
      </w:r>
      <w:r>
        <w:t>。 E6，也是病毒组装所必需的</w:t>
      </w:r>
      <w:r>
        <w:t xml:space="preserve"> </w:t>
      </w:r>
      <w:r>
        <w:t>8–10</w:t>
      </w:r>
      <w:r>
        <w:t xml:space="preserve"> </w:t>
      </w:r>
      <w:r>
        <w:t>，形成门户的中央室并与周围的核心墙相互作用。 E8 的六聚体附着在 E6 的外侧。 L3，TRIM5α 介导的限制的靶点</w:t>
      </w:r>
      <w:r>
        <w:rPr>
          <w:vertAlign w:val="subscript"/>
        </w:rPr>
        <w:t>11</w:t>
      </w:r>
      <w:r>
        <w:t>，作为二聚体的六聚体结合到内侧。此外，病毒解旋酶 D5 是基因组从核心释放所必需的</w:t>
      </w:r>
      <w:r>
        <w:rPr>
          <w:vertAlign w:val="subscript"/>
        </w:rPr>
        <w:t>12</w:t>
      </w:r>
      <w:r>
        <w:t>，在感染期间通过对接至门静脉复合物的外部 E8 边缘与细胞质核心相关联。我们建议</w:t>
      </w:r>
    </w:p>
    <w:p>
      <w:pPr>
        <w:spacing w:before="0" w:after="200" w:lineRule="auto" w:line="276"/>
      </w:pPr>
      <w:r>
        <w:rPr>
          <w:b/>
        </w:rPr>
        <w:t xml:space="preserve">Abstract (EN): </w:t>
      </w:r>
      <w:r>
        <w:t>Poxviruses are a family of large, complex double-stranded DNA viruses that includes human pathogens such as variola—the cause of smallpox—and monkeypox. Recent outbreaks of mpox underscore the need for a better understanding of poxvirus biology</w:t>
      </w:r>
      <w:r>
        <w:t xml:space="preserve"> </w:t>
      </w:r>
      <w:r>
        <w:t>1,2</w:t>
      </w:r>
      <w:r>
        <w:t xml:space="preserve"> </w:t>
      </w:r>
      <w:r>
        <w:t>. Poxvirus assembly is a conserved process that involves the formation of a biconcave core inside the membrane of the maturing virus</w:t>
      </w:r>
      <w:r>
        <w:t xml:space="preserve"> </w:t>
      </w:r>
      <w:r>
        <w:t>3,4</w:t>
      </w:r>
      <w:r>
        <w:t xml:space="preserve"> </w:t>
      </w:r>
      <w:r>
        <w:t>. Here we use cryo-electron tomography combined with subtomogram averaging and structure prediction to determine the structure and composition of the portal complex—a pore that spans the core wall—in vaccinia virus, the prototypical poxvirus. The hexameric complex consists of the E8, E6 and L3 proteins, which are conserved across poxviruses and essential for mRNA release during the establishment of infection</w:t>
      </w:r>
      <w:r>
        <w:t xml:space="preserve"> </w:t>
      </w:r>
      <w:r>
        <w:t>5–7</w:t>
      </w:r>
      <w:r>
        <w:t xml:space="preserve"> </w:t>
      </w:r>
      <w:r>
        <w:t>. E6, which is also required for virus assembly</w:t>
      </w:r>
      <w:r>
        <w:t xml:space="preserve"> </w:t>
      </w:r>
      <w:r>
        <w:t>8–10</w:t>
      </w:r>
      <w:r>
        <w:t xml:space="preserve"> </w:t>
      </w:r>
      <w:r>
        <w:t>, forms the central chamber of the portal and interacts with the surrounding core wall. A hexamer of E8 attaches to the exterior side of E6. L3, a target of TRIM5α-mediated restriction</w:t>
      </w:r>
      <w:r>
        <w:rPr>
          <w:vertAlign w:val="subscript"/>
        </w:rPr>
        <w:t>11</w:t>
      </w:r>
      <w:r>
        <w:t>, binds as a hexamer of dimers to the interior side. Furthermore, the viral helicase D5, which is required for genome release from cores</w:t>
      </w:r>
      <w:r>
        <w:rPr>
          <w:vertAlign w:val="subscript"/>
        </w:rPr>
        <w:t>12</w:t>
      </w:r>
      <w:r>
        <w:t>, associates with cytoplasmic cores during infection by docking onto the exterior E8 rim of the portal complex. We propose that the portal complex represents an attractive target for the development of anti-poxvirus therapeutics.</w:t>
      </w:r>
    </w:p>
    <w:p>
      <w:pPr>
        <w:spacing w:before="120" w:after="120"/>
      </w:pPr>
      <w:r>
        <w:rPr>
          <w:sz w:val="18"/>
        </w:rPr>
        <w:t>——————————————————————————————————————————————————————————————————————</w:t>
      </w:r>
    </w:p>
    <w:p>
      <w:pPr>
        <w:spacing w:before="160" w:after="40" w:line="240" w:lineRule="auto"/>
      </w:pPr>
      <w:r>
        <w:rPr>
          <w:b/>
        </w:rPr>
        <w:t xml:space="preserve">[532] </w:t>
      </w:r>
      <w:hyperlink r:id="rId1396">
        <w:r>
          <w:rPr>
            <w:color w:val="1155CC"/>
            <w:u w:val="single"/>
          </w:rPr>
          <w:t>白垩纪 zhelestid 哺乳动物是 zalambdalestoids</w:t>
        </w:r>
      </w:hyperlink>
    </w:p>
    <w:p>
      <w:pPr>
        <w:spacing w:before="0" w:after="80"/>
      </w:pPr>
      <w:r>
        <w:rPr>
          <w:i/>
          <w:sz w:val="20"/>
        </w:rPr>
        <w:t>EN: Cretaceous zhelestid mammals are zalambdalestoids</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97">
        <w:r>
          <w:rPr>
            <w:color w:val="1155CC"/>
            <w:u w:val="single"/>
          </w:rPr>
          <w:t>10.1038/s41586-026-10861-5</w:t>
        </w:r>
      </w:hyperlink>
    </w:p>
    <w:p>
      <w:pPr>
        <w:spacing w:before="0" w:after="120"/>
      </w:pPr>
      <w:r>
        <w:rPr>
          <w:b/>
        </w:rPr>
        <w:t xml:space="preserve">Notes: </w:t>
      </w:r>
      <w:r>
        <w:t>abstract_source=pubmed</w:t>
      </w:r>
    </w:p>
    <w:p>
      <w:pPr>
        <w:spacing w:before="0" w:after="80" w:lineRule="auto" w:line="276"/>
      </w:pPr>
      <w:r>
        <w:rPr>
          <w:b/>
        </w:rPr>
        <w:t xml:space="preserve">摘要（ZH）: </w:t>
      </w:r>
      <w:r>
        <w:t>胎盘哺乳动物（包括蝙蝠、灵长类动物和鲸鱼的进化枝）在古近纪多样化时发展出高度多样化的臼齿，这表明它们具有食肉性和草食性等派生饮食。然而，从白垩纪真兽类到胎盘类的茎类群具有更保守的齿列——通常是具有高而锋利的尖牙的臼齿，用于食虫。 38 年前，人们发现白垩纪晚期 zhelestid 哺乳动物的臼齿具有相对较低的齿尖（bunodont），与草食性胎盘有蹄类动物的齿尖趋同，这表明以前未知的白垩纪辐射存在更多类似胎盘的化石3-5。然而，由于从未发现单个 zhelestid 个体的相关牙齿、颅骨和骨骼材料，因此 zhelestid 的物理和系统发育假设未能经过严格的测试。在这里，我们描述了塔米尔汗·巴尔卡塞利（Tamirkhan balcarceli），这是一种来自蒙古上白垩纪的新化石，其模式标本代表了一个个体，头骨中有四边形的、类似zhelestid的臼齿和粗略改造的部分后肢。塔米尔汗揭示了 zhelestid 臼齿与历史上著名的白垩纪分支 Zalambdalestidae 的特征同时出现：细长的第一下门牙，牙釉质有限，牙根开放，延伸到颊齿下方；经泪道；并融合了远端后肢和细长的跖骨7-9。因此，Zhelestids 是 Zalambdalestoidea 中的一个牙齿变体，具有该分支的骨骼特征。</w:t>
      </w:r>
    </w:p>
    <w:p>
      <w:pPr>
        <w:spacing w:before="0" w:after="200" w:lineRule="auto" w:line="276"/>
      </w:pPr>
      <w:r>
        <w:rPr>
          <w:b/>
        </w:rPr>
        <w:t xml:space="preserve">Abstract (EN): </w:t>
      </w:r>
      <w:r>
        <w:t>Placental mammals (the clade that includes bats, primates and whales) developed highly varied molars as they diversified in the Palaeogene, indicating derived diets such as carnivory and herbivory1. Cretaceous eutherian stem taxa to Placentalia had, however, more conservative dentitions-typically molars with high, sharp cusps for insectivory. The discovery 38 years ago of molars of Late Cretaceous zhelestid mammals2 with relatively low (bunodont) cusps, convergent with those of herbivorous placental ungulates, suggested a previously unknown Cretaceous radiation of more placental-like fossils3-5. However, as associated dental, cranial and skeletal material of a single individual zhelestid has never been found6, the hypothesis of what zhelestids are-physically and phylogenetically-has eluded rigorous testing. Here we describe Tamirkhan balcarceli, a new fossil from the Upper Cretaceous of Mongolia, whose type specimen represents a single individual with quadrangular, zhelestid-like molars in a skull and a cursorially adapted partial hind limb. Tamirkhan reveals that zhelestid molars co-occur with features that are historically diagnostic of the well-known Cretaceous clade Zalambdalestidae: elongate first lower incisors with restricted enamel and an open root extending under the cheek teeth; translacrimal canals; and fused distal hindlimbs with elongate metatarsals7-9. Zhelestids are therefore a dental variant within Zalambdalestoidea with skeletal features of that clade.</w:t>
      </w:r>
    </w:p>
    <w:p>
      <w:pPr>
        <w:spacing w:before="120" w:after="120"/>
      </w:pPr>
      <w:r>
        <w:rPr>
          <w:sz w:val="18"/>
        </w:rPr>
        <w:t>——————————————————————————————————————————————————————————————————————</w:t>
      </w:r>
    </w:p>
    <w:p>
      <w:pPr>
        <w:spacing w:before="160" w:after="40" w:line="240" w:lineRule="auto"/>
      </w:pPr>
      <w:r>
        <w:rPr>
          <w:b/>
        </w:rPr>
        <w:t xml:space="preserve">[533] </w:t>
      </w:r>
      <w:hyperlink r:id="rId1398">
        <w:r>
          <w:rPr>
            <w:color w:val="1155CC"/>
            <w:u w:val="single"/>
          </w:rPr>
          <w:t>蚊子如何征服世界——四张图表</w:t>
        </w:r>
      </w:hyperlink>
    </w:p>
    <w:p>
      <w:pPr>
        <w:spacing w:before="0" w:after="80"/>
      </w:pPr>
      <w:r>
        <w:rPr>
          <w:i/>
          <w:sz w:val="20"/>
        </w:rPr>
        <w:t>EN: How mosquitoes are conquering the world — in four charts</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399">
        <w:r>
          <w:rPr>
            <w:color w:val="1155CC"/>
            <w:u w:val="single"/>
          </w:rPr>
          <w:t>10.1038/d41586-025-03966-w</w:t>
        </w:r>
      </w:hyperlink>
    </w:p>
    <w:p>
      <w:pPr>
        <w:spacing w:before="0" w:after="120"/>
      </w:pPr>
      <w:r>
        <w:rPr>
          <w:b/>
        </w:rPr>
        <w:t xml:space="preserve">Notes: </w:t>
      </w:r>
      <w:r>
        <w:t>abstract_source=rss_nature</w:t>
      </w:r>
    </w:p>
    <w:p>
      <w:pPr>
        <w:spacing w:before="0" w:after="80" w:lineRule="auto" w:line="276"/>
      </w:pPr>
      <w:r>
        <w:rPr>
          <w:b/>
        </w:rPr>
        <w:t xml:space="preserve">摘要（ZH）: </w:t>
      </w:r>
      <w:r>
        <w:t>随着气候变化和其他人类影响使昆虫扩大其活动范围，蚊媒疾病正在打破记录。</w:t>
      </w:r>
    </w:p>
    <w:p>
      <w:pPr>
        <w:spacing w:before="0" w:after="200" w:lineRule="auto" w:line="276"/>
      </w:pPr>
      <w:r>
        <w:rPr>
          <w:b/>
        </w:rPr>
        <w:t xml:space="preserve">Abstract (EN): </w:t>
      </w:r>
      <w:r>
        <w:t>Mosquito-borne diseases are breaking records as climate change and other human influences allow the insects to expand their range.</w:t>
      </w:r>
    </w:p>
    <w:p>
      <w:pPr>
        <w:spacing w:before="120" w:after="120"/>
      </w:pPr>
      <w:r>
        <w:rPr>
          <w:sz w:val="18"/>
        </w:rPr>
        <w:t>——————————————————————————————————————————————————————————————————————</w:t>
      </w:r>
    </w:p>
    <w:p>
      <w:pPr>
        <w:spacing w:before="160" w:after="40" w:line="240" w:lineRule="auto"/>
      </w:pPr>
      <w:r>
        <w:rPr>
          <w:b/>
        </w:rPr>
        <w:t xml:space="preserve">[534] </w:t>
      </w:r>
      <w:hyperlink r:id="rId1400">
        <w:r>
          <w:rPr>
            <w:color w:val="1155CC"/>
            <w:u w:val="single"/>
          </w:rPr>
          <w:t>肠道干细胞计数至八次分裂以维持细胞比例</w:t>
        </w:r>
      </w:hyperlink>
    </w:p>
    <w:p>
      <w:pPr>
        <w:spacing w:before="0" w:after="80"/>
      </w:pPr>
      <w:r>
        <w:rPr>
          <w:i/>
          <w:sz w:val="20"/>
        </w:rPr>
        <w:t>EN: Intestinal stem cells count to eight divisions to maintain cell ratios</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401">
        <w:r>
          <w:rPr>
            <w:color w:val="1155CC"/>
            <w:u w:val="single"/>
          </w:rPr>
          <w:t>10.1038/d41586-026-02128-w</w:t>
        </w:r>
      </w:hyperlink>
    </w:p>
    <w:p>
      <w:pPr>
        <w:spacing w:before="0" w:after="120"/>
      </w:pPr>
      <w:r>
        <w:rPr>
          <w:b/>
        </w:rPr>
        <w:t xml:space="preserve">Notes: </w:t>
      </w:r>
      <w:r>
        <w:t>abstract_source=rss_nature</w:t>
      </w:r>
    </w:p>
    <w:p>
      <w:pPr>
        <w:spacing w:before="0" w:after="80" w:lineRule="auto" w:line="276"/>
      </w:pPr>
      <w:r>
        <w:rPr>
          <w:b/>
        </w:rPr>
        <w:t xml:space="preserve">摘要（ZH）: </w:t>
      </w:r>
      <w:r>
        <w:t>在果蝇肠道中，干细胞通过进行八轮细胞分裂形成吸收细胞，然后一轮形成分泌细胞来保持细胞类型的平衡。</w:t>
      </w:r>
    </w:p>
    <w:p>
      <w:pPr>
        <w:spacing w:before="0" w:after="200" w:lineRule="auto" w:line="276"/>
      </w:pPr>
      <w:r>
        <w:rPr>
          <w:b/>
        </w:rPr>
        <w:t xml:space="preserve">Abstract (EN): </w:t>
      </w:r>
      <w:r>
        <w:t>In the fly gut, stem cells keep the balance of cell types by undergoing eight rounds of cell division to form absorptive cells, then one round to form secretory cells.</w:t>
      </w:r>
    </w:p>
    <w:p>
      <w:pPr>
        <w:spacing w:before="120" w:after="120"/>
      </w:pPr>
      <w:r>
        <w:rPr>
          <w:sz w:val="18"/>
        </w:rPr>
        <w:t>——————————————————————————————————————————————————————————————————————</w:t>
      </w:r>
    </w:p>
    <w:p>
      <w:pPr>
        <w:spacing w:before="160" w:after="40" w:line="240" w:lineRule="auto"/>
      </w:pPr>
      <w:r>
        <w:rPr>
          <w:b/>
        </w:rPr>
        <w:t xml:space="preserve">[535] </w:t>
      </w:r>
      <w:hyperlink r:id="rId1402">
        <w:r>
          <w:rPr>
            <w:color w:val="1155CC"/>
            <w:u w:val="single"/>
          </w:rPr>
          <w:t>通过汉克尔增强对比学习预测极端温度事件</w:t>
        </w:r>
      </w:hyperlink>
    </w:p>
    <w:p>
      <w:pPr>
        <w:spacing w:before="0" w:after="80"/>
      </w:pPr>
      <w:r>
        <w:rPr>
          <w:i/>
          <w:sz w:val="20"/>
        </w:rPr>
        <w:t>EN: Forecasting Extreme Temperature Events by Hankel-Augmented Contrastive Learning</w:t>
      </w:r>
    </w:p>
    <w:p>
      <w:pPr>
        <w:spacing w:before="0" w:after="120"/>
      </w:pPr>
      <w:r>
        <w:rPr>
          <w:b/>
        </w:rPr>
        <w:t xml:space="preserve">Source: </w:t>
      </w:r>
      <w:r>
        <w:t>National Science Review Advance Access</w:t>
      </w:r>
      <w:r>
        <w:t xml:space="preserve">    </w:t>
      </w:r>
      <w:r>
        <w:rPr>
          <w:b/>
        </w:rPr>
        <w:t xml:space="preserve">Pub date: </w:t>
      </w:r>
      <w:r>
        <w:t>2026-07-29 00:00:00+00:00</w:t>
      </w:r>
      <w:r>
        <w:t xml:space="preserve">    </w:t>
      </w:r>
      <w:r>
        <w:rPr>
          <w:b/>
        </w:rPr>
        <w:t xml:space="preserve">DOI: </w:t>
      </w:r>
      <w:hyperlink r:id="rId1403">
        <w:r>
          <w:rPr>
            <w:color w:val="1155CC"/>
            <w:u w:val="single"/>
          </w:rPr>
          <w:t>10.1093/nsr/nwag456</w:t>
        </w:r>
      </w:hyperlink>
    </w:p>
    <w:p>
      <w:pPr>
        <w:spacing w:before="0" w:after="120"/>
      </w:pPr>
      <w:r>
        <w:rPr>
          <w:b/>
        </w:rPr>
        <w:t xml:space="preserve">Notes: </w:t>
      </w:r>
      <w:r>
        <w:t>abstract_source=rss_oup</w:t>
      </w:r>
    </w:p>
    <w:p>
      <w:pPr>
        <w:spacing w:before="0" w:after="80" w:lineRule="auto" w:line="276"/>
      </w:pPr>
      <w:r>
        <w:rPr>
          <w:b/>
        </w:rPr>
        <w:t xml:space="preserve">摘要（ZH）: </w:t>
      </w:r>
      <w:r>
        <w:t>准确预测极端温度事件对于气候适应和备灾至关重要，但由于此类现象的突然性和非平稳性，仍然是一个根本挑战。当前的时间序列模型通常无法捕捉与历史行为显着偏离的快速转变和异常模式。在这里，我们提出了 Hankelformer，一种新颖的深度学习架构，它将基于 Hankel 的结构化增强与对比学习相结合，以显着改善极端天气事件的预​​测。该模型采用结构化增强模块，构建 Hankel 矩阵来捕获局部时空动态，而不破坏时间相干性，从而根据状态生成原始输入数据的延迟嵌入启发视图。这些视图与双流 Transformer 编码器中的原始输入一起处理，然后在它们之间进行对比学习，形成时空表示，从而显着增强特征不变性和针对分布变化的鲁棒性。我们根据精心策划的极端天气数据集对 Hankelformer 进行了评估：德克萨斯州冰冻、太平洋西北热浪和南极热浪，以及能源和交通方面的六个标准基准。 Hankelformer 始终实现最先进的性能，在预测极端温度骤降和峰值方面表现出卓越的准确性，MSE 比领先基线提高了 34%。该框架为可靠的极端温度提供了一个有前途的工具</w:t>
      </w:r>
    </w:p>
    <w:p>
      <w:pPr>
        <w:spacing w:before="0" w:after="200" w:lineRule="auto" w:line="276"/>
      </w:pPr>
      <w:r>
        <w:rPr>
          <w:b/>
        </w:rPr>
        <w:t xml:space="preserve">Abstract (EN): </w:t>
      </w:r>
      <w:r>
        <w:t>Accurate forecasting of extreme temperature events is critically important for climate adaptation and disaster preparedness, yet remains a fundamental challenge due to the abrupt and non-stationary nature of such phenomena. Current time series models often fail to capture rapid transitions and anomalous patterns that deviate significantly from historical behaviors. Here, we propose Hankelformer, a novel deep learning architecture that integrates structured Hankel-based augmentation with contrastive learning to significantly improve the forecasting of extreme weather events. The model employs a structured augmentation module that constructs Hankel matrices to capture local spatiotemporal dynamics without disrupting temporal coherence, generating delay-embedding-inspired views of the original input data in terms of states. These views are processed together with the original input in a dual-stream Transformer encoder, followed by a contrastive learning between them that forms spatiotemporal representations, thus significantly enhancing feature invariance and robustness against distribution shifts. We evaluated Hankelformer on the curated extreme weather datasets: the TexasFreeze, the Pacific Northwest Heatwave and the Antarctic Heat, in addition to six standard benchmarks in energy and transportation. Hankelformer consistently achieves state-of-the-art performance, demonstrating remarkable accuracy in predicting extreme temperature collapses and spikes, with up to 34% improvement in MSE over leading baselines. The framework offers a promising tool for reliable extreme temperature forecasting and underscores the value of constructing topologically equivalent sequences to the original sequence for spatiotemporal representation learning in handling real-world non-stationary time series.</w:t>
      </w:r>
    </w:p>
    <w:p>
      <w:pPr>
        <w:spacing w:before="120" w:after="120"/>
      </w:pPr>
      <w:r>
        <w:rPr>
          <w:sz w:val="18"/>
        </w:rPr>
        <w:t>——————————————————————————————————————————————————————————————————————</w:t>
      </w:r>
    </w:p>
    <w:p>
      <w:pPr>
        <w:spacing w:before="160" w:after="40" w:line="240" w:lineRule="auto"/>
      </w:pPr>
      <w:r>
        <w:rPr>
          <w:b/>
        </w:rPr>
        <w:t xml:space="preserve">[536] </w:t>
      </w:r>
      <w:hyperlink r:id="rId1404">
        <w:r>
          <w:rPr>
            <w:color w:val="1155CC"/>
            <w:u w:val="single"/>
          </w:rPr>
          <w:t>寒武纪早期最早的带有管管的头足类动物</w:t>
        </w:r>
      </w:hyperlink>
    </w:p>
    <w:p>
      <w:pPr>
        <w:spacing w:before="0" w:after="80"/>
      </w:pPr>
      <w:r>
        <w:rPr>
          <w:i/>
          <w:sz w:val="20"/>
        </w:rPr>
        <w:t>EN: Earliest siphuncle-bearing cephalopod from the early Cambrian</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405">
        <w:r>
          <w:rPr>
            <w:color w:val="1155CC"/>
            <w:u w:val="single"/>
          </w:rPr>
          <w:t>10.1038/s41586-026-10868-y</w:t>
        </w:r>
      </w:hyperlink>
    </w:p>
    <w:p>
      <w:pPr>
        <w:spacing w:before="0" w:after="120"/>
      </w:pPr>
      <w:r>
        <w:rPr>
          <w:b/>
        </w:rPr>
        <w:t xml:space="preserve">Notes: </w:t>
      </w:r>
      <w:r>
        <w:t>abstract_source=pubmed</w:t>
      </w:r>
    </w:p>
    <w:p>
      <w:pPr>
        <w:spacing w:before="0" w:after="80" w:lineRule="auto" w:line="276"/>
      </w:pPr>
      <w:r>
        <w:rPr>
          <w:b/>
        </w:rPr>
        <w:t xml:space="preserve">摘要（ZH）: </w:t>
      </w:r>
      <w:r>
        <w:t>现代头足类动物在软体动物中是独一无二的，因为它们祖先拥有一个有腔室、充满气体和液体的壳，其内部隔膜被虹吸管穿透。与喷射推进相结合，管管使头足类动物能够通过对其浮力的长期调节来从事游动且主要是掠夺性的生活方式1。这一关键创新的起源仍然未知，因为最早被接受的头足类动物，寒武纪晚期的 Plectronoceras cambria2 与分子钟估计之间存在重大差距，该谱系与寒武纪早期的其他软体动物有分歧3,4。在此，我们报道陕西始角藻。等11月，来自华南水井沱组（寒武纪第三期）的毫米大小的头足类动物，具有正圆锥形外壳。在内部，外壳呈现出多个隔膜以及位于外围的分段管，该分段管似乎通过微小的管道桥接隔膜，这表明软体在生长过程中通过孔迁移以形成连续的室，同时通过管与早期的室保持接触。总的来说，这些特征识别了陕西桉属的分节管。等十一月作为候选的原始头足类管管，从而将已知的头足类茎范围延伸到寒武纪早期，并揭示了用于浮力调节的有室芦质锥体进化组装的早期阶段。</w:t>
      </w:r>
    </w:p>
    <w:p>
      <w:pPr>
        <w:spacing w:before="0" w:after="200" w:lineRule="auto" w:line="276"/>
      </w:pPr>
      <w:r>
        <w:rPr>
          <w:b/>
        </w:rPr>
        <w:t xml:space="preserve">Abstract (EN): </w:t>
      </w:r>
      <w:r>
        <w:t>Modern cephalopods are unique among molluscs in ancestrally possessing a chambered, gas- and fluid-filled shell, the internal septa of which are penetrated by a siphuncle. Combined with jet propulsion, the siphuncle enables cephalopods to engage in a nektonic and mostly predatory lifestyle through long-term regulation of their bouyancy1. The origin of this key innovation remains unknown, as major gaps exist between the earliest accepted cephalopod, Plectronoceras cambria2 from the late Cambrian era, and molecular clock estimates placing the divergence of the lineage from other molluscs in the early Cambrian3,4. Here we report Eoceras shaanxiense gen. et sp. nov., a millimetre-sized cephalopod with an orthoconic shell from the Shuijingtuo Formation (Cambrian Stage 3) of South China. Internally, the shell exhibits multiple septa along with a peripherally situated segmented tube that appears to bridge the septa through minute canals, indicating that the soft body migrated aperturally to form successive chambers during growth while maintaining contact with earlier chambers via the tube. Collectively, these features identify the segmented tube in E. shaanxiense gen. et sp. nov. as a candidate primordial cephalopod siphuncle, thus extending the known range of stem cephalopods back to the early Cambrian and revealing the early stages in the evolutionary assembly of a chambered phragmocone employed in buoyancy regulation.</w:t>
      </w:r>
    </w:p>
    <w:p>
      <w:pPr>
        <w:spacing w:before="120" w:after="120"/>
      </w:pPr>
      <w:r>
        <w:rPr>
          <w:sz w:val="18"/>
        </w:rPr>
        <w:t>——————————————————————————————————————————————————————————————————————</w:t>
      </w:r>
    </w:p>
    <w:p>
      <w:pPr>
        <w:spacing w:before="160" w:after="40" w:line="240" w:lineRule="auto"/>
      </w:pPr>
      <w:r>
        <w:rPr>
          <w:b/>
        </w:rPr>
        <w:t xml:space="preserve">[537] </w:t>
      </w:r>
      <w:hyperlink r:id="rId1406">
        <w:r>
          <w:rPr>
            <w:color w:val="1155CC"/>
            <w:u w:val="single"/>
          </w:rPr>
          <w:t>撤回说明：人类 HDAC6 感知缬氨酸丰度以调节 DNA 损伤</w:t>
        </w:r>
      </w:hyperlink>
    </w:p>
    <w:p>
      <w:pPr>
        <w:spacing w:before="0" w:after="80"/>
      </w:pPr>
      <w:r>
        <w:rPr>
          <w:i/>
          <w:sz w:val="20"/>
        </w:rPr>
        <w:t>EN: Retraction Note: Human HDAC6 senses valine abundancy to regulate DNA damage</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407">
        <w:r>
          <w:rPr>
            <w:color w:val="1155CC"/>
            <w:u w:val="single"/>
          </w:rPr>
          <w:t>10.1038/s41586-026-10942-5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[538] </w:t>
      </w:r>
      <w:hyperlink r:id="rId1408">
        <w:r>
          <w:rPr>
            <w:color w:val="1155CC"/>
            <w:u w:val="single"/>
          </w:rPr>
          <w:t>为什么明天的纳米技术需要今天的支持</w:t>
        </w:r>
      </w:hyperlink>
    </w:p>
    <w:p>
      <w:pPr>
        <w:spacing w:before="0" w:after="80"/>
      </w:pPr>
      <w:r>
        <w:rPr>
          <w:i/>
          <w:sz w:val="20"/>
        </w:rPr>
        <w:t>EN: Why tomorrow’s nanotechnologies need support today</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409">
        <w:r>
          <w:rPr>
            <w:color w:val="1155CC"/>
            <w:u w:val="single"/>
          </w:rPr>
          <w:t>10.1038/d41586-026-02179-z</w:t>
        </w:r>
      </w:hyperlink>
    </w:p>
    <w:p>
      <w:pPr>
        <w:spacing w:before="0" w:after="120"/>
      </w:pPr>
      <w:r>
        <w:rPr>
          <w:b/>
        </w:rPr>
        <w:t xml:space="preserve">Notes: </w:t>
      </w:r>
      <w:r>
        <w:t>abstract_source=rss_nature</w:t>
      </w:r>
    </w:p>
    <w:p>
      <w:pPr>
        <w:spacing w:before="0" w:after="80" w:lineRule="auto" w:line="276"/>
      </w:pPr>
      <w:r>
        <w:rPr>
          <w:b/>
        </w:rPr>
        <w:t xml:space="preserve">摘要（ZH）: </w:t>
      </w:r>
      <w:r>
        <w:t>该领域似乎正处于重大进步的风口浪尖，但需要共同努力才能实现其真正的潜力。</w:t>
      </w:r>
    </w:p>
    <w:p>
      <w:pPr>
        <w:spacing w:before="0" w:after="200" w:lineRule="auto" w:line="276"/>
      </w:pPr>
      <w:r>
        <w:rPr>
          <w:b/>
        </w:rPr>
        <w:t xml:space="preserve">Abstract (EN): </w:t>
      </w:r>
      <w:r>
        <w:t>The field seems to be on the cusp of big advances, but a concerted effort is needed to realize its true potential.</w:t>
      </w:r>
    </w:p>
    <w:p>
      <w:pPr>
        <w:spacing w:before="120" w:after="120"/>
      </w:pPr>
      <w:r>
        <w:rPr>
          <w:sz w:val="18"/>
        </w:rPr>
        <w:t>——————————————————————————————————————————————————————————————————————</w:t>
      </w:r>
    </w:p>
    <w:p>
      <w:pPr>
        <w:spacing w:before="160" w:after="40" w:line="240" w:lineRule="auto"/>
      </w:pPr>
      <w:r>
        <w:rPr>
          <w:b/>
        </w:rPr>
        <w:t xml:space="preserve">[539] </w:t>
      </w:r>
      <w:hyperlink r:id="rId1410">
        <w:r>
          <w:rPr>
            <w:color w:val="1155CC"/>
            <w:u w:val="single"/>
          </w:rPr>
          <w:t>艺术是古代人类成功的关键吗？霍勒费尔斯洞穴的秘密</w:t>
        </w:r>
      </w:hyperlink>
    </w:p>
    <w:p>
      <w:pPr>
        <w:spacing w:before="0" w:after="80"/>
      </w:pPr>
      <w:r>
        <w:rPr>
          <w:i/>
          <w:sz w:val="20"/>
        </w:rPr>
        <w:t>EN: Was art key to ancient humans' success? The secrets of Hohle Fels cave</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411">
        <w:r>
          <w:rPr>
            <w:color w:val="1155CC"/>
            <w:u w:val="single"/>
          </w:rPr>
          <w:t>10.1038/d41586-026-02359-x</w:t>
        </w:r>
      </w:hyperlink>
    </w:p>
    <w:p>
      <w:pPr>
        <w:spacing w:before="0" w:after="120"/>
      </w:pPr>
      <w:r>
        <w:rPr>
          <w:b/>
        </w:rPr>
        <w:t xml:space="preserve">Notes: </w:t>
      </w:r>
      <w:r>
        <w:t>abstract_source=rss_nature</w:t>
      </w:r>
    </w:p>
    <w:p>
      <w:pPr>
        <w:spacing w:before="0" w:after="80" w:lineRule="auto" w:line="276"/>
      </w:pPr>
      <w:r>
        <w:rPr>
          <w:b/>
        </w:rPr>
        <w:t xml:space="preserve">摘要（ZH）: </w:t>
      </w:r>
      <w:r>
        <w:t>著名考古遗址的新发现增添了古代人类文化的神秘色彩。</w:t>
      </w:r>
    </w:p>
    <w:p>
      <w:pPr>
        <w:spacing w:before="0" w:after="200" w:lineRule="auto" w:line="276"/>
      </w:pPr>
      <w:r>
        <w:rPr>
          <w:b/>
        </w:rPr>
        <w:t xml:space="preserve">Abstract (EN): </w:t>
      </w:r>
      <w:r>
        <w:t>New discoveries at famous archeological site add to mystery of ancient human culture.</w:t>
      </w:r>
    </w:p>
    <w:p>
      <w:pPr>
        <w:spacing w:before="120" w:after="120"/>
      </w:pPr>
      <w:r>
        <w:rPr>
          <w:sz w:val="18"/>
        </w:rPr>
        <w:t>——————————————————————————————————————————————————————————————————————</w:t>
      </w:r>
    </w:p>
    <w:p>
      <w:pPr>
        <w:spacing w:before="160" w:after="40" w:line="240" w:lineRule="auto"/>
      </w:pPr>
      <w:r>
        <w:rPr>
          <w:b/>
        </w:rPr>
        <w:t xml:space="preserve">[540] </w:t>
      </w:r>
      <w:hyperlink r:id="rId1412">
        <w:r>
          <w:rPr>
            <w:color w:val="1155CC"/>
            <w:u w:val="single"/>
          </w:rPr>
          <w:t>亚马逊发现的土方工程暗示着巨大的古代文明</w:t>
        </w:r>
      </w:hyperlink>
    </w:p>
    <w:p>
      <w:pPr>
        <w:spacing w:before="0" w:after="80"/>
      </w:pPr>
      <w:r>
        <w:rPr>
          <w:i/>
          <w:sz w:val="20"/>
        </w:rPr>
        <w:t>EN: Earthworks spotted in the Amazon hint at huge ancient civilization</w:t>
      </w:r>
    </w:p>
    <w:p>
      <w:pPr>
        <w:spacing w:before="0" w:after="120"/>
      </w:pPr>
      <w:r>
        <w:rPr>
          <w:b/>
        </w:rPr>
        <w:t xml:space="preserve">Source: </w:t>
      </w:r>
      <w:r>
        <w:t>Nature</w:t>
      </w:r>
      <w:r>
        <w:t xml:space="preserve">    </w:t>
      </w:r>
      <w:r>
        <w:rPr>
          <w:b/>
        </w:rPr>
        <w:t xml:space="preserve">Pub date: </w:t>
      </w:r>
      <w:r>
        <w:t>2026-07-29 00:00:00+00:00</w:t>
      </w:r>
      <w:r>
        <w:t xml:space="preserve">    </w:t>
      </w:r>
      <w:r>
        <w:rPr>
          <w:b/>
        </w:rPr>
        <w:t xml:space="preserve">DOI: </w:t>
      </w:r>
      <w:hyperlink r:id="rId1413">
        <w:r>
          <w:rPr>
            <w:color w:val="1155CC"/>
            <w:u w:val="single"/>
          </w:rPr>
          <w:t>10.1038/d41586-026-02367-x</w:t>
        </w:r>
      </w:hyperlink>
    </w:p>
    <w:p>
      <w:pPr>
        <w:spacing w:before="0" w:after="120"/>
      </w:pPr>
      <w:r>
        <w:rPr>
          <w:b/>
        </w:rPr>
        <w:t xml:space="preserve">Notes: </w:t>
      </w:r>
      <w:r>
        <w:t>abstract_source=rss_nature</w:t>
      </w:r>
    </w:p>
    <w:p>
      <w:pPr>
        <w:spacing w:before="0" w:after="80" w:lineRule="auto" w:line="276"/>
      </w:pPr>
      <w:r>
        <w:rPr>
          <w:b/>
        </w:rPr>
        <w:t xml:space="preserve">摘要（ZH）: </w:t>
      </w:r>
      <w:r>
        <w:t>近 400 个结构的发现可能有助于重新定义阿奎里文明的真实规模，此外，还有最早的鱿鱼祖先化石的微小化石。</w:t>
      </w:r>
    </w:p>
    <w:p>
      <w:pPr>
        <w:spacing w:before="0" w:after="200" w:lineRule="auto" w:line="276"/>
      </w:pPr>
      <w:r>
        <w:rPr>
          <w:b/>
        </w:rPr>
        <w:t xml:space="preserve">Abstract (EN): </w:t>
      </w:r>
      <w:r>
        <w:t>Discovery of almost 400 structures may help to redefine the true scale of the Aquiry civilization — plus, tiny fossils of the earliest fossil squid ancestor.</w:t>
      </w:r>
    </w:p>
    <w:p>
      <w:pPr>
        <w:spacing w:before="120" w:after="120"/>
      </w:pPr>
      <w:r>
        <w:rPr>
          <w:sz w:val="18"/>
        </w:rPr>
        <w:t>——————————————————————————————————————————————————————————————————————</w:t>
      </w:r>
    </w:p>
    <w:p>
      <w:pPr>
        <w:spacing w:before="160" w:after="40" w:line="240" w:lineRule="auto"/>
      </w:pPr>
      <w:r>
        <w:rPr>
          <w:b/>
        </w:rPr>
        <w:t xml:space="preserve">[541] </w:t>
      </w:r>
      <w:hyperlink r:id="rId1414">
        <w:r>
          <w:rPr>
            <w:color w:val="1155CC"/>
            <w:u w:val="single"/>
          </w:rPr>
          <w:t>机械驱动、磷光增强的基于 HOF 的仿生双通道传感器，用于通过光子通量调制实现位移和角度的精密双模态监测</w:t>
        </w:r>
      </w:hyperlink>
    </w:p>
    <w:p>
      <w:pPr>
        <w:spacing w:before="0" w:after="80"/>
      </w:pPr>
      <w:r>
        <w:rPr>
          <w:i/>
          <w:sz w:val="20"/>
        </w:rPr>
        <w:t>EN: Mechanistic‐Driven, Phosphorescence‐Enhanced HOF‐Based Bionic Dual‐Channel Sensor for Precision Bimodal Monitoring of Displacement and Angle Enabled by Photon Flux Modulation</w:t>
      </w:r>
    </w:p>
    <w:p>
      <w:pPr>
        <w:spacing w:before="0" w:after="120"/>
      </w:pPr>
      <w:r>
        <w:rPr>
          <w:b/>
        </w:rPr>
        <w:t xml:space="preserve">Source: </w:t>
      </w:r>
      <w:r>
        <w:t>Wiley: Advanced Materials: Table of Contents</w:t>
      </w:r>
      <w:r>
        <w:t xml:space="preserve">    </w:t>
      </w:r>
      <w:r>
        <w:rPr>
          <w:b/>
        </w:rPr>
        <w:t xml:space="preserve">Pub date: </w:t>
      </w:r>
      <w:r>
        <w:t>2026-07-29 06:02:38+00:00</w:t>
      </w:r>
      <w:r>
        <w:t xml:space="preserve">    </w:t>
      </w:r>
      <w:r>
        <w:rPr>
          <w:b/>
        </w:rPr>
        <w:t xml:space="preserve">DOI: </w:t>
      </w:r>
      <w:hyperlink r:id="rId1415">
        <w:r>
          <w:rPr>
            <w:color w:val="1155CC"/>
            <w:u w:val="single"/>
          </w:rPr>
          <w:t>10.1002/adma.74339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年来，人们对用于物理刺激传感的柔性发光器件越来越感兴趣，大量研究探索了薄膜变形与外部物理场之间的耦合。然而，宏观物理运动与由此产生的发光响应之间的直接机制联系仍然难以捉摸。在此，通过喷涂方法制备的磷光增强氢键有机骨架棉纤维膜（PBA@TPA-PEA@CF）与自建机械驱动平台集成，构建了荧光磷光双通道传感系统。这种受昆虫触角启发的传感系统能够高速、高灵敏度、高精度地测量位移和角旋转。至关重要的是，位移和角度不仅作为输入参数，而且作为直接将机械输入耦合到光学输出的内在转换变量。光机耦合模拟揭示了一种以前未被认识的物理刺激发光传感机制：机械运动动态调制入射光子通量和有效光密度，从而以确定性、可逆的方式控制发光强度变化。进一步实现了两个不同应用的实际实用性：（i）通过智能可穿戴纺织品实时、非接触式监测机械臂运动学，以及（ii）可逆、运动触发的发光开关。这项工作建立了机械发光转换的机制框架，pavi</w:t>
      </w:r>
    </w:p>
    <w:p>
      <w:pPr>
        <w:spacing w:before="0" w:after="200" w:lineRule="auto" w:line="276"/>
      </w:pPr>
      <w:r>
        <w:rPr>
          <w:b/>
        </w:rPr>
        <w:t xml:space="preserve">Abstract (EN): </w:t>
      </w:r>
      <w:r>
        <w:t>Recent years have witnessed growing interest in flexible luminescent devices for physical stimulus sensing, with numerous studies exploring the coupling between film deformation and external physical fields. However, the direct mechanism connection between macroscopic physical motion and the resulting luminescent response has remained elusive. Herein, a phosphorescence‐enhanced hydrogen‐bonded organic framework‐based cotton fiber film (PBA@TPA‐PEA@CF)—fabricated via spraying method—was integrated with a self‐built mechanically actuated platform to construct a fluorescence‐phosphorescence dual‐channel sensing system. This insect antennae‐inspired sensing system enables high‐speed, high‐sensitivity, and high‐precision measurement of displacement and angular rotation. Crucially, displacement and angle function not merely as input parameters but as intrinsic transduction variables that directly couple mechanical input to optical output. Opto‐mechanical coupling simulations uncover a previously unrecognized mechanism for physical stimulus luminescence sensing: mechanical motion dynamically modulates both the incident photon flux and effective optical density, thereby governing luminescence intensity variations in a deterministic, reversible manner. Practical utility in two distinct applications was further achieved: (i) real‐time, noncontact monitoring of robotic arm kinematics via smart wearable textiles, and (ii) a reversible, motion‐triggered luminescent switch. This work establishes a mechanism framework for mechanical luminescence conversion, paving the way for next‐generation, precision‐oriented flexible luminescent sensors tailored for advanced physical sensing.</w:t>
      </w:r>
    </w:p>
    <w:p>
      <w:pPr>
        <w:spacing w:before="120" w:after="120"/>
      </w:pPr>
      <w:r>
        <w:rPr>
          <w:sz w:val="18"/>
        </w:rPr>
        <w:t>——————————————————————————————————————————————————————————————————————</w:t>
      </w:r>
    </w:p>
    <w:p>
      <w:pPr>
        <w:spacing w:before="160" w:after="40" w:line="240" w:lineRule="auto"/>
      </w:pPr>
      <w:r>
        <w:rPr>
          <w:b/>
        </w:rPr>
        <w:t xml:space="preserve">[542] </w:t>
      </w:r>
      <w:hyperlink r:id="rId1416">
        <w:r>
          <w:rPr>
            <w:color w:val="1155CC"/>
            <w:u w:val="single"/>
          </w:rPr>
          <w:t>手性二氧化钛纳米粒子诱导乳腺癌肺转移</w:t>
        </w:r>
      </w:hyperlink>
    </w:p>
    <w:p>
      <w:pPr>
        <w:spacing w:before="0" w:after="80"/>
      </w:pPr>
      <w:r>
        <w:rPr>
          <w:i/>
          <w:sz w:val="20"/>
        </w:rPr>
        <w:t>EN: Chiral Titanium Dioxide Nanoparticles Induce Breast Cancer Lung Metastasis</w:t>
      </w:r>
    </w:p>
    <w:p>
      <w:pPr>
        <w:spacing w:before="0" w:after="120"/>
      </w:pPr>
      <w:r>
        <w:rPr>
          <w:b/>
        </w:rPr>
        <w:t xml:space="preserve">Source: </w:t>
      </w:r>
      <w:r>
        <w:t>Wiley: Advanced Materials: Table of Contents</w:t>
      </w:r>
      <w:r>
        <w:t xml:space="preserve">    </w:t>
      </w:r>
      <w:r>
        <w:rPr>
          <w:b/>
        </w:rPr>
        <w:t xml:space="preserve">Pub date: </w:t>
      </w:r>
      <w:r>
        <w:t>2026-07-29 06:39:18+00:00</w:t>
      </w:r>
      <w:r>
        <w:t xml:space="preserve">    </w:t>
      </w:r>
      <w:r>
        <w:rPr>
          <w:b/>
        </w:rPr>
        <w:t xml:space="preserve">DOI: </w:t>
      </w:r>
      <w:hyperlink r:id="rId1417">
        <w:r>
          <w:rPr>
            <w:color w:val="1155CC"/>
            <w:u w:val="single"/>
          </w:rPr>
          <w:t>10.1002/adma.74340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在这项研究中，手性二氧化钛纳米颗粒（NP）具有</w:t>
      </w:r>
      <w:r>
        <w:t xml:space="preserve"> </w:t>
      </w:r>
      <w:r>
        <w:t>克</w:t>
      </w:r>
      <w:r>
        <w:t xml:space="preserve"> </w:t>
      </w:r>
      <w:r>
        <w:t>‐在 930 nm 波长处制造了 0.008 的因子，并系统地研究了它们对乳腺癌转移的影响。细胞实验表明左手二氧化钛纳米颗粒（</w:t>
      </w:r>
      <w:r>
        <w:t xml:space="preserve"> </w:t>
      </w:r>
      <w:r>
        <w:t>L</w:t>
      </w:r>
      <w:r>
        <w:t xml:space="preserve"> </w:t>
      </w:r>
      <w:r>
        <w:t>－二氧化钛</w:t>
      </w:r>
      <w:r>
        <w:rPr>
          <w:vertAlign w:val="subscript"/>
        </w:rPr>
        <w:t>2</w:t>
      </w:r>
      <w:r>
        <w:t>NPs）通过Toll样受体4进入MODE-K肠上皮细胞，触发细胞内活性氧（ROS）的产生，激活核因子κB和NOD样受体热蛋白结构域相关蛋白3（NLRP3）信号通路，驱动炎症介质的释放，随后诱导4T1-luc乳腺癌细胞上皮间质转化（EMT）并重塑肺微环境，显着增强肿瘤细胞的迁移和粘附。 4T1-luc 细胞与 3B-11 肺内皮细胞的关系，在乳腺癌小鼠模型中得到验证，表明</w:t>
      </w:r>
      <w:r>
        <w:t xml:space="preserve"> </w:t>
      </w:r>
      <w:r>
        <w:t>L</w:t>
      </w:r>
      <w:r>
        <w:t xml:space="preserve"> </w:t>
      </w:r>
      <w:r>
        <w:t>－二氧化钛</w:t>
      </w:r>
      <w:r>
        <w:rPr>
          <w:vertAlign w:val="subscript"/>
        </w:rPr>
        <w:t>2</w:t>
      </w:r>
      <w:r>
        <w:t>纳米颗粒不仅增加了原发肿瘤的迁移和侵袭能力，而且还塑造了肺部微环境，有利于循环肿瘤细胞（CTC）的定植，从而加速乳腺癌肺转移。这项工作系统地阐明了手性 TiO</w:t>
      </w:r>
      <w:r>
        <w:rPr>
          <w:vertAlign w:val="subscript"/>
        </w:rPr>
        <w:t>2</w:t>
      </w:r>
      <w:r>
        <w:t>NPs通过ROS炎症信号调节远端微环境</w:t>
      </w:r>
    </w:p>
    <w:p>
      <w:pPr>
        <w:spacing w:before="0" w:after="200" w:lineRule="auto" w:line="276"/>
      </w:pPr>
      <w:r>
        <w:rPr>
          <w:b/>
        </w:rPr>
        <w:t xml:space="preserve">Abstract (EN): </w:t>
      </w:r>
      <w:r>
        <w:t>In this study, chiral titanium dioxide nanoparticles (NPs) with a</w:t>
      </w:r>
      <w:r>
        <w:t xml:space="preserve"> </w:t>
      </w:r>
      <w:r>
        <w:t>g</w:t>
      </w:r>
      <w:r>
        <w:t xml:space="preserve"> </w:t>
      </w:r>
      <w:r>
        <w:t>‐factor of 0.008 at 930 nm wavelength were fabricated, and their effect on breast cancer metastasis was systematically investigated. Cellular experiments demonstrated that left‐handed titanium dioxide NPs (</w:t>
      </w:r>
      <w:r>
        <w:t xml:space="preserve"> </w:t>
      </w:r>
      <w:r>
        <w:t>L</w:t>
      </w:r>
      <w:r>
        <w:t xml:space="preserve"> </w:t>
      </w:r>
      <w:r>
        <w:t>‐TiO</w:t>
      </w:r>
      <w:r>
        <w:rPr>
          <w:vertAlign w:val="subscript"/>
        </w:rPr>
        <w:t>2</w:t>
      </w:r>
      <w:r>
        <w:t>NPs) enter MODE‑K intestinal epithelial cells via toll‑like receptor 4 and trigger the generation of intracellular reactive oxygen species (ROS), which activating the nuclear factor‑κB and NOD‑like receptor thermal protein domain‑associated protein 3 (NLRP3) signaling pathway to drive the release of inflammatory mediators, which subsequently induced epithelial‑mesenchymal transition (EMT) in 4T1‑luc breast cancer cells and remodel the lung microenvironment, significantly enhancing the migration and adhesion of 4T1‑luc cells to 3B‑11 lung endothelial cells, verified in a mouse model of breast cancer, indicating that</w:t>
      </w:r>
      <w:r>
        <w:t xml:space="preserve"> </w:t>
      </w:r>
      <w:r>
        <w:t>L</w:t>
      </w:r>
      <w:r>
        <w:t xml:space="preserve"> </w:t>
      </w:r>
      <w:r>
        <w:t>‐TiO</w:t>
      </w:r>
      <w:r>
        <w:rPr>
          <w:vertAlign w:val="subscript"/>
        </w:rPr>
        <w:t>2</w:t>
      </w:r>
      <w:r>
        <w:t>NPs not only increased the migratory and invasive capacities of the primary tumor, but also shaped a microenvironment in the lungs that facilitated the colonization of circulating tumor cells (CTCs), thereby driving the acceleration of breast cancer lung metastasis. This work systematically elucidates that chiral TiO</w:t>
      </w:r>
      <w:r>
        <w:rPr>
          <w:vertAlign w:val="subscript"/>
        </w:rPr>
        <w:t>2</w:t>
      </w:r>
      <w:r>
        <w:t>NPs regulate the distal microenvironment through the ROS‐inflammatory signaling cascade to accelerate lung metastasis of breast cancer, suggesting that the risk of inducing tumor metastasis should be carefully evaluated when designing chiral nanomedicines.</w:t>
      </w:r>
    </w:p>
    <w:p>
      <w:pPr>
        <w:spacing w:before="120" w:after="120"/>
      </w:pPr>
      <w:r>
        <w:rPr>
          <w:sz w:val="18"/>
        </w:rPr>
        <w:t>——————————————————————————————————————————————————————————————————————</w:t>
      </w:r>
    </w:p>
    <w:p>
      <w:pPr>
        <w:spacing w:before="160" w:after="40" w:line="240" w:lineRule="auto"/>
      </w:pPr>
      <w:r>
        <w:rPr>
          <w:b/>
        </w:rPr>
        <w:t xml:space="preserve">[543] </w:t>
      </w:r>
      <w:hyperlink r:id="rId1418">
        <w:r>
          <w:rPr>
            <w:color w:val="1155CC"/>
            <w:u w:val="single"/>
          </w:rPr>
          <w:t>2020年Facebook和Instagram上的不可信来源：曝光集中但没有态度影响</w:t>
        </w:r>
      </w:hyperlink>
    </w:p>
    <w:p>
      <w:pPr>
        <w:spacing w:before="0" w:after="80"/>
      </w:pPr>
      <w:r>
        <w:rPr>
          <w:i/>
          <w:sz w:val="20"/>
        </w:rPr>
        <w:t>EN: Untrustworthy sources on Facebook and Instagram in 2020: Concentrated exposure but no attitudinal effects</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19">
        <w:r>
          <w:rPr>
            <w:color w:val="1155CC"/>
            <w:u w:val="single"/>
          </w:rPr>
          <w:t>10.1126/sciadv.adz6502</w:t>
        </w:r>
      </w:hyperlink>
    </w:p>
    <w:p>
      <w:pPr>
        <w:spacing w:before="0" w:after="120"/>
      </w:pPr>
      <w:r>
        <w:rPr>
          <w:b/>
        </w:rPr>
        <w:t xml:space="preserve">Notes: </w:t>
      </w:r>
      <w:r>
        <w:t>abstract_source=crossref</w:t>
      </w:r>
    </w:p>
    <w:p>
      <w:pPr>
        <w:spacing w:before="0" w:after="80" w:lineRule="auto" w:line="276"/>
      </w:pPr>
      <w:r>
        <w:rPr>
          <w:b/>
        </w:rPr>
        <w:t xml:space="preserve">摘要（ZH）: </w:t>
      </w:r>
      <w:r>
        <w:t>尽管人们担心在社交媒体上接触到来自不可信来源的内容，但人们对接触其内容的频率或影响知之甚少。我们检查了 Facebook 和 Instagram 上所有活跃美国成年人的 2020 年数据，以衡量 Facebook 上的页面、群组和网域以及 Instagram 上的公共账户中反复发布错误信息的内容的曝光度。我们发现，普通用户在他们的提要中看到的来自这些不可信来源的内容相对较少；暴露高度集中。 2020 年选举期间，在同意的用户中进行了为期数月的现场实验，在两个平台上将来自不可信来源的内容的基于 Feed 的暴露减少了约 70%，但对大量预先注册的结果没有可测量的影响，即使是在预处理暴露较高的参与者中也是如此。我们的结果表明，可行的平台干预可以成功减少对不可信来源内容的接触，但表明这些变化不太可能对态度和信仰产生直接影响。</w:t>
      </w:r>
    </w:p>
    <w:p>
      <w:pPr>
        <w:spacing w:before="0" w:after="200" w:lineRule="auto" w:line="276"/>
      </w:pPr>
      <w:r>
        <w:rPr>
          <w:b/>
        </w:rPr>
        <w:t xml:space="preserve">Abstract (EN): </w:t>
      </w:r>
      <w:r>
        <w:t>Despite concern about exposure to content from untrustworthy sources on social media, little is known about the frequency or effects of exposure to their content. We examine 2020 data from all active US adults on Facebook and Instagram to measure exposure to content from Pages, groups, and web domains on Facebook and public accounts on Instagram that repeatedly publish misinformation. We find that average users saw relatively little content in their feeds from these untrustworthy sources; exposure was highly concentrated. A multimonth field experiment during the 2020 election among consenting users reduced feed-based exposure to content from untrustworthy sources by approximately 70% on both platforms but had no measurable effects on numerous preregistered outcomes, even among participants with high pretreatment exposure. Our results demonstrate that a feasible platform intervention can successfully reduce exposure to content from untrustworthy sources but suggest that these changes are unlikely to have immediate effects on attitudes and beliefs.</w:t>
      </w:r>
    </w:p>
    <w:p>
      <w:pPr>
        <w:spacing w:before="120" w:after="120"/>
      </w:pPr>
      <w:r>
        <w:rPr>
          <w:sz w:val="18"/>
        </w:rPr>
        <w:t>——————————————————————————————————————————————————————————————————————</w:t>
      </w:r>
    </w:p>
    <w:p>
      <w:pPr>
        <w:spacing w:before="160" w:after="40" w:line="240" w:lineRule="auto"/>
      </w:pPr>
      <w:r>
        <w:rPr>
          <w:b/>
        </w:rPr>
        <w:t xml:space="preserve">[544] </w:t>
      </w:r>
      <w:hyperlink r:id="rId1420">
        <w:r>
          <w:rPr>
            <w:color w:val="1155CC"/>
            <w:u w:val="single"/>
          </w:rPr>
          <w:t>双向基因共享网络的生成模型</w:t>
        </w:r>
      </w:hyperlink>
    </w:p>
    <w:p>
      <w:pPr>
        <w:spacing w:before="0" w:after="80"/>
      </w:pPr>
      <w:r>
        <w:rPr>
          <w:i/>
          <w:sz w:val="20"/>
        </w:rPr>
        <w:t>EN: A generative model for bipartite gene-sharing networks</w:t>
      </w:r>
    </w:p>
    <w:p>
      <w:pPr>
        <w:spacing w:before="0" w:after="120"/>
      </w:pPr>
      <w:r>
        <w:rPr>
          <w:b/>
        </w:rPr>
        <w:t xml:space="preserve">Source: </w:t>
      </w:r>
      <w:r>
        <w:t>Proceedings of the National Academy of Sciences: Keyword search for query</w:t>
      </w:r>
      <w:r>
        <w:t xml:space="preserve">    </w:t>
      </w:r>
      <w:r>
        <w:rPr>
          <w:b/>
        </w:rPr>
        <w:t xml:space="preserve">Pub date: </w:t>
      </w:r>
      <w:r>
        <w:t>2026-07-29 07:00:00+00:00</w:t>
      </w:r>
      <w:r>
        <w:t xml:space="preserve">    </w:t>
      </w:r>
      <w:r>
        <w:rPr>
          <w:b/>
        </w:rPr>
        <w:t xml:space="preserve">DOI: </w:t>
      </w:r>
      <w:hyperlink r:id="rId1421">
        <w:r>
          <w:rPr>
            <w:color w:val="1155CC"/>
            <w:u w:val="single"/>
          </w:rPr>
          <w:t>10.1073/pnas.2613187123</w:t>
        </w:r>
      </w:hyperlink>
    </w:p>
    <w:p>
      <w:pPr>
        <w:spacing w:before="0" w:after="120"/>
      </w:pPr>
      <w:r>
        <w:rPr>
          <w:b/>
        </w:rPr>
        <w:t xml:space="preserve">Notes: </w:t>
      </w:r>
      <w:r>
        <w:t>abstract_source=crossref</w:t>
      </w:r>
    </w:p>
    <w:p>
      <w:pPr>
        <w:spacing w:before="0" w:after="80" w:lineRule="auto" w:line="276"/>
      </w:pPr>
      <w:r>
        <w:rPr>
          <w:b/>
        </w:rPr>
        <w:t xml:space="preserve">摘要（ZH）: </w:t>
      </w:r>
      <w:r>
        <w:t>基因共享网络为研究病毒和移动遗传元件的进化提供了强大的框架。这些将基因与包含它们的基因组连接起来的二分网络表现出特征程度分布：基因的无标度分布和基因组的指数式衰减。在这里，我们提出了一个机制模型，通过基本的进化过程来解释这些模式，包括水平基因转移、新基因的捕获、新基因组的出现和基因丢失。使用平均场近似，我们推导了渐近基因和基因组度分布的解析表达式，概括了基因的幂律分布和基因组的指数分布。数值模拟验证了这些预测并产生与 dsDNA 病毒、RNA 病毒和原核泛基因组的经验数据非常吻合的参数值。这个只有两个参数的简单模型为双向基因共享网络提供了生成框架，为驱动基因组可塑性的主要进化力量提供了定性和定量的见解。将基因丢失率设置为零，模型的基因和基因组程度分布与经验观察到的分布非常吻合。因此，病毒的进化似乎由基因获得主导，这与病毒进化的独立重建的结果一致。</w:t>
      </w:r>
    </w:p>
    <w:p>
      <w:pPr>
        <w:spacing w:before="0" w:after="200" w:lineRule="auto" w:line="276"/>
      </w:pPr>
      <w:r>
        <w:rPr>
          <w:b/>
        </w:rPr>
        <w:t xml:space="preserve">Abstract (EN): </w:t>
      </w:r>
      <w:r>
        <w:t>Gene-sharing networks provide a powerful framework to study the evolution of viruses and mobile genetic elements. These bipartite networks, which link genes to the genomes that contain them, exhibit characteristic degree distributions: a scale-free distribution for genes and an exponential-like decay for genomes. Here, we propose a mechanistic model that explains these patterns through fundamental evolutionary processes including horizontal gene transfer, capture of new genes, emergence of new genomes, and gene loss. Using a mean-field approximation, we derive analytical expressions for the asymptotic gene and genome degree distributions, recapitulating a power-law distribution for genes and an exponential distribution for genomes. Numerical simulations validate these predictions and yield parameter values that closely fit empirical data from dsDNA viruses, RNA viruses, and prokaryotic pangenomes. This simple model with only two parameters provides a generative framework for bipartite gene-sharing networks, offering qualitative and quantitative insights into the main evolutionary forces driving genome plasticity. Setting the gene loss rate to zero, the gene and genome degree distributions of the model closely fit the empirically observed distributions. Thus, evolution of viruses appears to be dominated by gene gain, in agreement with the results of independent reconstructions of viral evolution.</w:t>
      </w:r>
    </w:p>
    <w:p>
      <w:pPr>
        <w:spacing w:before="120" w:after="120"/>
      </w:pPr>
      <w:r>
        <w:rPr>
          <w:sz w:val="18"/>
        </w:rPr>
        <w:t>——————————————————————————————————————————————————————————————————————</w:t>
      </w:r>
    </w:p>
    <w:p>
      <w:pPr>
        <w:spacing w:before="160" w:after="40" w:line="240" w:lineRule="auto"/>
      </w:pPr>
      <w:r>
        <w:rPr>
          <w:b/>
        </w:rPr>
        <w:t xml:space="preserve">[545] </w:t>
      </w:r>
      <w:hyperlink r:id="rId1422">
        <w:r>
          <w:rPr>
            <w:color w:val="1155CC"/>
            <w:u w:val="single"/>
          </w:rPr>
          <w:t>更正 Newman 等人，EPXH2 编码的可溶性环氧化物水解酶是一种具有新型脂质磷酸酶活性的双功能酶</w:t>
        </w:r>
      </w:hyperlink>
    </w:p>
    <w:p>
      <w:pPr>
        <w:spacing w:before="0" w:after="80"/>
      </w:pPr>
      <w:r>
        <w:rPr>
          <w:i/>
          <w:sz w:val="20"/>
        </w:rPr>
        <w:t>EN: Correction for Newman et al., The soluble epoxide hydrolase encoded by EPXH2 is a bifunctional enzyme with novel lipid phosphate phosphatase activity</w:t>
      </w:r>
    </w:p>
    <w:p>
      <w:pPr>
        <w:spacing w:before="0" w:after="120"/>
      </w:pPr>
      <w:r>
        <w:rPr>
          <w:b/>
        </w:rPr>
        <w:t xml:space="preserve">Source: </w:t>
      </w:r>
      <w:r>
        <w:t>Proceedings of the National Academy of Sciences: Keyword search for query</w:t>
      </w:r>
      <w:r>
        <w:t xml:space="preserve">    </w:t>
      </w:r>
      <w:r>
        <w:rPr>
          <w:b/>
        </w:rPr>
        <w:t xml:space="preserve">Pub date: </w:t>
      </w:r>
      <w:r>
        <w:t>2026-07-29 07:00:00+00:00</w:t>
      </w:r>
      <w:r>
        <w:t xml:space="preserve">    </w:t>
      </w:r>
      <w:r>
        <w:rPr>
          <w:b/>
        </w:rPr>
        <w:t xml:space="preserve">DOI: </w:t>
      </w:r>
      <w:hyperlink r:id="rId1423">
        <w:r>
          <w:rPr>
            <w:color w:val="1155CC"/>
            <w:u w:val="single"/>
          </w:rPr>
          <w:t>10.1073/pnas.2625005123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[546] </w:t>
      </w:r>
      <w:hyperlink r:id="rId1424">
        <w:r>
          <w:rPr>
            <w:color w:val="1155CC"/>
            <w:u w:val="single"/>
          </w:rPr>
          <w:t>矮牵牛异四聚体苯甲醛合酶的结构和机制基础</w:t>
        </w:r>
      </w:hyperlink>
    </w:p>
    <w:p>
      <w:pPr>
        <w:spacing w:before="0" w:after="80"/>
      </w:pPr>
      <w:r>
        <w:rPr>
          <w:i/>
          <w:sz w:val="20"/>
        </w:rPr>
        <w:t>EN: Structural and mechanistic basis for the heterotetrameric benzaldehyde synthase from petunia</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25">
        <w:r>
          <w:rPr>
            <w:color w:val="1155CC"/>
            <w:u w:val="single"/>
          </w:rPr>
          <w:t>10.1126/sciadv.aec7733</w:t>
        </w:r>
      </w:hyperlink>
    </w:p>
    <w:p>
      <w:pPr>
        <w:spacing w:before="0" w:after="120"/>
      </w:pPr>
      <w:r>
        <w:rPr>
          <w:b/>
        </w:rPr>
        <w:t xml:space="preserve">Notes: </w:t>
      </w:r>
      <w:r>
        <w:t>abstract_source=crossref</w:t>
      </w:r>
    </w:p>
    <w:p>
      <w:pPr>
        <w:spacing w:before="0" w:after="80" w:lineRule="auto" w:line="276"/>
      </w:pPr>
      <w:r>
        <w:rPr>
          <w:b/>
        </w:rPr>
        <w:t xml:space="preserve">摘要（ZH）: </w:t>
      </w:r>
      <w:r>
        <w:t>苯甲醛是植物产生的一种广泛存在的挥发性化合物。其最终的生物合成步骤由苯甲醛合酶 (BS) 催化，苯甲醛合酶是一种由 α 和 β 亚基组成的过氧化物酶体酶，均属于短链脱氢酶/还原酶 (SDR) 家族。在这里，我们报告了晶体结构</w:t>
      </w:r>
      <w:r>
        <w:t xml:space="preserve"> </w:t>
      </w:r>
      <w:r>
        <w:t>矮牵牛</w:t>
      </w:r>
      <w:r>
        <w:t xml:space="preserve"> </w:t>
      </w:r>
      <w:r>
        <w:t>BS，揭示了 α</w:t>
      </w:r>
      <w:r>
        <w:rPr>
          <w:vertAlign w:val="subscript"/>
        </w:rPr>
        <w:t>2</w:t>
      </w:r>
      <w:r>
        <w:t>β</w:t>
      </w:r>
      <w:r>
        <w:rPr>
          <w:vertAlign w:val="subscript"/>
        </w:rPr>
        <w:t>2</w:t>
      </w:r>
      <w:r>
        <w:t>异四聚体排列。结构和生化分析表明，α 亚基包含典型的催化位点，而 β 亚基已失去催化活性，但对于异四聚体组装至关重要。值得注意的是，β 亚基的 C 末端延伸到对角位置的 α 亚基中，有助于形成复合苯甲酰辅酶 A 底物结合袋。定点诱变和亚基混合实验支持异四聚体中原聚体的非合作性、加性贡献。这项工作将 BS 确立为一种罕见的异四聚体植物 SDR，并展示了亚基特化和亚基间排列如何实现功能，为理解和设计多聚酶复合物提供了原理。</w:t>
      </w:r>
    </w:p>
    <w:p>
      <w:pPr>
        <w:spacing w:before="0" w:after="200" w:lineRule="auto" w:line="276"/>
      </w:pPr>
      <w:r>
        <w:rPr>
          <w:b/>
        </w:rPr>
        <w:t xml:space="preserve">Abstract (EN): </w:t>
      </w:r>
      <w:r>
        <w:t>Benzaldehyde is a widespread volatile compound produced by plants. Its final biosynthetic step is catalyzed by benzaldehyde synthase (BS), a peroxisomal enzyme composed of α and β subunits, both belonging to the short-chain dehydrogenase/reductase (SDR) family. Here, we report the crystal structure of</w:t>
      </w:r>
      <w:r>
        <w:t xml:space="preserve"> </w:t>
      </w:r>
      <w:r>
        <w:t>Petunia hybrida</w:t>
      </w:r>
      <w:r>
        <w:t xml:space="preserve"> </w:t>
      </w:r>
      <w:r>
        <w:t>BS, which reveals an α</w:t>
      </w:r>
      <w:r>
        <w:rPr>
          <w:vertAlign w:val="subscript"/>
        </w:rPr>
        <w:t>2</w:t>
      </w:r>
      <w:r>
        <w:t>β</w:t>
      </w:r>
      <w:r>
        <w:rPr>
          <w:vertAlign w:val="subscript"/>
        </w:rPr>
        <w:t>2</w:t>
      </w:r>
      <w:r>
        <w:t>heterotetrameric arrangement. Structural and biochemical analyses show that the α subunits contain the canonical catalytic site, whereas the β subunits have lost catalytic activity but are essential for heterotetramer assembly. Notably, the C terminus of the β subunit extends into the diagonally positioned α subunit, contributing to the formation of the composite benzoyl-CoA substrate-binding pocket. Site-directed mutagenesis and subunit-mixing experiments support noncooperative, additive contributions of protomers within the heterotetramer. This work establishes BS as a rare heterotetrameric plant SDR and demonstrates how subunit specialization and intersubunit arrangement enable function, providing principles for understanding and engineering multimeric enzyme complexes.</w:t>
      </w:r>
    </w:p>
    <w:p>
      <w:pPr>
        <w:spacing w:before="120" w:after="120"/>
      </w:pPr>
      <w:r>
        <w:rPr>
          <w:sz w:val="18"/>
        </w:rPr>
        <w:t>——————————————————————————————————————————————————————————————————————</w:t>
      </w:r>
    </w:p>
    <w:p>
      <w:pPr>
        <w:spacing w:before="160" w:after="40" w:line="240" w:lineRule="auto"/>
      </w:pPr>
      <w:r>
        <w:rPr>
          <w:b/>
        </w:rPr>
        <w:t xml:space="preserve">[547] </w:t>
      </w:r>
      <w:hyperlink r:id="rId1426">
        <w:r>
          <w:rPr>
            <w:color w:val="1155CC"/>
            <w:u w:val="single"/>
          </w:rPr>
          <w:t>旱地气溶胶遥感：挑战、不确定性和前进道路</w:t>
        </w:r>
      </w:hyperlink>
    </w:p>
    <w:p>
      <w:pPr>
        <w:spacing w:before="0" w:after="80"/>
      </w:pPr>
      <w:r>
        <w:rPr>
          <w:i/>
          <w:sz w:val="20"/>
        </w:rPr>
        <w:t>EN: Remote sensing of aerosols over drylands: Challenges, uncertainties, and paths forward</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27">
        <w:r>
          <w:rPr>
            <w:color w:val="1155CC"/>
            <w:u w:val="single"/>
          </w:rPr>
          <w:t>10.1126/sciadv.aec4247</w:t>
        </w:r>
      </w:hyperlink>
    </w:p>
    <w:p>
      <w:pPr>
        <w:spacing w:before="0" w:after="120"/>
      </w:pPr>
      <w:r>
        <w:rPr>
          <w:b/>
        </w:rPr>
        <w:t xml:space="preserve">Notes: </w:t>
      </w:r>
      <w:r>
        <w:t>abstract_source=crossref</w:t>
      </w:r>
    </w:p>
    <w:p>
      <w:pPr>
        <w:spacing w:before="0" w:after="80" w:lineRule="auto" w:line="276"/>
      </w:pPr>
      <w:r>
        <w:rPr>
          <w:b/>
        </w:rPr>
        <w:t xml:space="preserve">摘要（ZH）: </w:t>
      </w:r>
      <w:r>
        <w:t>近几十年来，在卫星仪器的进步和 AERONET 等地面网络的扩展的推动下，大气气溶胶的遥感取得了长足的进步。虽然卫星气溶胶光学深度 (AOD) 检索与 AERONET 参考数据之间的一致性有所改善，但我们的分析强调了全球验证框架中一个关键但尚未得到充分认识的不平衡。具体来说，AERONET 站点不成比例地集中在城市和植被区域，其中深色表面上的细模式气溶胶有利于检索精度，而以明亮表面上的粗模式气溶胶为主的旱地的代表性不足近两倍。这种抽样偏差导致了全球验证结果的系统性扭曲。我们发现，近一半 MODIS 和 POLDER AOD 产品之间差异较大的全球网格单元位于埃指数值低于 0.75 的旱地。在这些地区，平均大气层顶部气溶胶辐射冷却比其他地区弱 0.24 瓦/平方米，相关不确定性高出 22%。这些发现强调，为了改进对全球气溶胶对气候影响的估计，需要一个基于表面类型和气溶胶状况的更加分层的验证框架，并且必须继续改进对旱地的地面观测，并在可能的情况下进行一些网络扩展。</w:t>
      </w:r>
    </w:p>
    <w:p>
      <w:pPr>
        <w:spacing w:before="0" w:after="200" w:lineRule="auto" w:line="276"/>
      </w:pPr>
      <w:r>
        <w:rPr>
          <w:b/>
        </w:rPr>
        <w:t xml:space="preserve">Abstract (EN): </w:t>
      </w:r>
      <w:r>
        <w:t>Remote sensing of atmospheric aerosols has advanced substantially over recent decades, driven by progress in satellite instrumentation and the expansion of ground-based networks such as AERONET. While agreement between satellite aerosol optical depth (AOD) retrievals and AERONET reference data has improved, our analysis highlights a critical yet underrecognized imbalance in global validation frameworks. Specifically, AERONET sites are disproportionately concentrated in urban and vegetated regions, where fine-mode aerosols over dark surfaces favor retrieval accuracy, while drylands, dominated by coarse-mode aerosols over bright surfaces, are underrepresented by nearly a factor of two. This sampling bias introduces a systematic distortion in global validation outcomes. We show that nearly half of the global grid cells with elevated disagreement between MODIS and POLDER AOD products are located in drylands with angström exponent values below 0.75. In these areas, the mean top-of-atmosphere aerosol radiative cooling is weaker by 0.24 watts per square meter than in other regions and has an associated uncertainty of 22% higher. These findings highlight that, for improving estimation of global aerosol effects on climate, there is a need for a more stratified validation framework based on surface type and aerosol regime and an importance of continuing improving ground-based observations over drylands, with some network expansion if possible.</w:t>
      </w:r>
    </w:p>
    <w:p>
      <w:pPr>
        <w:spacing w:before="120" w:after="120"/>
      </w:pPr>
      <w:r>
        <w:rPr>
          <w:sz w:val="18"/>
        </w:rPr>
        <w:t>——————————————————————————————————————————————————————————————————————</w:t>
      </w:r>
    </w:p>
    <w:p>
      <w:pPr>
        <w:spacing w:before="160" w:after="40" w:line="240" w:lineRule="auto"/>
      </w:pPr>
      <w:r>
        <w:rPr>
          <w:b/>
        </w:rPr>
        <w:t xml:space="preserve">[548] </w:t>
      </w:r>
      <w:hyperlink r:id="rId1428">
        <w:r>
          <w:rPr>
            <w:color w:val="1155CC"/>
            <w:u w:val="single"/>
          </w:rPr>
          <w:t>体内肠内分泌 K 细胞中 Gi 信号的改变导致葡萄糖稳态的显着变化</w:t>
        </w:r>
      </w:hyperlink>
    </w:p>
    <w:p>
      <w:pPr>
        <w:spacing w:before="0" w:after="80"/>
      </w:pPr>
      <w:r>
        <w:rPr>
          <w:i/>
          <w:sz w:val="20"/>
        </w:rPr>
        <w:t>EN: Altered Gi signaling in enteroendocrine K cells in vivo causes pronounced changes in glucose homeostasis</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29">
        <w:r>
          <w:rPr>
            <w:color w:val="1155CC"/>
            <w:u w:val="single"/>
          </w:rPr>
          <w:t>10.1126/sciadv.aeb9805</w:t>
        </w:r>
      </w:hyperlink>
    </w:p>
    <w:p>
      <w:pPr>
        <w:spacing w:before="0" w:after="120"/>
      </w:pPr>
      <w:r>
        <w:rPr>
          <w:b/>
        </w:rPr>
        <w:t xml:space="preserve">Notes: </w:t>
      </w:r>
      <w:r>
        <w:t>abstract_source=crossref</w:t>
      </w:r>
    </w:p>
    <w:p>
      <w:pPr>
        <w:spacing w:before="0" w:after="80" w:lineRule="auto" w:line="276"/>
      </w:pPr>
      <w:r>
        <w:rPr>
          <w:b/>
        </w:rPr>
        <w:t xml:space="preserve">摘要（ZH）: </w:t>
      </w:r>
      <w:r>
        <w:t>葡萄糖依赖性促胰岛素多肽（GIP）是一种肠促胰岛素激素，可促进餐后胰岛素释放和血糖正常。尽管 GIP 是人类中主要的肠促胰岛素，但调节体内肠内分泌 K 细胞释放 GIP 的精确机制仍有待阐明。 G 的异源三聚体 G 蛋白</w:t>
      </w:r>
      <w:r>
        <w:t xml:space="preserve"> </w:t>
      </w:r>
      <w:r>
        <w:t>我</w:t>
      </w:r>
      <w:r>
        <w:t xml:space="preserve"> </w:t>
      </w:r>
      <w:r>
        <w:t>家庭调节许多关键的生理功能。为了探索这些蛋白质在体内调节 K 细胞功能中的潜在作用，我们分析了突变小鼠，这些小鼠使我们能够选择性地刺激 G</w:t>
      </w:r>
      <w:r>
        <w:t xml:space="preserve"> </w:t>
      </w:r>
      <w:r>
        <w:t>我</w:t>
      </w:r>
      <w:r>
        <w:t xml:space="preserve"> </w:t>
      </w:r>
      <w:r>
        <w:t>K 细胞或研究的缺乏功能性 G 的小鼠中的信号传导</w:t>
      </w:r>
      <w:r>
        <w:t xml:space="preserve"> </w:t>
      </w:r>
      <w:r>
        <w:t>我</w:t>
      </w:r>
      <w:r>
        <w:t xml:space="preserve"> </w:t>
      </w:r>
      <w:r>
        <w:t>仅在 K 细胞中。 K细胞G的刺激</w:t>
      </w:r>
      <w:r>
        <w:t xml:space="preserve"> </w:t>
      </w:r>
      <w:r>
        <w:t>我</w:t>
      </w:r>
      <w:r>
        <w:t xml:space="preserve"> </w:t>
      </w:r>
      <w:r>
        <w:t>体内和体外信号传导通过由 3ʹ-5ʹ-环单磷酸腺苷 2 依赖性途径直接激活的交换蛋白和各种代谢缺陷直接导致 GIP 释放减少。相比之下，K 细胞中此类 G 蛋白的失活导致血浆 GIP 水平升高，并显着改善瘦小鼠和肥胖小鼠的葡萄糖稳态。这些数据为 GIP 释放机制提供了重要的见解。</w:t>
      </w:r>
    </w:p>
    <w:p>
      <w:pPr>
        <w:spacing w:before="0" w:after="200" w:lineRule="auto" w:line="276"/>
      </w:pPr>
      <w:r>
        <w:rPr>
          <w:b/>
        </w:rPr>
        <w:t xml:space="preserve">Abstract (EN): </w:t>
      </w:r>
      <w:r>
        <w:t>Glucose-dependent insulinotropic polypeptide (GIP) is an incretin hormone that promotes postprandial insulin release and euglycemia. Although GIP is the dominant incretin in humans, the precise mechanisms regulating GIP release from enteroendocrine K cells in vivo remain to be elucidated. Heterotrimeric G proteins of the G</w:t>
      </w:r>
      <w:r>
        <w:t xml:space="preserve"> </w:t>
      </w:r>
      <w:r>
        <w:t>i</w:t>
      </w:r>
      <w:r>
        <w:t xml:space="preserve"> </w:t>
      </w:r>
      <w:r>
        <w:t>family regulate numerous key physiological functions. To explore the potential role of these proteins in modulating K cell function in vivo, we analyzed mutant mice that allowed us to selectively stimulate G</w:t>
      </w:r>
      <w:r>
        <w:t xml:space="preserve"> </w:t>
      </w:r>
      <w:r>
        <w:t>i</w:t>
      </w:r>
      <w:r>
        <w:t xml:space="preserve"> </w:t>
      </w:r>
      <w:r>
        <w:t>signaling in K cells or studied mice lacking functional G</w:t>
      </w:r>
      <w:r>
        <w:t xml:space="preserve"> </w:t>
      </w:r>
      <w:r>
        <w:t>i</w:t>
      </w:r>
      <w:r>
        <w:t xml:space="preserve"> </w:t>
      </w:r>
      <w:r>
        <w:t>in K cells only. Stimulation of K cell G</w:t>
      </w:r>
      <w:r>
        <w:t xml:space="preserve"> </w:t>
      </w:r>
      <w:r>
        <w:t>i</w:t>
      </w:r>
      <w:r>
        <w:t xml:space="preserve"> </w:t>
      </w:r>
      <w:r>
        <w:t>signaling in vivo and in vitro led to reduced GIP release via an exchange protein directly activated by 3ʹ-5ʹ-cyclic adenosine monophosphate 2–dependent pathway and various metabolic deficits. In contrast, inactivation of this class of G proteins in K cells caused elevated plasma GIP levels and pronounced improvements in glucose homeostasis in lean and obese mice. These data provide important insights into the mechanisms of GIP release.</w:t>
      </w:r>
    </w:p>
    <w:p>
      <w:pPr>
        <w:spacing w:before="120" w:after="120"/>
      </w:pPr>
      <w:r>
        <w:rPr>
          <w:sz w:val="18"/>
        </w:rPr>
        <w:t>——————————————————————————————————————————————————————————————————————</w:t>
      </w:r>
    </w:p>
    <w:p>
      <w:pPr>
        <w:spacing w:before="160" w:after="40" w:line="240" w:lineRule="auto"/>
      </w:pPr>
      <w:r>
        <w:rPr>
          <w:b/>
        </w:rPr>
        <w:t xml:space="preserve">[549] </w:t>
      </w:r>
      <w:hyperlink r:id="rId1430">
        <w:r>
          <w:rPr>
            <w:color w:val="1155CC"/>
            <w:u w:val="single"/>
          </w:rPr>
          <w:t>沉积物堆积率预测海洋化石组合的时间分辨率</w:t>
        </w:r>
      </w:hyperlink>
    </w:p>
    <w:p>
      <w:pPr>
        <w:spacing w:before="0" w:after="80"/>
      </w:pPr>
      <w:r>
        <w:rPr>
          <w:i/>
          <w:sz w:val="20"/>
        </w:rPr>
        <w:t>EN: Sediment accumulation rate predicts the temporal resolution of marine fossil assemblages</w:t>
      </w:r>
    </w:p>
    <w:p>
      <w:pPr>
        <w:spacing w:before="0" w:after="120"/>
      </w:pPr>
      <w:r>
        <w:rPr>
          <w:b/>
        </w:rPr>
        <w:t xml:space="preserve">Source: </w:t>
      </w:r>
      <w:r>
        <w:t>Proceedings of the National Academy of Sciences: Keyword search for query</w:t>
      </w:r>
      <w:r>
        <w:t xml:space="preserve">    </w:t>
      </w:r>
      <w:r>
        <w:rPr>
          <w:b/>
        </w:rPr>
        <w:t xml:space="preserve">Pub date: </w:t>
      </w:r>
      <w:r>
        <w:t>2026-07-29 07:00:00+00:00</w:t>
      </w:r>
      <w:r>
        <w:t xml:space="preserve">    </w:t>
      </w:r>
      <w:r>
        <w:rPr>
          <w:b/>
        </w:rPr>
        <w:t xml:space="preserve">DOI: </w:t>
      </w:r>
      <w:hyperlink r:id="rId1431">
        <w:r>
          <w:rPr>
            <w:color w:val="1155CC"/>
            <w:u w:val="single"/>
          </w:rPr>
          <w:t>10.1073/pnas.2615368123</w:t>
        </w:r>
      </w:hyperlink>
    </w:p>
    <w:p>
      <w:pPr>
        <w:spacing w:before="0" w:after="120"/>
      </w:pPr>
      <w:r>
        <w:rPr>
          <w:b/>
        </w:rPr>
        <w:t xml:space="preserve">Notes: </w:t>
      </w:r>
      <w:r>
        <w:t>abstract_source=crossref</w:t>
      </w:r>
    </w:p>
    <w:p>
      <w:pPr>
        <w:spacing w:before="0" w:after="80" w:lineRule="auto" w:line="276"/>
      </w:pPr>
      <w:r>
        <w:rPr>
          <w:b/>
        </w:rPr>
        <w:t xml:space="preserve">摘要（ZH）: </w:t>
      </w:r>
      <w:r>
        <w:t>时间平均（TA），即化石组合中非同期生物的混合，控制着古生物学数据的分辨率，并确定在地质记录中记录哪些生物和环境过程。为了评估 TA 的变化及其对外部驱动因素的依赖性，我们使用氨基酸和放射性碳方法对来自晚第四纪海洋钙化生物组合的 384 个样本中的 7,593 个样本进行了单独测定。双壳类软体动物在数据中占主导地位，但 65 个样本代表其他类群。通过样本中样本年龄的分散来测量 TA 的估计值，范围从几十年到几千年，并按比例缩放（</w:t>
      </w:r>
      <w:r>
        <w:t xml:space="preserve"> </w:t>
      </w:r>
      <w:r>
        <w:t>r</w:t>
      </w:r>
      <w:r>
        <w:rPr>
          <w:vertAlign w:val="subscript"/>
        </w:rPr>
        <w:t>2</w:t>
      </w:r>
      <w:r>
        <w:t>= 0.77）和沉积物积累时间（SAT），沉积物积累率（SAR）的倒数，说明了样本的地层跨度。与数值模型一致，观察到的 TA 估计值比 SAT 高一个数量级，并受到 SAT 相关的垂直混合和骨骼分解效应的调节。当 SAT 较短时，有效崩解速率太慢，无法抑制混合的放大作用，但当 SAT 较长时，其重要性会增加。 TA 对 SAT 的强烈依赖性表明 SAR 在控制化石组合的时间分辨率方面发挥着压倒性的作用，尽管已知其他相互作用的驱动因素会影响 TA。这些结果证明了一个长期被怀疑的古生物学规则：化石组合的时间分辨率可预测地随着SAR的变化而变化。这种直接的关系</w:t>
      </w:r>
    </w:p>
    <w:p>
      <w:pPr>
        <w:spacing w:before="0" w:after="200" w:lineRule="auto" w:line="276"/>
      </w:pPr>
      <w:r>
        <w:rPr>
          <w:b/>
        </w:rPr>
        <w:t xml:space="preserve">Abstract (EN): </w:t>
      </w:r>
      <w:r>
        <w:t>Time averaging (TA), the mixing of noncontemporaneous organisms in fossil assemblages, governs the resolution of paleontological data and determines which biological and environmental processes are recorded in the geological record. To assess variation in TA and its dependence on external drivers, we used amino acid and radiocarbon methods to individually date 7,593 specimens across 384 samples from late Quaternary marine assemblages of calcifying organisms. Bivalve mollusks dominated the data, but 65 samples represented other taxa. Estimates of TA, measured by dispersion of specimen ages within samples, ranged from decades to millennia and scaled proportionally (</w:t>
      </w:r>
      <w:r>
        <w:t xml:space="preserve"> </w:t>
      </w:r>
      <w:r>
        <w:t>r</w:t>
      </w:r>
      <w:r>
        <w:rPr>
          <w:vertAlign w:val="subscript"/>
        </w:rPr>
        <w:t>2</w:t>
      </w:r>
      <w:r>
        <w:t>= 0.77) with sediment accumulation time (SAT), an inverse of sediment accumulation rate (SAR) that accounts for the stratigraphic span of samples. In agreement with numerical modeling, the observed TA estimates were an order-of-magnitude higher than SAT and modulated by SAT-dependent effects of vertical mixing and skeletal disintegration. When SAT is short, effective disintegration rates are too slow to suppress the amplifying role of mixing but increase in importance when SAT is long. The strong dependency of TA on SAT points to the overriding role of SAR in controlling the temporal resolution of fossil assemblages, notwithstanding other interacting drivers known to influence TA. These results demonstrate a long-suspected paleontological rule: The temporal resolution of fossil assemblages scales predictably with SAR. This straightforward relationship provides a quantitative guideline for determining the temporal adequacy of sedimentary records as archives of Earth system processes.</w:t>
      </w:r>
    </w:p>
    <w:p>
      <w:pPr>
        <w:spacing w:before="120" w:after="120"/>
      </w:pPr>
      <w:r>
        <w:rPr>
          <w:sz w:val="18"/>
        </w:rPr>
        <w:t>——————————————————————————————————————————————————————————————————————</w:t>
      </w:r>
    </w:p>
    <w:p>
      <w:pPr>
        <w:spacing w:before="160" w:after="40" w:line="240" w:lineRule="auto"/>
      </w:pPr>
      <w:r>
        <w:rPr>
          <w:b/>
        </w:rPr>
        <w:t xml:space="preserve">[550] </w:t>
      </w:r>
      <w:hyperlink r:id="rId1432">
        <w:r>
          <w:rPr>
            <w:color w:val="1155CC"/>
            <w:u w:val="single"/>
          </w:rPr>
          <w:t>莫里斯·莫斯科维奇简介</w:t>
        </w:r>
      </w:hyperlink>
    </w:p>
    <w:p>
      <w:pPr>
        <w:spacing w:before="0" w:after="80"/>
      </w:pPr>
      <w:r>
        <w:rPr>
          <w:i/>
          <w:sz w:val="20"/>
        </w:rPr>
        <w:t>EN: Profile of Morris Moscovitch</w:t>
      </w:r>
    </w:p>
    <w:p>
      <w:pPr>
        <w:spacing w:before="0" w:after="120"/>
      </w:pPr>
      <w:r>
        <w:rPr>
          <w:b/>
        </w:rPr>
        <w:t xml:space="preserve">Source: </w:t>
      </w:r>
      <w:r>
        <w:t>Proceedings of the National Academy of Sciences: Keyword search for query</w:t>
      </w:r>
      <w:r>
        <w:t xml:space="preserve">    </w:t>
      </w:r>
      <w:r>
        <w:rPr>
          <w:b/>
        </w:rPr>
        <w:t xml:space="preserve">Pub date: </w:t>
      </w:r>
      <w:r>
        <w:t>2026-07-29 07:00:00+00:00</w:t>
      </w:r>
      <w:r>
        <w:t xml:space="preserve">    </w:t>
      </w:r>
      <w:r>
        <w:rPr>
          <w:b/>
        </w:rPr>
        <w:t xml:space="preserve">DOI: </w:t>
      </w:r>
      <w:hyperlink r:id="rId1433">
        <w:r>
          <w:rPr>
            <w:color w:val="1155CC"/>
            <w:u w:val="single"/>
          </w:rPr>
          <w:t>10.1073/pnas.2624049123</w:t>
        </w:r>
      </w:hyperlink>
    </w:p>
    <w:p>
      <w:pPr>
        <w:spacing w:before="0" w:after="120"/>
      </w:pPr>
      <w:r>
        <w:rPr>
          <w:b/>
        </w:rPr>
        <w:t xml:space="preserve">Notes: </w:t>
      </w:r>
      <w:r>
        <w:t>abstract_source=crossref</w:t>
      </w:r>
    </w:p>
    <w:p>
      <w:pPr>
        <w:spacing w:before="0" w:after="80" w:lineRule="auto" w:line="276"/>
      </w:pPr>
      <w:r>
        <w:rPr>
          <w:b/>
        </w:rPr>
        <w:t xml:space="preserve">摘要（ZH）: </w:t>
      </w:r>
      <w:r>
        <w:t>莫里斯·莫斯科维奇五年的职业生涯重塑了科学家对大脑如何存储和检索记忆的理解。他的多重痕迹理论挑战了海马体仅起临时存储作用的观点，表明丰富详细的情景记忆仍然无限期地依赖于海马体。莫斯科维奇证明，海马体不仅有助于记忆，还有助于想象力、解决问题和社会认知。他最近的研究表明，人们会发现他人记忆中丰富的情景，并利用这一信号来引导社会偏好。通过跨半球专业化和面部识别的合作研究，莫斯科维奇揭示了记忆是人类认知的核心。</w:t>
      </w:r>
    </w:p>
    <w:p>
      <w:pPr>
        <w:spacing w:before="0" w:after="200" w:lineRule="auto" w:line="276"/>
      </w:pPr>
      <w:r>
        <w:rPr>
          <w:b/>
        </w:rPr>
        <w:t xml:space="preserve">Abstract (EN): </w:t>
      </w:r>
      <w:r>
        <w:t>Morris Moscovitch’s five-decade career has reshaped scientists’ understanding of how the brain stores and retrieves memories. His Multiple Trace Theory challenged the view that the hippocampus serves only as temporary storage, showing instead that richly detailed episodic memories remain dependent on the hippocampus indefinitely. Moscovitch demonstrated that the hippocampus contributes not just to remembering but to imagination, problem-solving, and social cognition. His recent work reveals that people detect episodic richness in others’ memories and use this signal to guide social preferences. Through collaborative research spanning hemispheric specialization and face recognition, Moscovitch has revealed memory as central to human cognition.</w:t>
      </w:r>
    </w:p>
    <w:p>
      <w:pPr>
        <w:spacing w:before="120" w:after="120"/>
      </w:pPr>
      <w:r>
        <w:rPr>
          <w:sz w:val="18"/>
        </w:rPr>
        <w:t>——————————————————————————————————————————————————————————————————————</w:t>
      </w:r>
    </w:p>
    <w:p>
      <w:pPr>
        <w:spacing w:before="160" w:after="40" w:line="240" w:lineRule="auto"/>
      </w:pPr>
      <w:r>
        <w:rPr>
          <w:b/>
        </w:rPr>
        <w:t xml:space="preserve">[551] </w:t>
      </w:r>
      <w:hyperlink r:id="rId1434">
        <w:r>
          <w:rPr>
            <w:color w:val="1155CC"/>
            <w:u w:val="single"/>
          </w:rPr>
          <w:t>选择性自噬受体 VISP1 通过调节根发育过程中的 A/B 型 ARR 反馈环路来增强细胞分裂素信号传导</w:t>
        </w:r>
      </w:hyperlink>
    </w:p>
    <w:p>
      <w:pPr>
        <w:spacing w:before="0" w:after="80"/>
      </w:pPr>
      <w:r>
        <w:rPr>
          <w:i/>
          <w:sz w:val="20"/>
        </w:rPr>
        <w:t>EN: Selective autophagy receptor VISP1 enhances cytokinin signaling by modulating the Type-A/B ARR feedback loop during root development</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35">
        <w:r>
          <w:rPr>
            <w:color w:val="1155CC"/>
            <w:u w:val="single"/>
          </w:rPr>
          <w:t>10.1126/sciadv.aeb2089</w:t>
        </w:r>
      </w:hyperlink>
    </w:p>
    <w:p>
      <w:pPr>
        <w:spacing w:before="0" w:after="120"/>
      </w:pPr>
      <w:r>
        <w:rPr>
          <w:b/>
        </w:rPr>
        <w:t xml:space="preserve">Notes: </w:t>
      </w:r>
      <w:r>
        <w:t>abstract_source=crossref</w:t>
      </w:r>
    </w:p>
    <w:p>
      <w:pPr>
        <w:spacing w:before="0" w:after="80" w:lineRule="auto" w:line="276"/>
      </w:pPr>
      <w:r>
        <w:rPr>
          <w:b/>
        </w:rPr>
        <w:t xml:space="preserve">摘要（ZH）: </w:t>
      </w:r>
      <w:r>
        <w:t>选择性自噬通过自噬受体选择性地靶向细胞质成分来维持细胞内稳态。虽然病毒诱导的小肽 1 (VISP1) 已被确定为调节植物-病毒相互作用的自噬受体，但其在植物激素反应中的功能仍知之甚少。在这里，我们证明 VISP1 通过调节 A 型和 B 型之间的反馈回路，在根发育过程中正向调节细胞分裂素反应</w:t>
      </w:r>
      <w:r>
        <w:t xml:space="preserve"> </w:t>
      </w:r>
      <w:r>
        <w:t>拟南芥</w:t>
      </w:r>
      <w:r>
        <w:t xml:space="preserve"> </w:t>
      </w:r>
      <w:r>
        <w:t>响应调节器 (ARR)。</w:t>
      </w:r>
      <w:r>
        <w:t xml:space="preserve"> </w:t>
      </w:r>
      <w:r>
        <w:t>威斯普1</w:t>
      </w:r>
      <w:r>
        <w:t xml:space="preserve"> </w:t>
      </w:r>
      <w:r>
        <w:t>与野生型植物相比，过表达转基因株系表现出较短的主根、较少的侧根和拉长的根毛，并伴有诱导的细胞分裂素反应。相反，</w:t>
      </w:r>
      <w:r>
        <w:t xml:space="preserve"> </w:t>
      </w:r>
      <w:r>
        <w:t>菲斯普1</w:t>
      </w:r>
      <w:r>
        <w:t xml:space="preserve"> </w:t>
      </w:r>
      <w:r>
        <w:t>突变体表现出减弱的细胞分裂素敏感性。从机制上讲，细胞分裂素诱导</w:t>
      </w:r>
      <w:r>
        <w:t xml:space="preserve"> </w:t>
      </w:r>
      <w:r>
        <w:t>威斯普1</w:t>
      </w:r>
      <w:r>
        <w:t xml:space="preserve"> </w:t>
      </w:r>
      <w:r>
        <w:t>转录，B 型 ARR1 转录因子直接结合</w:t>
      </w:r>
      <w:r>
        <w:t xml:space="preserve"> </w:t>
      </w:r>
      <w:r>
        <w:t>威斯普1</w:t>
      </w:r>
      <w:r>
        <w:t xml:space="preserve"> </w:t>
      </w:r>
      <w:r>
        <w:t>启动子来激活其表达。 VISP1 与多个 A 型 ARR 发生物理相互作用，促进它们的自噬降解，从而减轻它们对 B 型 ARR 的抑制。总的来说，我们的研究结果揭示了一种调节机制，其中 VISP1 通过破坏 A 型和 B 型 ARR 的负反馈环来放大细胞分裂素信号传导。</w:t>
      </w:r>
    </w:p>
    <w:p>
      <w:pPr>
        <w:spacing w:before="0" w:after="200" w:lineRule="auto" w:line="276"/>
      </w:pPr>
      <w:r>
        <w:rPr>
          <w:b/>
        </w:rPr>
        <w:t xml:space="preserve">Abstract (EN): </w:t>
      </w:r>
      <w:r>
        <w:t>Selective autophagy maintains intracellular homeostasis by selectively targeting cytoplasmic components through autophagy receptors. While virus-induced small peptide 1 (VISP1) has been identified as an autophagy receptor regulating plant-virus interactions, its function in phytohormone responses remains poorly understood. Here, we demonstrate that VISP1 positively regulates cytokinin responses during root development by modulating the feedback loop between type-A and -B</w:t>
      </w:r>
      <w:r>
        <w:t xml:space="preserve"> </w:t>
      </w:r>
      <w:r>
        <w:t>Arabidopsis</w:t>
      </w:r>
      <w:r>
        <w:t xml:space="preserve"> </w:t>
      </w:r>
      <w:r>
        <w:t>Response Regulators (ARRs).</w:t>
      </w:r>
      <w:r>
        <w:t xml:space="preserve"> </w:t>
      </w:r>
      <w:r>
        <w:t>VISP1</w:t>
      </w:r>
      <w:r>
        <w:t xml:space="preserve"> </w:t>
      </w:r>
      <w:r>
        <w:t>overexpression transgenic lines displayed shorter primary roots, fewer lateral roots, and elongated root hairs, accompanied with an induced cytokinin response compared to wild-type plants. Conversely, the</w:t>
      </w:r>
      <w:r>
        <w:t xml:space="preserve"> </w:t>
      </w:r>
      <w:r>
        <w:t>visp1</w:t>
      </w:r>
      <w:r>
        <w:t xml:space="preserve"> </w:t>
      </w:r>
      <w:r>
        <w:t>mutant exhibited attenuated cytokinin sensitivity. Mechanistically, cytokinin induces</w:t>
      </w:r>
      <w:r>
        <w:t xml:space="preserve"> </w:t>
      </w:r>
      <w:r>
        <w:t>VISP1</w:t>
      </w:r>
      <w:r>
        <w:t xml:space="preserve"> </w:t>
      </w:r>
      <w:r>
        <w:t>transcription, with the type-B ARR1 transcription factor directly binding to the</w:t>
      </w:r>
      <w:r>
        <w:t xml:space="preserve"> </w:t>
      </w:r>
      <w:r>
        <w:t>VISP1</w:t>
      </w:r>
      <w:r>
        <w:t xml:space="preserve"> </w:t>
      </w:r>
      <w:r>
        <w:t>promoter to activate its expression. VISP1 physically interacts with multiple type-A ARRs and promotes their autophagic degradation, thereby alleviating their repression on type-B ARRs. Collectively, our findings reveal a regulatory mechanism in which VISP1 amplifies cytokinin signaling by disrupting the negative feedback loop of type-A and type-B ARRs.</w:t>
      </w:r>
    </w:p>
    <w:p>
      <w:pPr>
        <w:spacing w:before="120" w:after="120"/>
      </w:pPr>
      <w:r>
        <w:rPr>
          <w:sz w:val="18"/>
        </w:rPr>
        <w:t>——————————————————————————————————————————————————————————————————————</w:t>
      </w:r>
    </w:p>
    <w:p>
      <w:pPr>
        <w:spacing w:before="160" w:after="40" w:line="240" w:lineRule="auto"/>
      </w:pPr>
      <w:r>
        <w:rPr>
          <w:b/>
        </w:rPr>
        <w:t xml:space="preserve">[552] </w:t>
      </w:r>
      <w:hyperlink r:id="rId1436">
        <w:r>
          <w:rPr>
            <w:color w:val="1155CC"/>
            <w:u w:val="single"/>
          </w:rPr>
          <w:t>海王星的内部卫星和环暴露在冰冷的身体内部</w:t>
        </w:r>
      </w:hyperlink>
    </w:p>
    <w:p>
      <w:pPr>
        <w:spacing w:before="0" w:after="80"/>
      </w:pPr>
      <w:r>
        <w:rPr>
          <w:i/>
          <w:sz w:val="20"/>
        </w:rPr>
        <w:t>EN: Neptune’s inner moons and rings are exposed icy body interiors</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37">
        <w:r>
          <w:rPr>
            <w:color w:val="1155CC"/>
            <w:u w:val="single"/>
          </w:rPr>
          <w:t>10.1126/sciadv.aeb1437</w:t>
        </w:r>
      </w:hyperlink>
    </w:p>
    <w:p>
      <w:pPr>
        <w:spacing w:before="0" w:after="120"/>
      </w:pPr>
      <w:r>
        <w:rPr>
          <w:b/>
        </w:rPr>
        <w:t xml:space="preserve">Notes: </w:t>
      </w:r>
      <w:r>
        <w:t>abstract_source=crossref</w:t>
      </w:r>
    </w:p>
    <w:p>
      <w:pPr>
        <w:spacing w:before="0" w:after="80" w:lineRule="auto" w:line="276"/>
      </w:pPr>
      <w:r>
        <w:rPr>
          <w:b/>
        </w:rPr>
        <w:t xml:space="preserve">摘要（ZH）: </w:t>
      </w:r>
      <w:r>
        <w:t>海王星的单一大卫星海卫一，伴随着一组尘埃环和小卫星，其组成和起源尚不确定。使用詹姆斯·韦伯太空望远镜，我们观察到了海王星的光环和三颗卫星：拉里萨卫星、加拉泰亚卫星和海王星卫星。这些卫星和环的光谱与其他太阳系外天体不同，尽管具有深 3 微米的 OH 吸收带，但没有显示出水冰的证据。此外，Larissa、Galatea 和环显示出太阳系外天体中独特的成分特征：富镁层状硅酸盐的 2.72 微米吸收带诊断——广泛的水蚀变的标志。这些矿物很可能是在海卫一猛烈捕获期间被摧毁的原始卫星或被潮汐撕裂的矮行星的内部形成的。我们的研究结果表明，海王星现在的内部卫星和光环是从这种深层内部物质中重新吸积的，因此能够独特地获取冰冷的外太阳系分化天体的内部组成。</w:t>
      </w:r>
    </w:p>
    <w:p>
      <w:pPr>
        <w:spacing w:before="0" w:after="200" w:lineRule="auto" w:line="276"/>
      </w:pPr>
      <w:r>
        <w:rPr>
          <w:b/>
        </w:rPr>
        <w:t xml:space="preserve">Abstract (EN): </w:t>
      </w:r>
      <w:r>
        <w:t>Neptune’s single large moon, Triton, is accompanied by a set of dusty rings and small moons whose composition and origin are uncertain. Using the James Webb Space Telescope, we observed Neptune’s rings and three moons: Larissa, Galatea, and Proteus. These moons and rings have spectra that are distinct from other outer Solar System objects and show no evidence of water ice despite hosting deep 3-micrometer OH absorption bands. In addition, Larissa, Galatea, and the rings show a compositional signature unique among outer Solar System bodies: a 2.72-micrometer absorption band diagnostic of magnesium-rich phyllosilicates—a signpost of extensive aqueous alteration. These minerals likely formed in the interior of primordial satellites destroyed during Triton’s violent capture or a tidally shredded dwarf planet. Our findings suggest that Neptune’s present-day inner moons and rings reaccreted from this deep interior material and therefore uniquely access the interior composition of icy outer Solar System differentiated bodies.</w:t>
      </w:r>
    </w:p>
    <w:p>
      <w:pPr>
        <w:spacing w:before="120" w:after="120"/>
      </w:pPr>
      <w:r>
        <w:rPr>
          <w:sz w:val="18"/>
        </w:rPr>
        <w:t>——————————————————————————————————————————————————————————————————————</w:t>
      </w:r>
    </w:p>
    <w:p>
      <w:pPr>
        <w:spacing w:before="160" w:after="40" w:line="240" w:lineRule="auto"/>
      </w:pPr>
      <w:r>
        <w:rPr>
          <w:b/>
        </w:rPr>
        <w:t xml:space="preserve">[553] </w:t>
      </w:r>
      <w:hyperlink r:id="rId1438">
        <w:r>
          <w:rPr>
            <w:color w:val="1155CC"/>
            <w:u w:val="single"/>
          </w:rPr>
          <w:t>揭示湿地甲烷排放的级联滞后效应：来自非洲乍得湖的证据</w:t>
        </w:r>
      </w:hyperlink>
    </w:p>
    <w:p>
      <w:pPr>
        <w:spacing w:before="0" w:after="80"/>
      </w:pPr>
      <w:r>
        <w:rPr>
          <w:i/>
          <w:sz w:val="20"/>
        </w:rPr>
        <w:t>EN: Unveiling cascading lag effects of wetland methane emissions: Evidence from Lake Chad in Africa</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39">
        <w:r>
          <w:rPr>
            <w:color w:val="1155CC"/>
            <w:u w:val="single"/>
          </w:rPr>
          <w:t>10.1126/sciadv.adx9866</w:t>
        </w:r>
      </w:hyperlink>
    </w:p>
    <w:p>
      <w:pPr>
        <w:spacing w:before="0" w:after="120"/>
      </w:pPr>
      <w:r>
        <w:rPr>
          <w:b/>
        </w:rPr>
        <w:t xml:space="preserve">Notes: </w:t>
      </w:r>
      <w:r>
        <w:t>abstract_source=crossref</w:t>
      </w:r>
    </w:p>
    <w:p>
      <w:pPr>
        <w:spacing w:before="0" w:after="80" w:lineRule="auto" w:line="276"/>
      </w:pPr>
      <w:r>
        <w:rPr>
          <w:b/>
        </w:rPr>
        <w:t xml:space="preserve">摘要（ZH）: </w:t>
      </w:r>
      <w:r>
        <w:t>湿地甲烷（CH</w:t>
      </w:r>
      <w:r>
        <w:rPr>
          <w:vertAlign w:val="subscript"/>
        </w:rPr>
        <w:t>4</w:t>
      </w:r>
      <w:r>
        <w:t>）排放季节性是全球 CH 的一个主要但不确定的组成部分</w:t>
      </w:r>
      <w:r>
        <w:rPr>
          <w:vertAlign w:val="subscript"/>
        </w:rPr>
        <w:t>4</w:t>
      </w:r>
      <w:r>
        <w:t>季节性周期，其量化主要受到准确描述湿地动态和排放过程的挑战的限制。在这里，我们提出了一个基于遥感的框架来分析热带湿地CH的季节性</w:t>
      </w:r>
      <w:r>
        <w:rPr>
          <w:vertAlign w:val="subscript"/>
        </w:rPr>
        <w:t>4</w:t>
      </w:r>
      <w:r>
        <w:t>通过将卫星甲烷反演与高分辨率湿地淹没测绘（区分开放水域和淹没植被）相结合来建立排放系统。我们的结果揭示了降水量和 CH 之间存在很强的季节性幅度（每年 4.75 太克）和明显的季节性滞后</w:t>
      </w:r>
      <w:r>
        <w:rPr>
          <w:vertAlign w:val="subscript"/>
        </w:rPr>
        <w:t>4</w:t>
      </w:r>
      <w:r>
        <w:t>乍得湖的排放量（7 个月）。我们证明了降水-湿地淹没-植被演替的级联链-CH</w:t>
      </w:r>
      <w:r>
        <w:rPr>
          <w:vertAlign w:val="subscript"/>
        </w:rPr>
        <w:t>4</w:t>
      </w:r>
      <w:r>
        <w:t>排放影响排放季节性，其特点是从降水到湿地淹没有 3 个月的滞后，从淹没到峰值排放有 4 个月的滞后。这些发现为热带湿地 CH 提供了全面且机械上可推广的见解</w:t>
      </w:r>
      <w:r>
        <w:rPr>
          <w:vertAlign w:val="subscript"/>
        </w:rPr>
        <w:t>4</w:t>
      </w:r>
      <w:r>
        <w:t>季节性并为改善热带 CH 提供了关键限制</w:t>
      </w:r>
      <w:r>
        <w:rPr>
          <w:vertAlign w:val="subscript"/>
        </w:rPr>
        <w:t>4</w:t>
      </w:r>
      <w:r>
        <w:t>通量估计。</w:t>
      </w:r>
    </w:p>
    <w:p>
      <w:pPr>
        <w:spacing w:before="0" w:after="200" w:lineRule="auto" w:line="276"/>
      </w:pPr>
      <w:r>
        <w:rPr>
          <w:b/>
        </w:rPr>
        <w:t xml:space="preserve">Abstract (EN): </w:t>
      </w:r>
      <w:r>
        <w:t>Wetland methane (CH</w:t>
      </w:r>
      <w:r>
        <w:rPr>
          <w:vertAlign w:val="subscript"/>
        </w:rPr>
        <w:t>4</w:t>
      </w:r>
      <w:r>
        <w:t>) emission seasonality is a major yet uncertain component of the global CH</w:t>
      </w:r>
      <w:r>
        <w:rPr>
          <w:vertAlign w:val="subscript"/>
        </w:rPr>
        <w:t>4</w:t>
      </w:r>
      <w:r>
        <w:t>seasonal cycle, with its quantification primarily limited by the challenges in accurately characterizing wetland dynamics and emission processes. Here, we proposed a remote sensing–based framework to analyze the seasonality of tropical wetland CH</w:t>
      </w:r>
      <w:r>
        <w:rPr>
          <w:vertAlign w:val="subscript"/>
        </w:rPr>
        <w:t>4</w:t>
      </w:r>
      <w:r>
        <w:t>emission systems by integrating satellite methane inversions with high-resolution wetland inundation mapping (distinguishing open water and inundated vegetation). Our results reveal a strong seasonal amplitude (4.75 teragrams per year) and pronounced seasonal hysteresis between precipitation and CH</w:t>
      </w:r>
      <w:r>
        <w:rPr>
          <w:vertAlign w:val="subscript"/>
        </w:rPr>
        <w:t>4</w:t>
      </w:r>
      <w:r>
        <w:t>emissions (7 months) in Lake Chad. We demonstrate that the cascading chain of precipitation–wetland inundation–vegetation succession–CH</w:t>
      </w:r>
      <w:r>
        <w:rPr>
          <w:vertAlign w:val="subscript"/>
        </w:rPr>
        <w:t>4</w:t>
      </w:r>
      <w:r>
        <w:t>emissions drives emission seasonality, characterized by a 3-month lag from precipitation to wetland inundation and a subsequent 4-month lag from inundation to peak emissions. These findings provide comprehensive and mechanistically generalizable insights into tropical wetland CH</w:t>
      </w:r>
      <w:r>
        <w:rPr>
          <w:vertAlign w:val="subscript"/>
        </w:rPr>
        <w:t>4</w:t>
      </w:r>
      <w:r>
        <w:t>seasonality and offer critical constraints for improving tropical CH</w:t>
      </w:r>
      <w:r>
        <w:rPr>
          <w:vertAlign w:val="subscript"/>
        </w:rPr>
        <w:t>4</w:t>
      </w:r>
      <w:r>
        <w:t>flux estimates.</w:t>
      </w:r>
    </w:p>
    <w:p>
      <w:pPr>
        <w:spacing w:before="120" w:after="120"/>
      </w:pPr>
      <w:r>
        <w:rPr>
          <w:sz w:val="18"/>
        </w:rPr>
        <w:t>——————————————————————————————————————————————————————————————————————</w:t>
      </w:r>
    </w:p>
    <w:p>
      <w:pPr>
        <w:spacing w:before="160" w:after="40" w:line="240" w:lineRule="auto"/>
      </w:pPr>
      <w:r>
        <w:rPr>
          <w:b/>
        </w:rPr>
        <w:t xml:space="preserve">[554] </w:t>
      </w:r>
      <w:hyperlink r:id="rId1440">
        <w:r>
          <w:rPr>
            <w:color w:val="1155CC"/>
            <w:u w:val="single"/>
          </w:rPr>
          <w:t>与 SPONASTRIME 发育不良相关的人类 TONSL 蛋白的致病性变异会损害蛋白二聚化和 DNA 修复</w:t>
        </w:r>
      </w:hyperlink>
    </w:p>
    <w:p>
      <w:pPr>
        <w:spacing w:before="0" w:after="80"/>
      </w:pPr>
      <w:r>
        <w:rPr>
          <w:i/>
          <w:sz w:val="20"/>
        </w:rPr>
        <w:t>EN: Pathogenic variants in the human TONSL protein associated with SPONASTRIME dysplasia impair protein dimerization and DNA repair</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41">
        <w:r>
          <w:rPr>
            <w:color w:val="1155CC"/>
            <w:u w:val="single"/>
          </w:rPr>
          <w:t>10.1126/sciadv.aee1129</w:t>
        </w:r>
      </w:hyperlink>
    </w:p>
    <w:p>
      <w:pPr>
        <w:spacing w:before="0" w:after="120"/>
      </w:pPr>
      <w:r>
        <w:rPr>
          <w:b/>
        </w:rPr>
        <w:t xml:space="preserve">Notes: </w:t>
      </w:r>
      <w:r>
        <w:t>abstract_source=crossref</w:t>
      </w:r>
    </w:p>
    <w:p>
      <w:pPr>
        <w:spacing w:before="0" w:after="80" w:lineRule="auto" w:line="276"/>
      </w:pPr>
      <w:r>
        <w:rPr>
          <w:b/>
        </w:rPr>
        <w:t xml:space="preserve">摘要（ZH）: </w:t>
      </w:r>
      <w:r>
        <w:t>TONSL 通过促进复制依赖性 DNA 损伤修复并通过同源重组保护停滞的复制叉来保护基因组稳定性。 TONSL 突变会导致 SPONNASTRIME 发育不良，这是一种罕见的骨骼疾病。我们发现 TONSL 通过其泛素样结构域 (UBL) 实现同源二聚化，并且两个复发性 SPONASTRIME 发育不良致病变异（R934W 和 G973R）消除了这种二聚化。 1.9 Å 分辨率的晶体结构显示 UBL</w:t>
      </w:r>
      <w:r>
        <w:t xml:space="preserve"> </w:t>
      </w:r>
      <w:r>
        <w:t>WT</w:t>
      </w:r>
      <w:r>
        <w:t xml:space="preserve"> </w:t>
      </w:r>
      <w:r>
        <w:t>形成结构域交换二聚体，组装成环状八聚体。 R934W 变体消除了关键的氢键并引入了空间冲突，迫使单体构象。 G973R 使构象限制的 β 转角内的进化保守残基不稳定。生化，UBL</w:t>
      </w:r>
      <w:r>
        <w:t xml:space="preserve"> </w:t>
      </w:r>
      <w:r>
        <w:t>WT</w:t>
      </w:r>
      <w:r>
        <w:t xml:space="preserve"> </w:t>
      </w:r>
      <w:r>
        <w:t>以二聚体形式存在，而 UBL</w:t>
      </w:r>
      <w:r>
        <w:t xml:space="preserve"> </w:t>
      </w:r>
      <w:r>
        <w:t>R934W</w:t>
      </w:r>
      <w:r>
        <w:t xml:space="preserve"> </w:t>
      </w:r>
      <w:r>
        <w:t>仍然是单体。从功能上讲，二聚化缺陷的变体无法抑制复制应激诱导的 DNA 损伤，表现出 RAD51 病灶形成受损，并在基因毒性应激后表现出严重的生存受损。这些发现证实 TONSL 二聚化对于基因组维持至关重要，并为 SPONASTRIME 发育不良发病机制提供了结构和机制的见解。</w:t>
      </w:r>
    </w:p>
    <w:p>
      <w:pPr>
        <w:spacing w:before="0" w:after="200" w:lineRule="auto" w:line="276"/>
      </w:pPr>
      <w:r>
        <w:rPr>
          <w:b/>
        </w:rPr>
        <w:t xml:space="preserve">Abstract (EN): </w:t>
      </w:r>
      <w:r>
        <w:t>TONSL safeguards genome stability by facilitating replication-dependent DNA damage repair and protecting stalled replication forks through homologous recombination. Mutations in TONSL cause SPONASTRIME dysplasia, a rare skeletal disorder. We reveal that TONSL homo-dimerizes via its ubiquitin-like domain (UBL), and two recurrent SPONASTRIME dysplasia causative variants (R934W and G973R) abolish this dimerization. Crystal structures at 1.9 Å resolution show UBL</w:t>
      </w:r>
      <w:r>
        <w:t xml:space="preserve"> </w:t>
      </w:r>
      <w:r>
        <w:t>WT</w:t>
      </w:r>
      <w:r>
        <w:t xml:space="preserve"> </w:t>
      </w:r>
      <w:r>
        <w:t>forms domain-swapped dimers that assemble into ring-like octamers. The R934W variant eliminates critical hydrogen bonds and introduces steric clashes, forcing monomeric conformation. G973R destabilizes an evolutionarily conserved residue within a conformationally restricted β-turn. Biochemically, UBL</w:t>
      </w:r>
      <w:r>
        <w:t xml:space="preserve"> </w:t>
      </w:r>
      <w:r>
        <w:t>WT</w:t>
      </w:r>
      <w:r>
        <w:t xml:space="preserve"> </w:t>
      </w:r>
      <w:r>
        <w:t>exists as dimers while UBL</w:t>
      </w:r>
      <w:r>
        <w:t xml:space="preserve"> </w:t>
      </w:r>
      <w:r>
        <w:t>R934W</w:t>
      </w:r>
      <w:r>
        <w:t xml:space="preserve"> </w:t>
      </w:r>
      <w:r>
        <w:t>remains monomeric. Functionally, dimerization-deficient variants fail to suppress replication stress-induced DNA damage, show impaired RAD51 foci formation, and exhibit severely compromised survival following genotoxic stress. These findings establish TONSL dimerization as essential for genome maintenance and provide structural and mechanistic insights into SPONASTRIME dysplasia pathogenesis.</w:t>
      </w:r>
    </w:p>
    <w:p>
      <w:pPr>
        <w:spacing w:before="120" w:after="120"/>
      </w:pPr>
      <w:r>
        <w:rPr>
          <w:sz w:val="18"/>
        </w:rPr>
        <w:t>——————————————————————————————————————————————————————————————————————</w:t>
      </w:r>
    </w:p>
    <w:p>
      <w:pPr>
        <w:spacing w:before="160" w:after="40" w:line="240" w:lineRule="auto"/>
      </w:pPr>
      <w:r>
        <w:rPr>
          <w:b/>
        </w:rPr>
        <w:t xml:space="preserve">[555] </w:t>
      </w:r>
      <w:hyperlink r:id="rId1442">
        <w:r>
          <w:rPr>
            <w:color w:val="1155CC"/>
            <w:u w:val="single"/>
          </w:rPr>
          <w:t>岛状路由至眶额皮层可实现呼吸意识</w:t>
        </w:r>
      </w:hyperlink>
    </w:p>
    <w:p>
      <w:pPr>
        <w:spacing w:before="0" w:after="80"/>
      </w:pPr>
      <w:r>
        <w:rPr>
          <w:i/>
          <w:sz w:val="20"/>
        </w:rPr>
        <w:t>EN: Insular routing to orbitofrontal cortex enables breathing awareness</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43">
        <w:r>
          <w:rPr>
            <w:color w:val="1155CC"/>
            <w:u w:val="single"/>
          </w:rPr>
          <w:t>10.1126/sciadv.aeb3326</w:t>
        </w:r>
      </w:hyperlink>
    </w:p>
    <w:p>
      <w:pPr>
        <w:spacing w:before="0" w:after="120"/>
      </w:pPr>
      <w:r>
        <w:rPr>
          <w:b/>
        </w:rPr>
        <w:t xml:space="preserve">Notes: </w:t>
      </w:r>
      <w:r>
        <w:t>abstract_source=crossref</w:t>
      </w:r>
    </w:p>
    <w:p>
      <w:pPr>
        <w:spacing w:before="0" w:after="80" w:lineRule="auto" w:line="276"/>
      </w:pPr>
      <w:r>
        <w:rPr>
          <w:b/>
        </w:rPr>
        <w:t xml:space="preserve">摘要（ZH）: </w:t>
      </w:r>
      <w:r>
        <w:t>人脑如何检测呼吸中断并做出反应？虽然动物研究增进了我们对呼吸控制的理解，但人类呼吸困难仍然难以治疗。它通常不仅由肺部病变或脑干功能障碍引起，还与高级大脑区域如何解释由情绪和经验形成的呼吸信号有关。我们记录了神经外科患者在涉及短暂呼吸挑战的内感受任务期间的颅内皮质活动。前岛叶的早期反应可以预测对这些干扰的有意识检测，该反应将信号发送到眶额皮质和前运动皮质进行评估和补偿。这些皮质区域优先编码吸气努力或气流，揭示与脑干中心功能分离相呼应的信号特异性处理。目前的研究结果确定了用于感知和适应呼吸挑战的动态岛叶回路，提供了对呼吸意识及其对疾病破坏的神经基础的深入了解。</w:t>
      </w:r>
    </w:p>
    <w:p>
      <w:pPr>
        <w:spacing w:before="0" w:after="200" w:lineRule="auto" w:line="276"/>
      </w:pPr>
      <w:r>
        <w:rPr>
          <w:b/>
        </w:rPr>
        <w:t xml:space="preserve">Abstract (EN): </w:t>
      </w:r>
      <w:r>
        <w:t>How does the human brain detect and respond to disruptions in breathing? While animal studies have advanced our understanding of respiratory control, breathing distress in humans remains difficult to treat. It often arises not only from pulmonary lesions or brainstem dysfunction but also from how higher brain regions interpret breathing signals shaped by emotion and experience. We recorded intracranial cortical activity in neurosurgical patients during an interoceptive task involving transient breathing challenges. Conscious detection of these disruptions was predicted by early responses in the anterior insula, which routed signals to orbitofrontal and premotor cortices for appraisal and compensation. These cortical regions preferentially encoded inspiratory effort or airflow, revealing signal-specific processing that echoes functional segregation in brainstem centers. The present findings identify a dynamic insular-frontal circuit for sensing and adapting to respiratory challenges, offering insight into the neural basis of breathing awareness and its disruption in disease.</w:t>
      </w:r>
    </w:p>
    <w:p>
      <w:pPr>
        <w:spacing w:before="120" w:after="120"/>
      </w:pPr>
      <w:r>
        <w:rPr>
          <w:sz w:val="18"/>
        </w:rPr>
        <w:t>——————————————————————————————————————————————————————————————————————</w:t>
      </w:r>
    </w:p>
    <w:p>
      <w:pPr>
        <w:spacing w:before="160" w:after="40" w:line="240" w:lineRule="auto"/>
      </w:pPr>
      <w:r>
        <w:rPr>
          <w:b/>
        </w:rPr>
        <w:t xml:space="preserve">[556] </w:t>
      </w:r>
      <w:hyperlink r:id="rId1444">
        <w:r>
          <w:rPr>
            <w:color w:val="1155CC"/>
            <w:u w:val="single"/>
          </w:rPr>
          <w:t>具有软组织保存的高度水生海洋茎祖龙</w:t>
        </w:r>
      </w:hyperlink>
    </w:p>
    <w:p>
      <w:pPr>
        <w:spacing w:before="0" w:after="80"/>
      </w:pPr>
      <w:r>
        <w:rPr>
          <w:i/>
          <w:sz w:val="20"/>
        </w:rPr>
        <w:t>EN: Highly aquatic marine stem archosaur with soft tissue preservation</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45">
        <w:r>
          <w:rPr>
            <w:color w:val="1155CC"/>
            <w:u w:val="single"/>
          </w:rPr>
          <w:t>10.1126/sciadv.aeb7528</w:t>
        </w:r>
      </w:hyperlink>
    </w:p>
    <w:p>
      <w:pPr>
        <w:spacing w:before="0" w:after="120"/>
      </w:pPr>
      <w:r>
        <w:rPr>
          <w:b/>
        </w:rPr>
        <w:t xml:space="preserve">Notes: </w:t>
      </w:r>
      <w:r>
        <w:t>abstract_source=crossref</w:t>
      </w:r>
    </w:p>
    <w:p>
      <w:pPr>
        <w:spacing w:before="0" w:after="80" w:lineRule="auto" w:line="276"/>
      </w:pPr>
      <w:r>
        <w:rPr>
          <w:b/>
        </w:rPr>
        <w:t xml:space="preserve">摘要（ZH）: </w:t>
      </w:r>
      <w:r>
        <w:t>古龙形目是一个占主导地位的爬行动物分支，主要占据陆地生态系统，其次是水生入侵，但人们对此知之甚少。在这里，我们报告了一种保存完好的三叠纪爬行动物，它代表了最早进化出明确的水生特化的干祖龙。该分类单元表现出一系列以前在干祖龙中未知的水生适应能力，例如指骨增多、增强的桨状前肢以及骶骨和骨盆之间关节的丧失，表明其具有先进的水生生活方式。该化石展示了已知最古老的爬行动物胃、肝脏和肠道保存。我们的研究结果为三叠纪海洋生态系统恢复期间古龙形目的早期水生多样化提供了意想不到的见解，并强调了早期中生代脊椎动物的保守胃肠系统。在缺乏其他主要中生代海洋爬行动物谱系（例如鱼龙和蜥脚类）的明确陆地成员的情况下，这一发现为这种谱系提供了一个明确的例子，包括明显的陆地和广泛的海洋形式，为三叠纪爬行动物从陆地到海洋的过渡提供了诱人的证据。</w:t>
      </w:r>
    </w:p>
    <w:p>
      <w:pPr>
        <w:spacing w:before="0" w:after="200" w:lineRule="auto" w:line="276"/>
      </w:pPr>
      <w:r>
        <w:rPr>
          <w:b/>
        </w:rPr>
        <w:t xml:space="preserve">Abstract (EN): </w:t>
      </w:r>
      <w:r>
        <w:t>Archosauromorpha is a dominant reptile clade that primarily occupied terrestrial ecosystems with limited secondarily aquatic invasions that are poorly known. Here we report on a well-preserved Triassic reptile representing the earliest stem-archosaur to evolve unequivocal aquatic specializations. This taxon exhibits a suite of aquatic adaptations previously unknown in stem-archosaurs, such as hyperphalangy, enhanced paddle-like forelimbs, and a loss of articulation between the sacrum and pelvis, indicating an advanced aquatic lifestyle. The fossil exhibits the oldest known stomach, liver, and intestinal preservations in reptiles. Our findings provide unexpected insights into the early aquatic diversification of Archosauromorpha during the Triassic marine ecosystem recovery and highlight a conservative gastrointestinal system in an early Mesozoic vertebrate. In the absence of clear terrestrial members of the other major Mesozoic marine reptile lineages (e.g., ichthyosaurs and sauropterygians), this discovery provides an unambiguous example of such a lineage including both decidedly terrestrial and extensively marine forms, providing tantalizing evidence for the land-to-sea transition in Triassic reptiles.</w:t>
      </w:r>
    </w:p>
    <w:p>
      <w:pPr>
        <w:spacing w:before="120" w:after="120"/>
      </w:pPr>
      <w:r>
        <w:rPr>
          <w:sz w:val="18"/>
        </w:rPr>
        <w:t>——————————————————————————————————————————————————————————————————————</w:t>
      </w:r>
    </w:p>
    <w:p>
      <w:pPr>
        <w:spacing w:before="160" w:after="40" w:line="240" w:lineRule="auto"/>
      </w:pPr>
      <w:r>
        <w:rPr>
          <w:b/>
        </w:rPr>
        <w:t xml:space="preserve">[557] </w:t>
      </w:r>
      <w:hyperlink r:id="rId1446">
        <w:r>
          <w:rPr>
            <w:color w:val="1155CC"/>
            <w:u w:val="single"/>
          </w:rPr>
          <w:t>耗尽引起的相互作用调节聚合物拥挤溶液中的纳米级蛋白质扩散</w:t>
        </w:r>
      </w:hyperlink>
    </w:p>
    <w:p>
      <w:pPr>
        <w:spacing w:before="0" w:after="80"/>
      </w:pPr>
      <w:r>
        <w:rPr>
          <w:i/>
          <w:sz w:val="20"/>
        </w:rPr>
        <w:t>EN: Depletion-induced interactions modulate nanoscale protein diffusion in polymeric crowder solutions</w:t>
      </w:r>
    </w:p>
    <w:p>
      <w:pPr>
        <w:spacing w:before="0" w:after="120"/>
      </w:pPr>
      <w:r>
        <w:rPr>
          <w:b/>
        </w:rPr>
        <w:t xml:space="preserve">Source: </w:t>
      </w:r>
      <w:r>
        <w:t>Proceedings of the National Academy of Sciences: Keyword search for query</w:t>
      </w:r>
      <w:r>
        <w:t xml:space="preserve">    </w:t>
      </w:r>
      <w:r>
        <w:rPr>
          <w:b/>
        </w:rPr>
        <w:t xml:space="preserve">Pub date: </w:t>
      </w:r>
      <w:r>
        <w:t>2026-07-29 07:00:00+00:00</w:t>
      </w:r>
      <w:r>
        <w:t xml:space="preserve">    </w:t>
      </w:r>
      <w:r>
        <w:rPr>
          <w:b/>
        </w:rPr>
        <w:t xml:space="preserve">DOI: </w:t>
      </w:r>
      <w:hyperlink r:id="rId1447">
        <w:r>
          <w:rPr>
            <w:color w:val="1155CC"/>
            <w:u w:val="single"/>
          </w:rPr>
          <w:t>10.1073/pnas.2524733123</w:t>
        </w:r>
      </w:hyperlink>
    </w:p>
    <w:p>
      <w:pPr>
        <w:spacing w:before="0" w:after="120"/>
      </w:pPr>
      <w:r>
        <w:rPr>
          <w:b/>
        </w:rPr>
        <w:t xml:space="preserve">Notes: </w:t>
      </w:r>
      <w:r>
        <w:t>abstract_source=crossref</w:t>
      </w:r>
    </w:p>
    <w:p>
      <w:pPr>
        <w:spacing w:before="0" w:after="80" w:lineRule="auto" w:line="276"/>
      </w:pPr>
      <w:r>
        <w:rPr>
          <w:b/>
        </w:rPr>
        <w:t xml:space="preserve">摘要（ZH）: </w:t>
      </w:r>
      <w:r>
        <w:t>大分子拥挤在调节细胞和体外环境中的蛋白质动力学中起着至关重要的作用。众所周知，葡聚糖和聚蔗糖等聚合物拥挤剂会诱导熵力，包括消耗相互作用，从而促进结构组织，但它们对蛋白质动力学的纳米级影响仍然知之甚少。在这里，我们在欧洲 X 射线自由电子激光器 (XFEL) 上采用兆赫 X 射线光子相关光谱 (MHz-XPCS) 来探测含有蔗糖、葡聚糖和聚蔗糖的溶液中铁蛋白的动力学。我们发现聚合物拥挤器中集体蛋白质动力学发生显着变化，揭示了耗尽驱动的短程吸引力，与长程排斥相结合，产生了中程组织。这些中尺度相关性在微秒到毫秒的时间尺度上经历集体弛豫，XPCS 通过铁蛋白密度波动的衰减直接解决了这一问题。其大小敏感地取决于拥挤分子的分子量和类型。通过以下方式标准化拥挤浓度</w:t>
      </w:r>
      <w:r>
        <w:t xml:space="preserve"> </w:t>
      </w:r>
      <w:r>
        <w:t>c</w:t>
      </w:r>
      <w:r>
        <w:t xml:space="preserve"> </w:t>
      </w:r>
      <w:r>
        <w:t>* 揭示铁蛋白自扩散的缩放行为，交叉接近 2</w:t>
      </w:r>
      <w:r>
        <w:t xml:space="preserve"> </w:t>
      </w:r>
      <w:r>
        <w:t>c</w:t>
      </w:r>
      <w:r>
        <w:t xml:space="preserve"> </w:t>
      </w:r>
      <w:r>
        <w:t>*，标志着从消耗增强的流动性到粘度主导的减慢的转变。我们的结果表明，仅本体特性不足以描述拥挤溶液中的蛋白质动力学，这凸显了在拥挤环境模型中包含聚合物特异性相互作用和消耗理论的必要性。</w:t>
      </w:r>
    </w:p>
    <w:p>
      <w:pPr>
        <w:spacing w:before="0" w:after="200" w:lineRule="auto" w:line="276"/>
      </w:pPr>
      <w:r>
        <w:rPr>
          <w:b/>
        </w:rPr>
        <w:t xml:space="preserve">Abstract (EN): </w:t>
      </w:r>
      <w:r>
        <w:t>Macromolecular crowding plays a crucial role in modulating protein dynamics in cellular and in vitro environments. Polymeric crowders such as dextran and Ficoll are known to induce entropic forces, including depletion interactions, that promote structural organization, yet their nanoscale consequences for protein dynamics remain poorly understood. Here, we employ megahertz X-ray photon correlation spectroscopy (MHz-XPCS) at the European X-ray Free Electron Laser (XFEL) to probe the dynamics of the protein ferritin in solutions containing sucrose, dextran, and Ficoll. We find pronounced changes in collective protein dynamics in polymeric crowders, revealing depletion-driven short-range attractions that, combined with long-range repulsions, give rise to intermediate-range organization. These mesoscale correlations undergo collective relaxation on microsecond to millisecond timescales, as directly resolved by XPCS through the decay of ferritin density fluctuations. The magnitude of this depends sensitively on crowder molecular weight and type. Normalizing the crowder concentration by</w:t>
      </w:r>
      <w:r>
        <w:t xml:space="preserve"> </w:t>
      </w:r>
      <w:r>
        <w:t>c</w:t>
      </w:r>
      <w:r>
        <w:t xml:space="preserve"> </w:t>
      </w:r>
      <w:r>
        <w:t>* reveals scaling behavior of ferritin self-diffusion with a crossover near 2</w:t>
      </w:r>
      <w:r>
        <w:t xml:space="preserve"> </w:t>
      </w:r>
      <w:r>
        <w:t>c</w:t>
      </w:r>
      <w:r>
        <w:t xml:space="preserve"> </w:t>
      </w:r>
      <w:r>
        <w:t>*, marking a transition from depletion-enhanced mobility to viscosity-dominated slowing. Our results demonstrate that bulk properties alone are insufficient to describe protein dynamics in crowded solutions, highlighting the need to include polymer-specific interactions and depletion theory in models of crowded environments.</w:t>
      </w:r>
    </w:p>
    <w:p>
      <w:pPr>
        <w:spacing w:before="120" w:after="120"/>
      </w:pPr>
      <w:r>
        <w:rPr>
          <w:sz w:val="18"/>
        </w:rPr>
        <w:t>——————————————————————————————————————————————————————————————————————</w:t>
      </w:r>
    </w:p>
    <w:p>
      <w:pPr>
        <w:spacing w:before="160" w:after="40" w:line="240" w:lineRule="auto"/>
      </w:pPr>
      <w:r>
        <w:rPr>
          <w:b/>
        </w:rPr>
        <w:t xml:space="preserve">[558] </w:t>
      </w:r>
      <w:hyperlink r:id="rId1448">
        <w:r>
          <w:rPr>
            <w:color w:val="1155CC"/>
            <w:u w:val="single"/>
          </w:rPr>
          <w:t>北大西洋和西巴伦支海的颗石藻数量减少</w:t>
        </w:r>
      </w:hyperlink>
    </w:p>
    <w:p>
      <w:pPr>
        <w:spacing w:before="0" w:after="80"/>
      </w:pPr>
      <w:r>
        <w:rPr>
          <w:i/>
          <w:sz w:val="20"/>
        </w:rPr>
        <w:t>EN: Declining coccolithophore blooms in the North Atlantic and Western Barents Sea</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49">
        <w:r>
          <w:rPr>
            <w:color w:val="1155CC"/>
            <w:u w:val="single"/>
          </w:rPr>
          <w:t>10.1126/sciadv.adw5268</w:t>
        </w:r>
      </w:hyperlink>
    </w:p>
    <w:p>
      <w:pPr>
        <w:spacing w:before="0" w:after="120"/>
      </w:pPr>
      <w:r>
        <w:rPr>
          <w:b/>
        </w:rPr>
        <w:t xml:space="preserve">Notes: </w:t>
      </w:r>
      <w:r>
        <w:t>abstract_source=crossref</w:t>
      </w:r>
    </w:p>
    <w:p>
      <w:pPr>
        <w:spacing w:before="0" w:after="80" w:lineRule="auto" w:line="276"/>
      </w:pPr>
      <w:r>
        <w:rPr>
          <w:b/>
        </w:rPr>
        <w:t xml:space="preserve">摘要（ZH）: </w:t>
      </w:r>
      <w:r>
        <w:t>颗石藻对海洋生态系统至关重要，在全球碳循环中发挥着核心作用。尽管北大西洋和巴伦支海的温带地区丰富，但人们对它们的长期水华动态仍然知之甚少。通过二十年的卫星观测，我们发现 2003 年至 2022 年间，颗石藻水华大幅下降，水华面积减少了 36.1%，水华频率减少了 51.2%。北大西洋温带和巴伦支海西部的下降最为明显，而巴伦支海东部则显着增加。北大西洋海面温度（SST）下降和巴伦支海东部变暖被认为是这些趋势的关键驱动因素。然而，海温变化本身并不能解释巴伦支海的不对称模式，这表明存在额外的环境驱动因素和浮游植物竞争。我们的研究提供了迄今为止该地区颗石藻水华趋势的最具空间和时间分辨率的评估，对海洋生态系统和碳循环具有更广泛的影响。</w:t>
      </w:r>
    </w:p>
    <w:p>
      <w:pPr>
        <w:spacing w:before="0" w:after="200" w:lineRule="auto" w:line="276"/>
      </w:pPr>
      <w:r>
        <w:rPr>
          <w:b/>
        </w:rPr>
        <w:t xml:space="preserve">Abstract (EN): </w:t>
      </w:r>
      <w:r>
        <w:t>Coccolithophores are vital to marine ecosystems and play a central role in the global carbon cycle. Although abundant in the temperate North Atlantic and Barents Sea, their long-term bloom dynamics remain poorly understood. Using two decades of satellite observations, we reveal a substantial decline in coccolithophore blooms between 2003 and 2022, with a 36.1% reduction in bloom area and a 51.2% decrease in bloom frequency. The decline is most pronounced in the temperate North Atlantic and western Barents Sea, while the eastern Barents Sea shows notable increases. Decreasing sea surface temperatures (SSTs) in the North Atlantic and warming in the eastern Barents Sea are identified as key drivers of these trends. However, SST changes alone do not explain the asymmetric patterns across the Barents Sea, suggesting additional environmental drivers and phytoplankton competition. Our study provides the most spatially and temporally resolved assessment of coccolithophore bloom trends in this region to date, with broader implications for marine ecosystems and carbon cycling.</w:t>
      </w:r>
    </w:p>
    <w:p>
      <w:pPr>
        <w:spacing w:before="120" w:after="120"/>
      </w:pPr>
      <w:r>
        <w:rPr>
          <w:sz w:val="18"/>
        </w:rPr>
        <w:t>——————————————————————————————————————————————————————————————————————</w:t>
      </w:r>
    </w:p>
    <w:p>
      <w:pPr>
        <w:spacing w:before="160" w:after="40" w:line="240" w:lineRule="auto"/>
      </w:pPr>
      <w:r>
        <w:rPr>
          <w:b/>
        </w:rPr>
        <w:t xml:space="preserve">[559] </w:t>
      </w:r>
      <w:hyperlink r:id="rId1450">
        <w:r>
          <w:rPr>
            <w:color w:val="1155CC"/>
            <w:u w:val="single"/>
          </w:rPr>
          <w:t>菌毛的翻译后修饰驱动肺炎克雷伯菌的致病性</w:t>
        </w:r>
      </w:hyperlink>
    </w:p>
    <w:p>
      <w:pPr>
        <w:spacing w:before="0" w:after="80"/>
      </w:pPr>
      <w:r>
        <w:rPr>
          <w:i/>
          <w:sz w:val="20"/>
        </w:rPr>
        <w:t>EN: A posttranslational modification of fimbriae drives pathogenicity in Klebsiella pneumoniae</w:t>
      </w:r>
    </w:p>
    <w:p>
      <w:pPr>
        <w:spacing w:before="0" w:after="120"/>
      </w:pPr>
      <w:r>
        <w:rPr>
          <w:b/>
        </w:rPr>
        <w:t xml:space="preserve">Source: </w:t>
      </w:r>
      <w:r>
        <w:t>Proceedings of the National Academy of Sciences: Keyword search for query</w:t>
      </w:r>
      <w:r>
        <w:t xml:space="preserve">    </w:t>
      </w:r>
      <w:r>
        <w:rPr>
          <w:b/>
        </w:rPr>
        <w:t xml:space="preserve">Pub date: </w:t>
      </w:r>
      <w:r>
        <w:t>2026-07-29 07:00:00+00:00</w:t>
      </w:r>
      <w:r>
        <w:t xml:space="preserve">    </w:t>
      </w:r>
      <w:r>
        <w:rPr>
          <w:b/>
        </w:rPr>
        <w:t xml:space="preserve">DOI: </w:t>
      </w:r>
      <w:hyperlink r:id="rId1451">
        <w:r>
          <w:rPr>
            <w:color w:val="1155CC"/>
            <w:u w:val="single"/>
          </w:rPr>
          <w:t>10.1073/pnas.2611142123</w:t>
        </w:r>
      </w:hyperlink>
    </w:p>
    <w:p>
      <w:pPr>
        <w:spacing w:before="0" w:after="120"/>
      </w:pPr>
      <w:r>
        <w:rPr>
          <w:b/>
        </w:rPr>
        <w:t xml:space="preserve">Notes: </w:t>
      </w:r>
      <w:r>
        <w:t>abstract_source=crossref</w:t>
      </w:r>
    </w:p>
    <w:p>
      <w:pPr>
        <w:spacing w:before="0" w:after="80" w:lineRule="auto" w:line="276"/>
      </w:pPr>
      <w:r>
        <w:rPr>
          <w:b/>
        </w:rPr>
        <w:t xml:space="preserve">摘要（ZH）: </w:t>
      </w:r>
      <w:r>
        <w:t>抗生素耐药性是一个严重的公共卫生负担。尤其令人担忧的是多重耐药（MDR）感染，它限制了治疗选择并显着增加了死亡风险。全球耐多药感染的一个主要原因是碳青霉烯类抗生素耐药</w:t>
      </w:r>
      <w:r>
        <w:t xml:space="preserve"> </w:t>
      </w:r>
      <w:r>
        <w:t>肺炎克雷伯菌</w:t>
      </w:r>
      <w:r>
        <w:t xml:space="preserve"> </w:t>
      </w:r>
      <w:r>
        <w:t>（CR</w:t>
      </w:r>
      <w:r>
        <w:t xml:space="preserve"> </w:t>
      </w:r>
      <w:r>
        <w:t>钾</w:t>
      </w:r>
      <w:r>
        <w:t xml:space="preserve"> </w:t>
      </w:r>
      <w:r>
        <w:t>）。主要CR</w:t>
      </w:r>
      <w:r>
        <w:t xml:space="preserve"> </w:t>
      </w:r>
      <w:r>
        <w:t>钾</w:t>
      </w:r>
      <w:r>
        <w:t xml:space="preserve"> </w:t>
      </w:r>
      <w:r>
        <w:t>全球序列类型为 ST258。然而，ST258 流行的成功因素尚不清楚。 CR 临床分离株的基因组分析</w:t>
      </w:r>
      <w:r>
        <w:t xml:space="preserve"> </w:t>
      </w:r>
      <w:r>
        <w:t>钾</w:t>
      </w:r>
      <w:r>
        <w:t xml:space="preserve"> </w:t>
      </w:r>
      <w:r>
        <w:t>研究人员发现，双组分调控系统 CrrAB 是 ST258 的基因组特征，这表明它可能有助于其全球主导地位。尽管如此，支持 CrrAB 对 ST258 贡献的分子细节</w:t>
      </w:r>
      <w:r>
        <w:t xml:space="preserve"> </w:t>
      </w:r>
      <w:r>
        <w:t>钾</w:t>
      </w:r>
      <w:r>
        <w:t xml:space="preserve"> </w:t>
      </w:r>
      <w:r>
        <w:t>对生物学和致病性知之甚少。我们使用 RNA 测序来鉴定 CrrA 的调节子，并发现 CrrAB 诱导编码 Crr 调节菌毛修饰蛋白 (CfmP) 的基因表达，该基因对于这种双组分系统驱动的发病机制至关重要。我们对纯化的菌毛进行了质谱分析</w:t>
      </w:r>
      <w:r>
        <w:t xml:space="preserve"> </w:t>
      </w:r>
      <w:r>
        <w:t>钾</w:t>
      </w:r>
      <w:r>
        <w:t xml:space="preserve"> </w:t>
      </w:r>
      <w:r>
        <w:t>表达或缺乏</w:t>
      </w:r>
      <w:r>
        <w:t xml:space="preserve"> </w:t>
      </w:r>
      <w:r>
        <w:t>cfmP</w:t>
      </w:r>
      <w:r>
        <w:t xml:space="preserve"> </w:t>
      </w:r>
      <w:r>
        <w:t>并发现 CfmP 诱导菌毛主要菌毛蛋白亚基 FimA 中的组氨酸残基发生新的氧化。我们证明这种氧化显着增加宿主细胞粘附和t内的高细菌负荷</w:t>
      </w:r>
    </w:p>
    <w:p>
      <w:pPr>
        <w:spacing w:before="0" w:after="200" w:lineRule="auto" w:line="276"/>
      </w:pPr>
      <w:r>
        <w:rPr>
          <w:b/>
        </w:rPr>
        <w:t xml:space="preserve">Abstract (EN): </w:t>
      </w:r>
      <w:r>
        <w:t>Antimicrobial resistance is a severe public health burden. Especially concerning are multidrug resistant (MDR) infections, which restrict treatment options and significantly increase mortality risk. A major cause of MDR infections worldwide is carbapenem-resistant</w:t>
      </w:r>
      <w:r>
        <w:t xml:space="preserve"> </w:t>
      </w:r>
      <w:r>
        <w:t>Klebsiella pneumoniae</w:t>
      </w:r>
      <w:r>
        <w:t xml:space="preserve"> </w:t>
      </w:r>
      <w:r>
        <w:t>(CR</w:t>
      </w:r>
      <w:r>
        <w:t xml:space="preserve"> </w:t>
      </w:r>
      <w:r>
        <w:t>Kp</w:t>
      </w:r>
      <w:r>
        <w:t xml:space="preserve"> </w:t>
      </w:r>
      <w:r>
        <w:t>). The predominant CR</w:t>
      </w:r>
      <w:r>
        <w:t xml:space="preserve"> </w:t>
      </w:r>
      <w:r>
        <w:t>Kp</w:t>
      </w:r>
      <w:r>
        <w:t xml:space="preserve"> </w:t>
      </w:r>
      <w:r>
        <w:t>sequence type worldwide is ST258. However, the factors underlying ST258’s epidemic success are not well defined. Genomic analyses of clinical isolates of CR</w:t>
      </w:r>
      <w:r>
        <w:t xml:space="preserve"> </w:t>
      </w:r>
      <w:r>
        <w:t>Kp</w:t>
      </w:r>
      <w:r>
        <w:t xml:space="preserve"> </w:t>
      </w:r>
      <w:r>
        <w:t>have found that the two-component regulatory system CrrAB is a genomic feature of ST258, suggesting that it may contribute to its global dominance. Despite this, the molecular details underpinning CrrAB’s contribution to ST258</w:t>
      </w:r>
      <w:r>
        <w:t xml:space="preserve"> </w:t>
      </w:r>
      <w:r>
        <w:t>Kp</w:t>
      </w:r>
      <w:r>
        <w:t xml:space="preserve"> </w:t>
      </w:r>
      <w:r>
        <w:t>biology and pathogenicity are poorly understood. We used RNA-sequencing to identify the regulon of CrrA and found that CrrAB induces the expression of a gene, encoding Crr-regulated fimbriae modifying protein (CfmP), that is essential for pathogenesis driven by this two-component system. We performed mass spectrometry analyses of fimbriae purified from</w:t>
      </w:r>
      <w:r>
        <w:t xml:space="preserve"> </w:t>
      </w:r>
      <w:r>
        <w:t>Kp</w:t>
      </w:r>
      <w:r>
        <w:t xml:space="preserve"> </w:t>
      </w:r>
      <w:r>
        <w:t>expressing or lacking</w:t>
      </w:r>
      <w:r>
        <w:t xml:space="preserve"> </w:t>
      </w:r>
      <w:r>
        <w:t>cfmP</w:t>
      </w:r>
      <w:r>
        <w:t xml:space="preserve"> </w:t>
      </w:r>
      <w:r>
        <w:t>and found that CfmP induces a novel oxidation to a histidine residue in the major pilin subunit of fimbriae, FimA. We demonstrate that this oxidation significantly increases host cell adhesion and high bacterial loads within the host. CrrAB also drives high antibiotic resistance in CR</w:t>
      </w:r>
      <w:r>
        <w:t xml:space="preserve"> </w:t>
      </w:r>
      <w:r>
        <w:t>Kp</w:t>
      </w:r>
      <w:r>
        <w:t xml:space="preserve"> </w:t>
      </w:r>
      <w:r>
        <w:t>. Thus, our results place CrrAB at the intersection of pathogenicity and antibiotic resistance supporting its function as an important regulatory system driving the global dominance of ST258.</w:t>
      </w:r>
    </w:p>
    <w:p>
      <w:pPr>
        <w:spacing w:before="120" w:after="120"/>
      </w:pPr>
      <w:r>
        <w:rPr>
          <w:sz w:val="18"/>
        </w:rPr>
        <w:t>——————————————————————————————————————————————————————————————————————</w:t>
      </w:r>
    </w:p>
    <w:p>
      <w:pPr>
        <w:spacing w:before="160" w:after="40" w:line="240" w:lineRule="auto"/>
      </w:pPr>
      <w:r>
        <w:rPr>
          <w:b/>
        </w:rPr>
        <w:t xml:space="preserve">[560] </w:t>
      </w:r>
      <w:hyperlink r:id="rId1452">
        <w:r>
          <w:rPr>
            <w:color w:val="1155CC"/>
            <w:u w:val="single"/>
          </w:rPr>
          <w:t>将结构定义的 DNA-碳纳米管传感器与机器学习相结合以进行癌症检测</w:t>
        </w:r>
      </w:hyperlink>
    </w:p>
    <w:p>
      <w:pPr>
        <w:spacing w:before="0" w:after="80"/>
      </w:pPr>
      <w:r>
        <w:rPr>
          <w:i/>
          <w:sz w:val="20"/>
        </w:rPr>
        <w:t>EN: Integrating structurally defined DNA-carbon nanotube sensors with machine learning for cancer detection</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53">
        <w:r>
          <w:rPr>
            <w:color w:val="1155CC"/>
            <w:u w:val="single"/>
          </w:rPr>
          <w:t>10.1126/sciadv.aef9530</w:t>
        </w:r>
      </w:hyperlink>
    </w:p>
    <w:p>
      <w:pPr>
        <w:spacing w:before="0" w:after="120"/>
      </w:pPr>
      <w:r>
        <w:rPr>
          <w:b/>
        </w:rPr>
        <w:t xml:space="preserve">Notes: </w:t>
      </w:r>
      <w:r>
        <w:t>abstract_source=crossref</w:t>
      </w:r>
    </w:p>
    <w:p>
      <w:pPr>
        <w:spacing w:before="0" w:after="80" w:lineRule="auto" w:line="276"/>
      </w:pPr>
      <w:r>
        <w:rPr>
          <w:b/>
        </w:rPr>
        <w:t xml:space="preserve">摘要（ZH）: </w:t>
      </w:r>
      <w:r>
        <w:t>液体活检是一种有前景的非侵入性癌症检测方法，但目前的方法通常会在准确性、可操作性和成本之间进行权衡。为了解决这些限制，我们引入了一种用于液体活检的人工感知系统 (APS)，它将结构定义的 DNA-碳纳米管传感器阵列与机器学习 (ML) 模型相结合。该阵列从血清中产生多通道荧光指纹，通过机器学习模型对其进行解码以对疾病状态进行分类。在涵盖肝癌、肺癌、卵巢癌和非癌症对照的总共 253 个血清样本中，APS 的平均灵敏度为 89%，特异性为 96%。值得注意的是，早期肺癌的检测灵敏度为 92%，特异性为 95%，每次检测的估计成本约为 4 美元。 SHAP 分析和 Mantel 测试的见解揭示了 APS 的检测机制，支持生物学合理性和临床转化。这些结果突出了一条通往准确、可扩展且负担得起的多癌症检测和早期癌症筛查的道路。</w:t>
      </w:r>
    </w:p>
    <w:p>
      <w:pPr>
        <w:spacing w:before="0" w:after="200" w:lineRule="auto" w:line="276"/>
      </w:pPr>
      <w:r>
        <w:rPr>
          <w:b/>
        </w:rPr>
        <w:t xml:space="preserve">Abstract (EN): </w:t>
      </w:r>
      <w:r>
        <w:t>Liquid biopsy is a promising, noninvasive approach for cancer detection, but current methods often trade off accuracy, operability, and cost. To address these limitations, we introduce an artificial perception system (APS) for liquid biopsy that combines a structurally defined DNA-carbon nanotube sensor array with machine learning (ML) models. The array produces multichannel fluorescence fingerprints from serum, which are decoded by ML models to classify disease state. In a total of 253 serum samples spanning liver, lung, and ovarian cancers and noncancer controls, the APS achieved mean sensitivity of 89% and specificity of 96%. Notably, early-stage lung cancer was detected with 92% sensitivity and 95% specificity at an estimated cost of ∼$4 USD per test. Insights from SHAP analysis and Mantel test revealed the detection mechanisms of APS, supporting biological plausibility and clinical translation. These results highlight a path toward accurate, scalable, and affordable multicancer detection and early cancer screening.</w:t>
      </w:r>
    </w:p>
    <w:p>
      <w:pPr>
        <w:spacing w:before="120" w:after="120"/>
      </w:pPr>
      <w:r>
        <w:rPr>
          <w:sz w:val="18"/>
        </w:rPr>
        <w:t>——————————————————————————————————————————————————————————————————————</w:t>
      </w:r>
    </w:p>
    <w:p>
      <w:pPr>
        <w:spacing w:before="160" w:after="40" w:line="240" w:lineRule="auto"/>
      </w:pPr>
      <w:r>
        <w:rPr>
          <w:b/>
        </w:rPr>
        <w:t xml:space="preserve">[561] </w:t>
      </w:r>
      <w:hyperlink r:id="rId1454">
        <w:r>
          <w:rPr>
            <w:color w:val="1155CC"/>
            <w:u w:val="single"/>
          </w:rPr>
          <w:t>COQ8 伴侣通过 ATP 驱动的结构门控辅酶 Q 脂质中间体</w:t>
        </w:r>
      </w:hyperlink>
    </w:p>
    <w:p>
      <w:pPr>
        <w:spacing w:before="0" w:after="80"/>
      </w:pPr>
      <w:r>
        <w:rPr>
          <w:i/>
          <w:sz w:val="20"/>
        </w:rPr>
        <w:t>EN: COQ8 chaperones coenzyme Q lipid intermediates through ATP-driven structural gating</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55">
        <w:r>
          <w:rPr>
            <w:color w:val="1155CC"/>
            <w:u w:val="single"/>
          </w:rPr>
          <w:t>10.1126/sciadv.aeg1124</w:t>
        </w:r>
      </w:hyperlink>
    </w:p>
    <w:p>
      <w:pPr>
        <w:spacing w:before="0" w:after="120"/>
      </w:pPr>
      <w:r>
        <w:rPr>
          <w:b/>
        </w:rPr>
        <w:t xml:space="preserve">Notes: </w:t>
      </w:r>
      <w:r>
        <w:t>abstract_source=crossref</w:t>
      </w:r>
    </w:p>
    <w:p>
      <w:pPr>
        <w:spacing w:before="0" w:after="80" w:lineRule="auto" w:line="276"/>
      </w:pPr>
      <w:r>
        <w:rPr>
          <w:b/>
        </w:rPr>
        <w:t xml:space="preserve">摘要（ZH）: </w:t>
      </w:r>
      <w:r>
        <w:t>辅酶Q生物合成需要两种非典型激酶样蛋白（COQ8A和COQ8B），其详细分子机制仍不清楚。在这里，我们证明这两种旁系同源物都作为腺苷三磷酸酶（ATPase）发挥作用，通过参与松散的蛋白质-蛋白质相互作用并提供不溶性生物合成中间体来促进辅酶 Q 生物合成代谢活性。结构生物信息学和病理变异驱动的诱变鉴定了一个以前未表征的口袋，该口袋通过其头基选择性识别辅酶 Q 生物合成中间体。 X 射线晶体学表明，进入该口袋是通过 5'-三磷酸腺苷水解控制的长程构象变化来控制的。最后，过量的辅酶Q会抑制早期中间体的结合，从而消除COQ8对代谢的促进作用。总之，这些发现支持了一个模型，其中 COQ8 通过将 ATP 酶驱动的中间陪伴与最终产物的反馈抑制耦合来调节辅酶 Q 生物合成。</w:t>
      </w:r>
    </w:p>
    <w:p>
      <w:pPr>
        <w:spacing w:before="0" w:after="200" w:lineRule="auto" w:line="276"/>
      </w:pPr>
      <w:r>
        <w:rPr>
          <w:b/>
        </w:rPr>
        <w:t xml:space="preserve">Abstract (EN): </w:t>
      </w:r>
      <w:r>
        <w:t>Coenzyme Q biosynthesis requires two atypical kinase-like proteins (COQ8A and COQ8B), whose detailed molecular mechanism remains unclear. Here, we show that both paralogs function as adenosine triphosphatases (ATPases) that promote coenzyme Q biosynthetic metabolon activity by engaging in loose protein-protein interactions and delivering insoluble biosynthetic intermediates. Structural bioinformatics and pathological variant–driven mutagenesis identify a previously uncharacterized pocket that selectively recognizes coenzyme Q biosynthetic intermediates via their head groups. X-ray crystallography reveals that access to this pocket is gated by long-range conformational changes controlled by adenosine 5′-triphosphate hydrolysis. Last, excess coenzyme Q suppresses binding of early-stage intermediates and thereby abolishes the promoting effect of COQ8 on the metabolon. Together, these findings support a model in which COQ8 tunes coenzyme Q biosynthesis by coupling ATPase-driven intermediate chaperoning to feedback inhibition by the final product.</w:t>
      </w:r>
    </w:p>
    <w:p>
      <w:pPr>
        <w:spacing w:before="120" w:after="120"/>
      </w:pPr>
      <w:r>
        <w:rPr>
          <w:sz w:val="18"/>
        </w:rPr>
        <w:t>——————————————————————————————————————————————————————————————————————</w:t>
      </w:r>
    </w:p>
    <w:p>
      <w:pPr>
        <w:spacing w:before="160" w:after="40" w:line="240" w:lineRule="auto"/>
      </w:pPr>
      <w:r>
        <w:rPr>
          <w:b/>
        </w:rPr>
        <w:t xml:space="preserve">[562] </w:t>
      </w:r>
      <w:hyperlink r:id="rId1456">
        <w:r>
          <w:rPr>
            <w:color w:val="1155CC"/>
            <w:u w:val="single"/>
          </w:rPr>
          <w:t>确定 GABAA 受体亚型选择性纳米抗体的分子和生理作用</w:t>
        </w:r>
      </w:hyperlink>
    </w:p>
    <w:p>
      <w:pPr>
        <w:spacing w:before="0" w:after="80"/>
      </w:pPr>
      <w:r>
        <w:rPr>
          <w:i/>
          <w:sz w:val="20"/>
        </w:rPr>
        <w:t>EN: Determining the molecular and physiological actions of subtype-selective nanobodies of GABAA receptors</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57">
        <w:r>
          <w:rPr>
            <w:color w:val="1155CC"/>
            <w:u w:val="single"/>
          </w:rPr>
          <w:t>10.1126/sciadv.aeg3548</w:t>
        </w:r>
      </w:hyperlink>
    </w:p>
    <w:p>
      <w:pPr>
        <w:spacing w:before="0" w:after="120"/>
      </w:pPr>
      <w:r>
        <w:rPr>
          <w:b/>
        </w:rPr>
        <w:t xml:space="preserve">Notes: </w:t>
      </w:r>
      <w:r>
        <w:t>abstract_source=crossref</w:t>
      </w:r>
    </w:p>
    <w:p>
      <w:pPr>
        <w:spacing w:before="0" w:after="80" w:lineRule="auto" w:line="276"/>
      </w:pPr>
      <w:r>
        <w:rPr>
          <w:b/>
        </w:rPr>
        <w:t xml:space="preserve">摘要（ZH）: </w:t>
      </w:r>
      <w:r>
        <w:t>γ-氨基丁酸 A 型 (GABA</w:t>
      </w:r>
      <w:r>
        <w:t xml:space="preserve"> </w:t>
      </w:r>
      <w:r>
        <w:t>一个</w:t>
      </w:r>
      <w:r>
        <w:t xml:space="preserve"> </w:t>
      </w:r>
      <w:r>
        <w:t>）受体是人类中枢神经系统抑制性神经传递的主要介质。 α</w:t>
      </w:r>
      <w:r>
        <w:rPr>
          <w:vertAlign w:val="subscript"/>
        </w:rPr>
        <w:t>2</w:t>
      </w:r>
      <w:r>
        <w:t>- 和 α</w:t>
      </w:r>
      <w:r>
        <w:rPr>
          <w:vertAlign w:val="subscript"/>
        </w:rPr>
        <w:t>3</w:t>
      </w:r>
      <w:r>
        <w:t>包含亚型的空间表达谱受到严格控制，影响焦虑、伤害感受、癫痫和自闭症。 α</w:t>
      </w:r>
      <w:r>
        <w:rPr>
          <w:vertAlign w:val="subscript"/>
        </w:rPr>
        <w:t>2</w:t>
      </w:r>
      <w:r>
        <w:t>/α</w:t>
      </w:r>
      <w:r>
        <w:rPr>
          <w:vertAlign w:val="subscript"/>
        </w:rPr>
        <w:t>3</w:t>
      </w:r>
      <w:r>
        <w:t>-选择性小分子会影响作用强度（功效），以避免亚型调节。为了打破这种药理学僵局，我们在这里研究了一组针对 α 的纳米抗体 (NB)</w:t>
      </w:r>
      <w:r>
        <w:rPr>
          <w:vertAlign w:val="subscript"/>
        </w:rPr>
        <w:t>2</w:t>
      </w:r>
      <w:r>
        <w:t>- 和 α</w:t>
      </w:r>
      <w:r>
        <w:rPr>
          <w:vertAlign w:val="subscript"/>
        </w:rPr>
        <w:t>3</w:t>
      </w:r>
      <w:r>
        <w:t>含GABA</w:t>
      </w:r>
      <w:r>
        <w:t xml:space="preserve"> </w:t>
      </w:r>
      <w:r>
        <w:t>一个</w:t>
      </w:r>
      <w:r>
        <w:t xml:space="preserve"> </w:t>
      </w:r>
      <w:r>
        <w:t>受体。我们鉴定了亚型选择性沉默结合物、正变构调节剂 (PAM) 和抑制剂。冷冻电子显微镜结构解释了代表性纳米粒子的结合模式和分子作用机制。调节剂在脑切片和神经元网络中表现出独特的突触和突触外功能特征，并且可以减少体内焦虑。这些选择性且有效的 NB（无论是抑制剂还是正调节剂）能够对 α 进行强大而精确的药理学控制</w:t>
      </w:r>
      <w:r>
        <w:rPr>
          <w:vertAlign w:val="subscript"/>
        </w:rPr>
        <w:t>2</w:t>
      </w:r>
      <w:r>
        <w:t>/α</w:t>
      </w:r>
      <w:r>
        <w:rPr>
          <w:vertAlign w:val="subscript"/>
        </w:rPr>
        <w:t>3</w:t>
      </w:r>
      <w:r>
        <w:t>-包含亚型以推进基础研究并作为治疗神经精神疾病的潜在治疗方法。</w:t>
      </w:r>
    </w:p>
    <w:p>
      <w:pPr>
        <w:spacing w:before="0" w:after="200" w:lineRule="auto" w:line="276"/>
      </w:pPr>
      <w:r>
        <w:rPr>
          <w:b/>
        </w:rPr>
        <w:t xml:space="preserve">Abstract (EN): </w:t>
      </w:r>
      <w:r>
        <w:t>γ-Aminobutyric acid type-A (GABA</w:t>
      </w:r>
      <w:r>
        <w:t xml:space="preserve"> </w:t>
      </w:r>
      <w:r>
        <w:t>A</w:t>
      </w:r>
      <w:r>
        <w:t xml:space="preserve"> </w:t>
      </w:r>
      <w:r>
        <w:t>) receptors are the principal mediators of inhibitory neurotransmission in the human central nervous system. The α</w:t>
      </w:r>
      <w:r>
        <w:rPr>
          <w:vertAlign w:val="subscript"/>
        </w:rPr>
        <w:t>2</w:t>
      </w:r>
      <w:r>
        <w:t>- and α</w:t>
      </w:r>
      <w:r>
        <w:rPr>
          <w:vertAlign w:val="subscript"/>
        </w:rPr>
        <w:t>3</w:t>
      </w:r>
      <w:r>
        <w:t>-containing subtypes have tightly controlled spatial expression profiles, which influence anxiety, nociception, epilepsy, and autism. α</w:t>
      </w:r>
      <w:r>
        <w:rPr>
          <w:vertAlign w:val="subscript"/>
        </w:rPr>
        <w:t>2</w:t>
      </w:r>
      <w:r>
        <w:t>/α</w:t>
      </w:r>
      <w:r>
        <w:rPr>
          <w:vertAlign w:val="subscript"/>
        </w:rPr>
        <w:t>3</w:t>
      </w:r>
      <w:r>
        <w:t>-Selective small molecules compromise on strength of effect (efficacy) to avoid off-subtype modulation. To break this pharmacological deadlock, we study here a panel of nanobodies (NBs) raised against α</w:t>
      </w:r>
      <w:r>
        <w:rPr>
          <w:vertAlign w:val="subscript"/>
        </w:rPr>
        <w:t>2</w:t>
      </w:r>
      <w:r>
        <w:t>- and α</w:t>
      </w:r>
      <w:r>
        <w:rPr>
          <w:vertAlign w:val="subscript"/>
        </w:rPr>
        <w:t>3</w:t>
      </w:r>
      <w:r>
        <w:t>-containing GABA</w:t>
      </w:r>
      <w:r>
        <w:t xml:space="preserve"> </w:t>
      </w:r>
      <w:r>
        <w:t>A</w:t>
      </w:r>
      <w:r>
        <w:t xml:space="preserve"> </w:t>
      </w:r>
      <w:r>
        <w:t>receptors. We identify subtype selective silent binders, positive allosteric modulators (PAMs), and inhibitors. Cryo–electron microscopy structures explain the binding modes and molecular mechanisms of action of representative NBs. Modulators exhibit distinct synaptic and extrasynaptic functional profiles in brain slices and neuronal networks and can reduce anxiety in vivo. These selective and efficacious NBs (whether inhibitors or positive modulators) enable strong yet precise pharmacological control of α</w:t>
      </w:r>
      <w:r>
        <w:rPr>
          <w:vertAlign w:val="subscript"/>
        </w:rPr>
        <w:t>2</w:t>
      </w:r>
      <w:r>
        <w:t>/α</w:t>
      </w:r>
      <w:r>
        <w:rPr>
          <w:vertAlign w:val="subscript"/>
        </w:rPr>
        <w:t>3</w:t>
      </w:r>
      <w:r>
        <w:t>-containing subtypes to advance basic research and as potential therapeutic leads to treat neuropsychiatric disorders.</w:t>
      </w:r>
    </w:p>
    <w:p>
      <w:pPr>
        <w:spacing w:before="120" w:after="120"/>
      </w:pPr>
      <w:r>
        <w:rPr>
          <w:sz w:val="18"/>
        </w:rPr>
        <w:t>——————————————————————————————————————————————————————————————————————</w:t>
      </w:r>
    </w:p>
    <w:p>
      <w:pPr>
        <w:spacing w:before="160" w:after="40" w:line="240" w:lineRule="auto"/>
      </w:pPr>
      <w:r>
        <w:rPr>
          <w:b/>
        </w:rPr>
        <w:t xml:space="preserve">[563] </w:t>
      </w:r>
      <w:hyperlink r:id="rId1458">
        <w:r>
          <w:rPr>
            <w:color w:val="1155CC"/>
            <w:u w:val="single"/>
          </w:rPr>
          <w:t>具有可编程形态和可调动力学的肌肉骨骼执行器</w:t>
        </w:r>
      </w:hyperlink>
    </w:p>
    <w:p>
      <w:pPr>
        <w:spacing w:before="0" w:after="80"/>
      </w:pPr>
      <w:r>
        <w:rPr>
          <w:i/>
          <w:sz w:val="20"/>
        </w:rPr>
        <w:t>EN: Musculoskeletal actuators with programmable morphology and tunable dynamics</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59">
        <w:r>
          <w:rPr>
            <w:color w:val="1155CC"/>
            <w:u w:val="single"/>
          </w:rPr>
          <w:t>10.1126/sciadv.aeg4524</w:t>
        </w:r>
      </w:hyperlink>
    </w:p>
    <w:p>
      <w:pPr>
        <w:spacing w:before="0" w:after="120"/>
      </w:pPr>
      <w:r>
        <w:rPr>
          <w:b/>
        </w:rPr>
        <w:t xml:space="preserve">Notes: </w:t>
      </w:r>
      <w:r>
        <w:t>abstract_source=crossref</w:t>
      </w:r>
    </w:p>
    <w:p>
      <w:pPr>
        <w:spacing w:before="0" w:after="80" w:lineRule="auto" w:line="276"/>
      </w:pPr>
      <w:r>
        <w:rPr>
          <w:b/>
        </w:rPr>
        <w:t xml:space="preserve">摘要（ZH）: </w:t>
      </w:r>
      <w:r>
        <w:t>受自然物种利用形态变化来适应复杂环境的启发，可变形机器人已成为具有体现智能的机器人的前沿，特别是在多模式和跨域运动方面。然而，在形态和动力学方面具有双重可编程性的小型柔性执行器的开发仍然难以实现，这阻碍了无绳变形机器人的小型化。受生物肌肉骨骼系统的启发，我们提出了由串联的可变形骨架模块和刚度可调肌肉模块构成的人工肌肉骨骼执行器，从而能够对形态和动力学进行编程。肌肉模块采用多层基于 PDMS 的介电弹性体和电热驱动形状记忆聚合物，可调节谐振频率、谐振振幅和驱动力。几何形状复杂的肌肉骨骼执行器旨在重现啄木鸟和蝎子等物种的复杂动态行为。不受系留的蜜袋鼯启发的多模式小型机器人和具有四足和人形运动模式的可变形小型机器人的演示表明了所提出的执行器的有前景的应用。</w:t>
      </w:r>
    </w:p>
    <w:p>
      <w:pPr>
        <w:spacing w:before="0" w:after="200" w:lineRule="auto" w:line="276"/>
      </w:pPr>
      <w:r>
        <w:rPr>
          <w:b/>
        </w:rPr>
        <w:t xml:space="preserve">Abstract (EN): </w:t>
      </w:r>
      <w:r>
        <w:t>Inspired by natural species exploiting morphological changes to adapt to complex environments, morphable robots have emerged as a frontier of robots with embodied intelligence, particularly for multimodal and cross-domain locomotion. However, the development of small-scale flexible actuators with dual programmability in morphology and dynamics remains elusive, hindering miniaturization of untethered morphable robots. Inspired by biological musculoskeletal systems, we present artificial musculoskeletal actuators constructed with serially connected morphable skeleton modules and stiffness-tunable muscle modules, enabling programming of both morphology and dynamics. The muscle module exploits a multilayer PDMS-based dielectric elastomer and an electrothermally actuated shape memory polymer, allowing modulation of resonant frequency, resonant vibration amplitude, and actuation force. Geometrically sophisticated musculoskeletal actuators are constructed to reproduce complex dynamic behaviors of species like woodpecker and scorpion. Demonstrations of an untethered sugar glider–inspired multimodal small-scale robot and a morphable small-scale robot with quadruped and humanoid locomotion modes suggest promising applications of proposed actuators.</w:t>
      </w:r>
    </w:p>
    <w:p>
      <w:pPr>
        <w:spacing w:before="120" w:after="120"/>
      </w:pPr>
      <w:r>
        <w:rPr>
          <w:sz w:val="18"/>
        </w:rPr>
        <w:t>——————————————————————————————————————————————————————————————————————</w:t>
      </w:r>
    </w:p>
    <w:p>
      <w:pPr>
        <w:spacing w:before="160" w:after="40" w:line="240" w:lineRule="auto"/>
      </w:pPr>
      <w:r>
        <w:rPr>
          <w:b/>
        </w:rPr>
        <w:t xml:space="preserve">[564] </w:t>
      </w:r>
      <w:hyperlink r:id="rId1460">
        <w:r>
          <w:rPr>
            <w:color w:val="1155CC"/>
            <w:u w:val="single"/>
          </w:rPr>
          <w:t>具有时间编码的并行非线性神经形态计算</w:t>
        </w:r>
      </w:hyperlink>
    </w:p>
    <w:p>
      <w:pPr>
        <w:spacing w:before="0" w:after="80"/>
      </w:pPr>
      <w:r>
        <w:rPr>
          <w:i/>
          <w:sz w:val="20"/>
        </w:rPr>
        <w:t>EN: Parallel nonlinear neuromorphic computing with temporal encoding</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61">
        <w:r>
          <w:rPr>
            <w:color w:val="1155CC"/>
            <w:u w:val="single"/>
          </w:rPr>
          <w:t>10.1126/sciadv.aea1114</w:t>
        </w:r>
      </w:hyperlink>
    </w:p>
    <w:p>
      <w:pPr>
        <w:spacing w:before="0" w:after="120"/>
      </w:pPr>
      <w:r>
        <w:rPr>
          <w:b/>
        </w:rPr>
        <w:t xml:space="preserve">Notes: </w:t>
      </w:r>
      <w:r>
        <w:t>abstract_source=crossref</w:t>
      </w:r>
    </w:p>
    <w:p>
      <w:pPr>
        <w:spacing w:before="0" w:after="80" w:lineRule="auto" w:line="276"/>
      </w:pPr>
      <w:r>
        <w:rPr>
          <w:b/>
        </w:rPr>
        <w:t xml:space="preserve">摘要（ZH）: </w:t>
      </w:r>
      <w:r>
        <w:t>深度学习应用的激增加剧了对低能耗、快速计算速度的电子硬件的需求。神经形态光子学已成为在物理空间处理高通量信息的可行替代方案。然而，由于传统非线性材料和光电转换的功率效率和可操作性受损，同时获得高线性和非线性表现力提出了相当大的挑战。在这里，我们引入了一种并行非线性神经形态处理器，只需利用时空超表面的时间编码即可实现多维通道中信息状态的任意叠加。我们通过实验证明了基于分布式时空超表面的概念，展示了异步调制在多标签识别和多任务并行方面的鲁棒性能。我们的非线性处理器展示了对典型迷宫求解问题的实时响应的动态记忆能力。我们的工作为针对复杂场景定制的各种时间调制神经形态处理器开辟了一条灵活的途径。</w:t>
      </w:r>
    </w:p>
    <w:p>
      <w:pPr>
        <w:spacing w:before="0" w:after="200" w:lineRule="auto" w:line="276"/>
      </w:pPr>
      <w:r>
        <w:rPr>
          <w:b/>
        </w:rPr>
        <w:t xml:space="preserve">Abstract (EN): </w:t>
      </w:r>
      <w:r>
        <w:t>The proliferation of deep learning applications has intensified the demand for electronic hardware with low energy consumption and fast computing speed. Neuromorphic photonics have emerged as a viable alternative to process high-throughput information at the physical space. However, the simultaneous attainment of high linear and nonlinear expressivity poses a considerable challenge due to the power efficiency and impaired manipulability in conventional nonlinear materials and optoelectronic conversion. Here, we introduce a parallel nonlinear neuromorphic processor that enables arbitrary superposition of information states in multidimensional channels, only by leveraging the temporal encoding of spatiotemporal metasurfaces. We experimentally demonstrated the concept based on distributed spatiotemporal metasurfaces, showcasing robust performance in multilabel recognition and multitask parallelism with asynchronous modulation. Our nonlinear processor demonstrates dynamic memory capability in real-time responsiveness to canonical maze-solving problem. Our work opens up a flexible avenue for a variety of temporally modulated neuromorphic processors tailored for complex scenarios.</w:t>
      </w:r>
    </w:p>
    <w:p>
      <w:pPr>
        <w:spacing w:before="120" w:after="120"/>
      </w:pPr>
      <w:r>
        <w:rPr>
          <w:sz w:val="18"/>
        </w:rPr>
        <w:t>——————————————————————————————————————————————————————————————————————</w:t>
      </w:r>
    </w:p>
    <w:p>
      <w:pPr>
        <w:spacing w:before="160" w:after="40" w:line="240" w:lineRule="auto"/>
      </w:pPr>
      <w:r>
        <w:rPr>
          <w:b/>
        </w:rPr>
        <w:t xml:space="preserve">[565] </w:t>
      </w:r>
      <w:hyperlink r:id="rId1462">
        <w:r>
          <w:rPr>
            <w:color w:val="1155CC"/>
            <w:u w:val="single"/>
          </w:rPr>
          <w:t>脂质组学分析揭示了影响神经干细胞衰老的质膜脂质的年龄依赖性变化</w:t>
        </w:r>
      </w:hyperlink>
    </w:p>
    <w:p>
      <w:pPr>
        <w:spacing w:before="0" w:after="80"/>
      </w:pPr>
      <w:r>
        <w:rPr>
          <w:i/>
          <w:sz w:val="20"/>
        </w:rPr>
        <w:t>EN: Lipidomic profiling reveals age-dependent changes in plasma membrane lipids that affect neural stem cell aging</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63">
        <w:r>
          <w:rPr>
            <w:color w:val="1155CC"/>
            <w:u w:val="single"/>
          </w:rPr>
          <w:t>10.1126/sciadv.aeh9771</w:t>
        </w:r>
      </w:hyperlink>
    </w:p>
    <w:p>
      <w:pPr>
        <w:spacing w:before="0" w:after="120"/>
      </w:pPr>
      <w:r>
        <w:rPr>
          <w:b/>
        </w:rPr>
        <w:t xml:space="preserve">Notes: </w:t>
      </w:r>
      <w:r>
        <w:t>abstract_source=crossref</w:t>
      </w:r>
    </w:p>
    <w:p>
      <w:pPr>
        <w:spacing w:before="0" w:after="80" w:lineRule="auto" w:line="276"/>
      </w:pPr>
      <w:r>
        <w:rPr>
          <w:b/>
        </w:rPr>
        <w:t xml:space="preserve">摘要（ZH）: </w:t>
      </w:r>
      <w:r>
        <w:t>衰老的大脑表现出神经干细胞（NSC）再生数量的下降。虽然恢复旧 NSC 功能的机制已开始被确定，但脂质（尤其是复合脂质）在 NSC 衰老中的作用仍不清楚。使用质谱分析脂质组学分析，我们在体外和体内鉴定了静态 NSC 中复杂脂质的年龄相关变化。此外，在衰老过程中，静态 NSC 中的几种多不饱和脂肪酸在脂质类别中增加。使用空间脂质组学，我们发现复杂脂质的一些变化也可以在原位观察到。分离的质膜囊泡的脂质组学分析揭示了质膜上发生了复杂脂质和侧链组成的一些与年龄相关的变化。通过实验，我们发现衰老伴随着质膜秩序的下降，质膜秩序是体外和体内老静止神经干细胞的一种关键的膜生物物理特性。为了确定质膜脂质在衰老 NSC 中的功能作用，我们进行了遗传和补充研究。敲除磷脂酰基转移酶 MBOAT2 会加剧老旧静止 NSC 中与年龄相关的脂质组学变化，并阻碍其激活能力。</w:t>
      </w:r>
      <w:r>
        <w:t xml:space="preserve"> </w:t>
      </w:r>
      <w:r>
        <w:t>移动船2</w:t>
      </w:r>
      <w:r>
        <w:t xml:space="preserve"> </w:t>
      </w:r>
      <w:r>
        <w:t>过度表达可逆转老的静止神经干细胞中与年龄相关的脂质组学变化，并增强其在体外和体内激活的能力。此外，补充年轻神经干细胞的质膜脂质可以提高老年静止神经干细胞的激活能力。我们的工作可能会导致基于脂质的策略</w:t>
      </w:r>
    </w:p>
    <w:p>
      <w:pPr>
        <w:spacing w:before="0" w:after="200" w:lineRule="auto" w:line="276"/>
      </w:pPr>
      <w:r>
        <w:rPr>
          <w:b/>
        </w:rPr>
        <w:t xml:space="preserve">Abstract (EN): </w:t>
      </w:r>
      <w:r>
        <w:t>The aging brain exhibits a decline in the regenerative populations of neural stem cells (NSCs). While mechanisms that restore old NSC function have started to be identified, the role of lipids—especially complex lipids—in NSC aging remains largely unclear. Using lipidomic profiling by mass spectrometry, we identify age-related changes in complex lipids in quiescent NSCs in vitro and in vivo. Moreover, several polyunsaturated fatty acids increase across lipid classes in quiescent NSCs during aging. Using spatial lipidomics, we find that some of the changes in complex lipids are also observed in situ. Several age-related changes in complex lipids and side chain composition are occurring at the plasma membrane, as revealed by lipidomic profiling of isolated plasma membrane vesicles. Experimentally, we show that aging is accompanied by a decrease in plasma membrane order, a key membrane biophysical property, in old quiescent NSCs in vitro and in vivo. To determine the functional role of plasma membrane lipids in aging NSCs, we performed genetic and supplementation studies. Knocking out the phospholipid acyltransferase MBOAT2 exacerbates age-related lipidomic changes in old quiescent NSCs and impedes their ability to activate.</w:t>
      </w:r>
      <w:r>
        <w:t xml:space="preserve"> </w:t>
      </w:r>
      <w:r>
        <w:t>Mboat2</w:t>
      </w:r>
      <w:r>
        <w:t xml:space="preserve"> </w:t>
      </w:r>
      <w:r>
        <w:t>overexpression reverses age-related lipidomic changes in old quiescent NSCs and boosts their ability to activate in vitro and in vivo. Moreover, supplementation of plasma membrane lipids from young NSCs improves the ability of old quiescent NSCs to activate. Our work could lead to lipid-based strategies for restoring the regenerative potential of NSCs, which has important implications for countering brain decline during aging.</w:t>
      </w:r>
    </w:p>
    <w:p>
      <w:pPr>
        <w:spacing w:before="120" w:after="120"/>
      </w:pPr>
      <w:r>
        <w:rPr>
          <w:sz w:val="18"/>
        </w:rPr>
        <w:t>——————————————————————————————————————————————————————————————————————</w:t>
      </w:r>
    </w:p>
    <w:p>
      <w:pPr>
        <w:spacing w:before="160" w:after="40" w:line="240" w:lineRule="auto"/>
      </w:pPr>
      <w:r>
        <w:rPr>
          <w:b/>
        </w:rPr>
        <w:t xml:space="preserve">[566] </w:t>
      </w:r>
      <w:hyperlink r:id="rId1464">
        <w:r>
          <w:rPr>
            <w:color w:val="1155CC"/>
            <w:u w:val="single"/>
          </w:rPr>
          <w:t>大自然的抗蛇毒血清：保守的响尾蛇血清金属蛋白酶抑制剂的组合可阻断毒蛇毒液的致命作用</w:t>
        </w:r>
      </w:hyperlink>
    </w:p>
    <w:p>
      <w:pPr>
        <w:spacing w:before="0" w:after="80"/>
      </w:pPr>
      <w:r>
        <w:rPr>
          <w:i/>
          <w:sz w:val="20"/>
        </w:rPr>
        <w:t>EN: Nature’s antivenom: Combinations of conserved rattlesnake serum metalloproteinase inhibitors block the lethal action of viper venoms</w:t>
      </w:r>
    </w:p>
    <w:p>
      <w:pPr>
        <w:spacing w:before="0" w:after="120"/>
      </w:pPr>
      <w:r>
        <w:rPr>
          <w:b/>
        </w:rPr>
        <w:t xml:space="preserve">Source: </w:t>
      </w:r>
      <w:r>
        <w:t>Proceedings of the National Academy of Sciences: Keyword search for query</w:t>
      </w:r>
      <w:r>
        <w:t xml:space="preserve">    </w:t>
      </w:r>
      <w:r>
        <w:rPr>
          <w:b/>
        </w:rPr>
        <w:t xml:space="preserve">Pub date: </w:t>
      </w:r>
      <w:r>
        <w:t>2026-07-29 07:00:00+00:00</w:t>
      </w:r>
      <w:r>
        <w:t xml:space="preserve">    </w:t>
      </w:r>
      <w:r>
        <w:rPr>
          <w:b/>
        </w:rPr>
        <w:t xml:space="preserve">DOI: </w:t>
      </w:r>
      <w:hyperlink r:id="rId1465">
        <w:r>
          <w:rPr>
            <w:color w:val="1155CC"/>
            <w:u w:val="single"/>
          </w:rPr>
          <w:t>10.1073/pnas.2612168123</w:t>
        </w:r>
      </w:hyperlink>
    </w:p>
    <w:p>
      <w:pPr>
        <w:spacing w:before="0" w:after="120"/>
      </w:pPr>
      <w:r>
        <w:rPr>
          <w:b/>
        </w:rPr>
        <w:t xml:space="preserve">Notes: </w:t>
      </w:r>
      <w:r>
        <w:t>abstract_source=crossref</w:t>
      </w:r>
    </w:p>
    <w:p>
      <w:pPr>
        <w:spacing w:before="0" w:after="80" w:lineRule="auto" w:line="276"/>
      </w:pPr>
      <w:r>
        <w:rPr>
          <w:b/>
        </w:rPr>
        <w:t xml:space="preserve">摘要（ZH）: </w:t>
      </w:r>
      <w:r>
        <w:t>每年有数十万人因蛇咬伤而致残或死亡。一个多世纪以来，治疗一直依赖于从用全毒液免疫的动物中提取的抗蛇毒血清，但其功效、安全性和可用性差异很大，而且通常不能很好地了解必须抑制哪些特定毒液成分才能预防死亡和主要疾病。需要新的治疗方法。在这里，我们采用进化方法进行抗蛇毒血清设计，其灵感来自于长期观察，即毒蛇已经进化出血清传播的毒素抑制剂，赋予对其自身毒液的抵抗力。我们研究了源自祖先血清糖蛋白胎球蛋白-A (FETUA) 的四种响尾蛇金属蛋白酶 (MP) 抑制剂家族中和毒蛇毒液的酶促、出血和致死活性的能力。我们发现，虽然某些单独的 FETUA 蛋白能够抑制酶活性或出血活性，但它们不能或仅部分能够抑制毒液致死性。然而，我们发现 FETUA 蛋白的特定组合可以相互补充活性，足以完全中和响尾蛇毒液的杀伤力，其效力比商业抗蛇毒血清大约高 10 倍。此外，我们证明 FETUA 蛋白在毒蛇亚科中保存完好，响尾蛇 FETUA 能够抑制 MPs 并中和几种进化上较远的响尾蛇或真正的毒蛇毒液的杀伤力。我们的结果强调了抑制出血性毒液中 MP 的至关重要性以及</w:t>
      </w:r>
    </w:p>
    <w:p>
      <w:pPr>
        <w:spacing w:before="0" w:after="200" w:lineRule="auto" w:line="276"/>
      </w:pPr>
      <w:r>
        <w:rPr>
          <w:b/>
        </w:rPr>
        <w:t xml:space="preserve">Abstract (EN): </w:t>
      </w:r>
      <w:r>
        <w:t>Snakebite maims or kills several hundred thousand people each year. For more than a century, treatment has relied on antivenoms derived from animals immunized with whole venoms, but their efficacy, safety, and availability are highly variable, and it is often not well understood which specific venom components must be inhibited to prevent mortality and major morbidities. New therapeutic approaches are needed. Here, we take an evolutionary approach to antivenom design inspired by the longstanding observation that vipers have evolved serum-borne toxin inhibitors that confer resistance to their own venoms. We have investigated the abilities of a family of four rattlesnake metalloproteinase (MP) inhibitors derived from the ancestral serum glycoprotein Fetuin-A (FETUAs) to neutralize the enzymatic, hemorrhagic, and lethal activities of viper venoms. We find that while certain individual FETUA proteins are able to inhibit enzymatic or hemorrhagic activity, they are unable or only partially able to inhibit venom lethality. However, we show that specific combinations of FETUA proteins complement one another’s activities and are sufficient to fully neutralize rattlesnake venom lethality with approximately 10 times greater potency than commercial antivenom. Moreover, we demonstrate that FETUA proteins are well conserved among viper subfamilies and that rattlesnake FETUAs are able to inhibit the MPs and neutralize the lethality of several evolutionarily distant pit viper or true viper venoms. Our results highlight the critical importance of inhibiting MPs in hemorrhagic venoms and the potential general utility of combinations of naturally evolved, recombinant MP inhibitors in the treatment of viper snakebite.</w:t>
      </w:r>
    </w:p>
    <w:p>
      <w:pPr>
        <w:spacing w:before="120" w:after="120"/>
      </w:pPr>
      <w:r>
        <w:rPr>
          <w:sz w:val="18"/>
        </w:rPr>
        <w:t>——————————————————————————————————————————————————————————————————————</w:t>
      </w:r>
    </w:p>
    <w:p>
      <w:pPr>
        <w:spacing w:before="160" w:after="40" w:line="240" w:lineRule="auto"/>
      </w:pPr>
      <w:r>
        <w:rPr>
          <w:b/>
        </w:rPr>
        <w:t xml:space="preserve">[567] </w:t>
      </w:r>
      <w:hyperlink r:id="rId1466">
        <w:r>
          <w:rPr>
            <w:color w:val="1155CC"/>
            <w:u w:val="single"/>
          </w:rPr>
          <w:t>动态刚度可实现介导血管植入物功能性内皮化的特定阶段特性</w:t>
        </w:r>
      </w:hyperlink>
    </w:p>
    <w:p>
      <w:pPr>
        <w:spacing w:before="0" w:after="80"/>
      </w:pPr>
      <w:r>
        <w:rPr>
          <w:i/>
          <w:sz w:val="20"/>
        </w:rPr>
        <w:t>EN: Dynamic stiffness enables stage-specific properties mediating functional endothelialization on vascular implants</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67">
        <w:r>
          <w:rPr>
            <w:color w:val="1155CC"/>
            <w:u w:val="single"/>
          </w:rPr>
          <w:t>10.1126/sciadv.adw8744</w:t>
        </w:r>
      </w:hyperlink>
    </w:p>
    <w:p>
      <w:pPr>
        <w:spacing w:before="0" w:after="120"/>
      </w:pPr>
      <w:r>
        <w:rPr>
          <w:b/>
        </w:rPr>
        <w:t xml:space="preserve">Notes: </w:t>
      </w:r>
      <w:r>
        <w:t>abstract_source=crossref</w:t>
      </w:r>
    </w:p>
    <w:p>
      <w:pPr>
        <w:spacing w:before="0" w:after="80" w:lineRule="auto" w:line="276"/>
      </w:pPr>
      <w:r>
        <w:rPr>
          <w:b/>
        </w:rPr>
        <w:t xml:space="preserve">摘要（ZH）: </w:t>
      </w:r>
      <w:r>
        <w:t>实现健康、功能性的内皮化是心血管植入物新内膜愈合的目标，但由于无法动态适应复杂的材料-组织相互作用的策略，仍然具有挑战性。我们通过重组人源化 III 型胶原蛋白和胱胺修饰透明质酸的逐层组装，然后进行后交联，开发了一种具有动态刚度的仿生涂层。该涂层采用了 ECM 模拟成分，并具有可调刚度，可响应谷胱甘肽和活性氧等微环境刺激而动态降低。它表现出阶段特异性的特性：最初抑制急性血栓形成并指导细胞粘附；然后促进融合的、有功能的内皮单层；驱动平滑肌细胞收缩表型；并诱导抗炎巨噬细胞极化。在体内，涂有我们涂层的支架抑制了新内膜增生，在 12 个月时实现了形态和功能类似于天然内皮的新内膜愈合。这些发现揭示了动态刚度如何引导材料组织反应，并为增强血管植入物愈合提供了一种有前景的方法。</w:t>
      </w:r>
    </w:p>
    <w:p>
      <w:pPr>
        <w:spacing w:before="0" w:after="200" w:lineRule="auto" w:line="276"/>
      </w:pPr>
      <w:r>
        <w:rPr>
          <w:b/>
        </w:rPr>
        <w:t xml:space="preserve">Abstract (EN): </w:t>
      </w:r>
      <w:r>
        <w:t>Achieving healthy, functional endothelialization represents the goal of neointima healing in cardiovascular implants but remains challenging due to strategies that fail to adapt dynamically to complex material-tissue interactions. We develop a biomimetic coating with dynamic stiffness via layer-by-layer assembly of recombinant humanized type III collagen and cystamine-modified hyaluronic acid, followed by postcrosslinking. The coating incorporates ECM-mimetic components and exhibits tunable stiffness that dynamically decreases in response to microenvironmental stimuli such as glutathione and reactive oxygen species. It exhibits stage-specific properties: initially suppressing acute thrombosis and directing cell adhesion; then facilitating a confluent, functional endothelial monolayer; driving smooth muscle cell contractile phenotype; and inducing anti-inflammatory macrophage polarization. In vivo, stents coated with our coating suppressed neointimal hyperplasia, achieving neointimal healing with morphology and function resembling native endothelium at 12 months. These findings reveal how dynamic stiffness guides material-tissue responses and provide a promising approach to enhance vascular implant healing.</w:t>
      </w:r>
    </w:p>
    <w:p>
      <w:pPr>
        <w:spacing w:before="120" w:after="120"/>
      </w:pPr>
      <w:r>
        <w:rPr>
          <w:sz w:val="18"/>
        </w:rPr>
        <w:t>——————————————————————————————————————————————————————————————————————</w:t>
      </w:r>
    </w:p>
    <w:p>
      <w:pPr>
        <w:spacing w:before="160" w:after="40" w:line="240" w:lineRule="auto"/>
      </w:pPr>
      <w:r>
        <w:rPr>
          <w:b/>
        </w:rPr>
        <w:t xml:space="preserve">[568] </w:t>
      </w:r>
      <w:hyperlink r:id="rId1468">
        <w:r>
          <w:rPr>
            <w:color w:val="1155CC"/>
            <w:u w:val="single"/>
          </w:rPr>
          <w:t>超薄外延应变 RuO2 薄膜中奇镜面和偶镜面自旋织构的观察</w:t>
        </w:r>
      </w:hyperlink>
    </w:p>
    <w:p>
      <w:pPr>
        <w:spacing w:before="0" w:after="80"/>
      </w:pPr>
      <w:r>
        <w:rPr>
          <w:i/>
          <w:sz w:val="20"/>
        </w:rPr>
        <w:t>EN: Observation of mirror-odd and mirror-even spin texture in ultrathin epitaxially strained RuO2 films</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69">
        <w:r>
          <w:rPr>
            <w:color w:val="1155CC"/>
            <w:u w:val="single"/>
          </w:rPr>
          <w:t>10.1126/sciadv.aec2917</w:t>
        </w:r>
      </w:hyperlink>
    </w:p>
    <w:p>
      <w:pPr>
        <w:spacing w:before="0" w:after="120"/>
      </w:pPr>
      <w:r>
        <w:rPr>
          <w:b/>
        </w:rPr>
        <w:t xml:space="preserve">Notes: </w:t>
      </w:r>
      <w:r>
        <w:t>abstract_source=crossref</w:t>
      </w:r>
    </w:p>
    <w:p>
      <w:pPr>
        <w:spacing w:before="0" w:after="80" w:lineRule="auto" w:line="276"/>
      </w:pPr>
      <w:r>
        <w:rPr>
          <w:b/>
        </w:rPr>
        <w:t xml:space="preserve">摘要（ZH）: </w:t>
      </w:r>
      <w:r>
        <w:t>最近，金红石二氧化钌（RuO</w:t>
      </w:r>
      <w:r>
        <w:rPr>
          <w:vertAlign w:val="subscript"/>
        </w:rPr>
        <w:t>2</w:t>
      </w:r>
      <w:r>
        <w:t>由于显着的互磁自旋分裂的预期，引起了新的兴趣。然而，不断积累的实验证据表明，在块状和厚膜形式中，RuO</w:t>
      </w:r>
      <w:r>
        <w:rPr>
          <w:vertAlign w:val="subscript"/>
        </w:rPr>
        <w:t>2</w:t>
      </w:r>
      <w:r>
        <w:t>不显示任何形式的磁性排序。尽管如此，RuO 的自旋结构</w:t>
      </w:r>
      <w:r>
        <w:rPr>
          <w:vertAlign w:val="subscript"/>
        </w:rPr>
        <w:t>2</w:t>
      </w:r>
      <w:r>
        <w:t>在超薄极限范围内，衬底施加的外延应变可能很大，这一点在很大程度上仍未得到探索。在这里，我们使用自旋分辨角分辨光电子能谱，在从头计算的支持下，揭示了 2 纳米厚外延 RuO 的电子结构</w:t>
      </w:r>
      <w:r>
        <w:rPr>
          <w:vertAlign w:val="subscript"/>
        </w:rPr>
        <w:t>2</w:t>
      </w:r>
      <w:r>
        <w:t>异质结构。我们观察到一种非常规的自旋结构，其特征是镜像偶数和镜像奇数动量相关分量共存。全面的对称性分析排除了这种自旋纹理的非磁性起源。这些发现表明，在超薄极限下，出现了一种由外延应变实现的非相对论自旋结构，这标志着与松弛或块体 RuO 的行为明显不同</w:t>
      </w:r>
      <w:r>
        <w:rPr>
          <w:vertAlign w:val="subscript"/>
        </w:rPr>
        <w:t>2</w:t>
      </w:r>
      <w:r>
        <w:t>。我们的工作为探索氧化物异质结构中的对称破缺机制和自旋纹理开辟了先前未探索的视角。</w:t>
      </w:r>
    </w:p>
    <w:p>
      <w:pPr>
        <w:spacing w:before="0" w:after="200" w:lineRule="auto" w:line="276"/>
      </w:pPr>
      <w:r>
        <w:rPr>
          <w:b/>
        </w:rPr>
        <w:t xml:space="preserve">Abstract (EN): </w:t>
      </w:r>
      <w:r>
        <w:t>Recently, rutile ruthenium dioxide (RuO</w:t>
      </w:r>
      <w:r>
        <w:rPr>
          <w:vertAlign w:val="subscript"/>
        </w:rPr>
        <w:t>2</w:t>
      </w:r>
      <w:r>
        <w:t>) has attracted renewed interest due to expectations of prominent altermagnetic spin splitting. However, accumulating experimental evidence suggests that, in its bulk and thick-film forms, RuO</w:t>
      </w:r>
      <w:r>
        <w:rPr>
          <w:vertAlign w:val="subscript"/>
        </w:rPr>
        <w:t>2</w:t>
      </w:r>
      <w:r>
        <w:t>does not display any form of magnetic ordering. Despite this, the spin structure of RuO</w:t>
      </w:r>
      <w:r>
        <w:rPr>
          <w:vertAlign w:val="subscript"/>
        </w:rPr>
        <w:t>2</w:t>
      </w:r>
      <w:r>
        <w:t>remains largely unexplored in the ultrathin limit, where substrate-imposed epitaxial strain can be substantial. Here, we use spin-resolved angle-resolved photoemission spectroscopy, supported by ab initio calculations, to reveal the electronic structure of 2-nanometer-thick epitaxial RuO</w:t>
      </w:r>
      <w:r>
        <w:rPr>
          <w:vertAlign w:val="subscript"/>
        </w:rPr>
        <w:t>2</w:t>
      </w:r>
      <w:r>
        <w:t>heterostructures. We observe an unconventional spin texture characterized by the coexistence of mirror-even and mirror-odd momentum-dependent components. A comprehensive symmetry analysis rules out nonmagnetic origins of this spin texture. These findings suggest an emergent nonrelativistic spin structure enabled by epitaxial strain in the ultrathin limit, marking a distinct departure from the behavior of relaxed or bulk RuO</w:t>
      </w:r>
      <w:r>
        <w:rPr>
          <w:vertAlign w:val="subscript"/>
        </w:rPr>
        <w:t>2</w:t>
      </w:r>
      <w:r>
        <w:t>. Our work opens previously unexplored perspectives for exploring symmetry-breaking mechanisms and spin textures in oxide heterostructures.</w:t>
      </w:r>
    </w:p>
    <w:p>
      <w:pPr>
        <w:spacing w:before="120" w:after="120"/>
      </w:pPr>
      <w:r>
        <w:rPr>
          <w:sz w:val="18"/>
        </w:rPr>
        <w:t>——————————————————————————————————————————————————————————————————————</w:t>
      </w:r>
    </w:p>
    <w:p>
      <w:pPr>
        <w:spacing w:before="160" w:after="40" w:line="240" w:lineRule="auto"/>
      </w:pPr>
      <w:r>
        <w:rPr>
          <w:b/>
        </w:rPr>
        <w:t xml:space="preserve">[569] </w:t>
      </w:r>
      <w:hyperlink r:id="rId1470">
        <w:r>
          <w:rPr>
            <w:color w:val="1155CC"/>
            <w:u w:val="single"/>
          </w:rPr>
          <w:t>细胞大小脂质体中肌动球蛋白网络的重建剖析了膜起泡和对称性破坏的不同机制</w:t>
        </w:r>
      </w:hyperlink>
    </w:p>
    <w:p>
      <w:pPr>
        <w:spacing w:before="0" w:after="80"/>
      </w:pPr>
      <w:r>
        <w:rPr>
          <w:i/>
          <w:sz w:val="20"/>
        </w:rPr>
        <w:t>EN: Reconstitution of actomyosin networks in cell-sized liposomes dissects distinct mechanisms of membrane blebbing and symmetry breaking</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71">
        <w:r>
          <w:rPr>
            <w:color w:val="1155CC"/>
            <w:u w:val="single"/>
          </w:rPr>
          <w:t>10.1126/sciadv.aed8818</w:t>
        </w:r>
      </w:hyperlink>
    </w:p>
    <w:p>
      <w:pPr>
        <w:spacing w:before="0" w:after="120"/>
      </w:pPr>
      <w:r>
        <w:rPr>
          <w:b/>
        </w:rPr>
        <w:t xml:space="preserve">Notes: </w:t>
      </w:r>
      <w:r>
        <w:t>abstract_source=crossref</w:t>
      </w:r>
    </w:p>
    <w:p>
      <w:pPr>
        <w:spacing w:before="0" w:after="80" w:lineRule="auto" w:line="276"/>
      </w:pPr>
      <w:r>
        <w:rPr>
          <w:b/>
        </w:rPr>
        <w:t xml:space="preserve">摘要（ZH）: </w:t>
      </w:r>
      <w:r>
        <w:t>肌动蛋白皮层是质膜下方的一层薄薄的肌动球蛋白网络，通过产生主动力和诱导膜变形（包括气泡）来调节各种细胞功能。尽管上游信号传导参与调节细胞形状，但下游肌动球蛋白分子控制形状的程度仍然难以捉摸。在这里，使用最小重构系统与基于代理的计算模型相结合，我们表明肌动蛋白-膜耦合强度决定膜变形的幅度，而其与肌动蛋白网络连接的平衡通过皮层与膜的分离或皮层的破裂来控制泡的启动机制。这种平衡还调节单个气泡与多个气泡的形成，从而调节对称性破坏。此外，我们的结果表明，不仅密集的皮质网络，而且稀疏的体积跨网络也积极促进了泡数量的调节。这些发现为细胞如何调整肌动蛋白网络组织以控制其形状和极性提供了机制见解。</w:t>
      </w:r>
    </w:p>
    <w:p>
      <w:pPr>
        <w:spacing w:before="0" w:after="200" w:lineRule="auto" w:line="276"/>
      </w:pPr>
      <w:r>
        <w:rPr>
          <w:b/>
        </w:rPr>
        <w:t xml:space="preserve">Abstract (EN): </w:t>
      </w:r>
      <w:r>
        <w:t>The actin cortex, a thin layer of actomyosin network beneath the plasma membrane, regulates various cell functions by generating active forces and inducing membrane deformations, including blebs. Although upstream signaling is involved in regulating cell shape, the extent to which downstream actomyosin molecules can control the shape remains elusive. Here, using a minimal reconstituted system combined with an agent-based computational model, we show that actin-membrane coupling strength determines the magnitude of membrane deformation, while its balance with actin network connectivity governs the bleb initiation mechanism, either by detachment of the cortex from the membrane or by rupture of the cortex. This balance also modulates single versus multiple bleb formation, thereby regulating symmetry breaking. Furthermore, our results suggest that not only the dense cortical network but also the sparse volume-spanning network actively contributes to the regulation of bleb number. These findings provide mechanistic insights into how cells tune actin network organization to control their shape and polarity.</w:t>
      </w:r>
    </w:p>
    <w:p>
      <w:pPr>
        <w:spacing w:before="120" w:after="120"/>
      </w:pPr>
      <w:r>
        <w:rPr>
          <w:sz w:val="18"/>
        </w:rPr>
        <w:t>——————————————————————————————————————————————————————————————————————</w:t>
      </w:r>
    </w:p>
    <w:p>
      <w:pPr>
        <w:spacing w:before="160" w:after="40" w:line="240" w:lineRule="auto"/>
      </w:pPr>
      <w:r>
        <w:rPr>
          <w:b/>
        </w:rPr>
        <w:t xml:space="preserve">[570] </w:t>
      </w:r>
      <w:hyperlink r:id="rId1472">
        <w:r>
          <w:rPr>
            <w:color w:val="1155CC"/>
            <w:u w:val="single"/>
          </w:rPr>
          <w:t>易受高温影响全球变暖对水稻产量的影响</w:t>
        </w:r>
      </w:hyperlink>
    </w:p>
    <w:p>
      <w:pPr>
        <w:spacing w:before="0" w:after="80"/>
      </w:pPr>
      <w:r>
        <w:rPr>
          <w:i/>
          <w:sz w:val="20"/>
        </w:rPr>
        <w:t>EN: Vulnerability to high temperature shapes global warming impacts on rice yield</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73">
        <w:r>
          <w:rPr>
            <w:color w:val="1155CC"/>
            <w:u w:val="single"/>
          </w:rPr>
          <w:t>10.1126/sciadv.aed9226</w:t>
        </w:r>
      </w:hyperlink>
    </w:p>
    <w:p>
      <w:pPr>
        <w:spacing w:before="0" w:after="120"/>
      </w:pPr>
      <w:r>
        <w:rPr>
          <w:b/>
        </w:rPr>
        <w:t xml:space="preserve">Notes: </w:t>
      </w:r>
      <w:r>
        <w:t>abstract_source=crossref</w:t>
      </w:r>
    </w:p>
    <w:p>
      <w:pPr>
        <w:spacing w:before="0" w:after="80" w:lineRule="auto" w:line="276"/>
      </w:pPr>
      <w:r>
        <w:rPr>
          <w:b/>
        </w:rPr>
        <w:t xml:space="preserve">摘要（ZH）: </w:t>
      </w:r>
      <w:r>
        <w:t>变暖对水稻产量的影响复杂且空间变化，阻碍了气候变化对粮食安全的影响评估。为了解决这个问题，我们编制了现场变暖实验的全球数据集（</w:t>
      </w:r>
      <w:r>
        <w:t xml:space="preserve"> </w:t>
      </w:r>
      <w:r>
        <w:t>n</w:t>
      </w:r>
      <w:r>
        <w:t xml:space="preserve"> </w:t>
      </w:r>
      <w:r>
        <w:t>= 214）并分析了特定阶段作物对温度变化的反应。结果表明，暴露于高温（30°至35°C）和极高（&gt;35°C）温度是变暖引起的水稻产量损失的主要驱动因素，主要是通过收获指数下降。在繁殖阶段，如果在 30°C 以上的环境中暴露一天，水稻产量就会降低 1.1% 至 1.8%。相比之下，当前的全球网格作物模型低估了这种敏感性，仅模拟每个暴露日 0.1 至 1.3% 的产量损失。调整模型偏差后，我们估计全球变暖 1°C 时全球水稻产量损失将减少 8.1%，大约是未调整估计值的两倍，其中南亚和东南亚是最脆弱的地区。我们的研究结果强调了高温暴露在气候变暖对水稻产量影响中的关键作用。</w:t>
      </w:r>
    </w:p>
    <w:p>
      <w:pPr>
        <w:spacing w:before="0" w:after="200" w:lineRule="auto" w:line="276"/>
      </w:pPr>
      <w:r>
        <w:rPr>
          <w:b/>
        </w:rPr>
        <w:t xml:space="preserve">Abstract (EN): </w:t>
      </w:r>
      <w:r>
        <w:t>Complex and spatially varying warming impacts on rice yield hinder climate change impact assessments on food security. To address this issue, we compiled a global dataset of field-warming experiments (</w:t>
      </w:r>
      <w:r>
        <w:t xml:space="preserve"> </w:t>
      </w:r>
      <w:r>
        <w:t>n</w:t>
      </w:r>
      <w:r>
        <w:t xml:space="preserve"> </w:t>
      </w:r>
      <w:r>
        <w:t>= 214) and analyzed stage-specific crop responses to temperature variations. Results show that exposures to high (30° to 35°C) and extreme high (&amp;gt;35°C) temperatures are the dominant drivers of warming-induced rice yield losses, primarily through harvest index reductions. One additional exposure day above 30°C during the reproductive stage reduces rice yields by 1.1 to 1.8%. In contrast, current global gridded crop models underestimate this sensitivity, simulating only 0.1 to 1.3% yield loss per exposure day. After adjusting the model biases, we estimate that global rice yield losses decrease by 8.1% under 1°C of global warming, approximately twice the unadjusted estimates, with South and Southeast Asia being the most vulnerable regions. Our results highlight the critical role of high-temperature exposure in shaping warming impacts on rice yield.</w:t>
      </w:r>
    </w:p>
    <w:p>
      <w:pPr>
        <w:spacing w:before="120" w:after="120"/>
      </w:pPr>
      <w:r>
        <w:rPr>
          <w:sz w:val="18"/>
        </w:rPr>
        <w:t>——————————————————————————————————————————————————————————————————————</w:t>
      </w:r>
    </w:p>
    <w:p>
      <w:pPr>
        <w:spacing w:before="160" w:after="40" w:line="240" w:lineRule="auto"/>
      </w:pPr>
      <w:r>
        <w:rPr>
          <w:b/>
        </w:rPr>
        <w:t xml:space="preserve">[571] </w:t>
      </w:r>
      <w:hyperlink r:id="rId1474">
        <w:r>
          <w:rPr>
            <w:color w:val="1155CC"/>
            <w:u w:val="single"/>
          </w:rPr>
          <w:t>具有涡流稳定性的蒲公英飞行器的光学操纵</w:t>
        </w:r>
      </w:hyperlink>
    </w:p>
    <w:p>
      <w:pPr>
        <w:spacing w:before="0" w:after="80"/>
      </w:pPr>
      <w:r>
        <w:rPr>
          <w:i/>
          <w:sz w:val="20"/>
        </w:rPr>
        <w:t>EN: Optical maneuvering of dandelion-inspired fliers with vortex-enabled stability</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75">
        <w:r>
          <w:rPr>
            <w:color w:val="1155CC"/>
            <w:u w:val="single"/>
          </w:rPr>
          <w:t>10.1126/sciadv.aee8014</w:t>
        </w:r>
      </w:hyperlink>
    </w:p>
    <w:p>
      <w:pPr>
        <w:spacing w:before="0" w:after="120"/>
      </w:pPr>
      <w:r>
        <w:rPr>
          <w:b/>
        </w:rPr>
        <w:t xml:space="preserve">Notes: </w:t>
      </w:r>
      <w:r>
        <w:t>abstract_source=crossref</w:t>
      </w:r>
    </w:p>
    <w:p>
      <w:pPr>
        <w:spacing w:before="0" w:after="80" w:lineRule="auto" w:line="276"/>
      </w:pPr>
      <w:r>
        <w:rPr>
          <w:b/>
        </w:rPr>
        <w:t xml:space="preserve">摘要（ZH）: </w:t>
      </w:r>
      <w:r>
        <w:t>操纵不受束缚的厘米级空中结构一直是一个长期存在的挑战。主动飞行系统依赖于高功率密度执行器以及机械和电子元件，受到能量传输和小型化方面的关键限制。相比之下，由风输送和分布的无源系统通常缺乏空中控制机动性的能力。在这里，我们报告了一种超轻（1.2毫克）六角形聚合物组件，能够通过光学控制其轨迹进行被动飞行。这种受蒲公英启发的无人机，以下简称“dandidrone”，包含六个径向排列的丝状结构，其形态通过六个由液晶弹性体薄膜制成的独立软致动器的光机械变形来动态控制。与蒲公英的水硬铝石相比，蒲公英表现出相似的终端速度（〜0.5米每秒），45%更好的位置稳定性和几乎为零的旋转速率（1.68±1.0°每秒；天然种子：50.8±17.7°每秒）。粒子图像测速和计算流体动力学模拟表明，稳定的不对称分离涡环是其飞行稳定性的基础，从而实现空中可操纵性。当在低湍流气流中自由落体时，光驱动的六足飞行器展示了精确的高度控制、可逆的身体翻转、图案形成、交互式群体以及跨越三维空间的受控轨迹。结果表明，光致不对称响应材料</w:t>
      </w:r>
    </w:p>
    <w:p>
      <w:pPr>
        <w:spacing w:before="0" w:after="200" w:lineRule="auto" w:line="276"/>
      </w:pPr>
      <w:r>
        <w:rPr>
          <w:b/>
        </w:rPr>
        <w:t xml:space="preserve">Abstract (EN): </w:t>
      </w:r>
      <w:r>
        <w:t>Maneuvering untethered, centimeter-scale airborne structures has been a long-standing challenge. Active flight systems, relying on high-power-density actuators alongside mechanical and electronic components, are constrained by critical limitations in energy delivery and miniaturization. In contrast, passive systems transported and distributed by the wind typically lack the capability for mid-air controlled maneuverability. Here, we report an ultralight (1.2 milligrams) hexagonal polymeric assembly capable of passive flight with optical control of its trajectory. This dandelion-inspired drone, dandidrone hereafter, incorporates six radially arranged filamentous structures, of which morphology is dynamically controlled through photomechanical deformation by six independent soft actuators made of liquid crystalline elastomer thin films. Compared to the diaspore of the dandelion, dandidrones demonstrate a similar terminal velocity (∼0.5 meters per second), 45% better positional stability and nearly zero rotational rate (1.68 ± 1.0° per second; natural seeds: 50.8 ± 17.7° per second). Particle image velocimetry and computational fluid dynamics simulation reveal that a stable asymmetric separated vortex ring underlies its flight stability, enabling mid-air steerability. When free-falling in a low-turbulent airstream, the light-driven hexapodal fliers demonstrate precise altitude control, reversible body flipping, pattern formation, interactive swarm, and controlled trajectories across the three-dimensional space. The results show that responsive materials with light-induced asymmetry can bring about maneuverability in air, paving the way for agile, untethered controlled microfliers.</w:t>
      </w:r>
    </w:p>
    <w:p>
      <w:pPr>
        <w:spacing w:before="120" w:after="120"/>
      </w:pPr>
      <w:r>
        <w:rPr>
          <w:sz w:val="18"/>
        </w:rPr>
        <w:t>——————————————————————————————————————————————————————————————————————</w:t>
      </w:r>
    </w:p>
    <w:p>
      <w:pPr>
        <w:spacing w:before="160" w:after="40" w:line="240" w:lineRule="auto"/>
      </w:pPr>
      <w:r>
        <w:rPr>
          <w:b/>
        </w:rPr>
        <w:t xml:space="preserve">[572] </w:t>
      </w:r>
      <w:hyperlink r:id="rId1476">
        <w:r>
          <w:rPr>
            <w:color w:val="1155CC"/>
            <w:u w:val="single"/>
          </w:rPr>
          <w:t>蝙蝠中免疫球蛋白重链基因座重复</w:t>
        </w:r>
      </w:hyperlink>
    </w:p>
    <w:p>
      <w:pPr>
        <w:spacing w:before="0" w:after="80"/>
      </w:pPr>
      <w:r>
        <w:rPr>
          <w:i/>
          <w:sz w:val="20"/>
        </w:rPr>
        <w:t>EN: Immunoglobulin heavy chain locus duplication in bats</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77">
        <w:r>
          <w:rPr>
            <w:color w:val="1155CC"/>
            <w:u w:val="single"/>
          </w:rPr>
          <w:t>10.1126/sciadv.aeb6714</w:t>
        </w:r>
      </w:hyperlink>
    </w:p>
    <w:p>
      <w:pPr>
        <w:spacing w:before="0" w:after="120"/>
      </w:pPr>
      <w:r>
        <w:rPr>
          <w:b/>
        </w:rPr>
        <w:t xml:space="preserve">Notes: </w:t>
      </w:r>
      <w:r>
        <w:t>abstract_source=crossref</w:t>
      </w:r>
    </w:p>
    <w:p>
      <w:pPr>
        <w:spacing w:before="0" w:after="80" w:lineRule="auto" w:line="276"/>
      </w:pPr>
      <w:r>
        <w:rPr>
          <w:b/>
        </w:rPr>
        <w:t xml:space="preserve">摘要（ZH）: </w:t>
      </w:r>
      <w:r>
        <w:t>蝙蝠是病毒的主要储存库，在人畜共患病爆发时可传播给人类。抗体介导的免疫在塑造病毒进化和免疫逃避方面发挥着重要作用，但在蝙蝠中仍未得到充分研究。所有已知的哺乳动物都有一个免疫球蛋白重链 (IgH) 基因位点和最多两个轻链基因位点。我们在 26 个蝙蝠物种的不同染色体上发现了双 IgH 位点，突显了翼手目动物免疫遗传结构的极端变异。在模式物种中，</w:t>
      </w:r>
      <w:r>
        <w:t xml:space="preserve"> </w:t>
      </w:r>
      <w:r>
        <w:t>浅色蜈蚣</w:t>
      </w:r>
      <w:r>
        <w:t xml:space="preserve"> </w:t>
      </w:r>
      <w:r>
        <w:t>，我们利用单细胞转录组来确认两个基因座的功能重排和表达，但产生抗体多样性和功能的机制不同。这些结果为分析蝙蝠的体液免疫和病原体反应提供了基础。</w:t>
      </w:r>
    </w:p>
    <w:p>
      <w:pPr>
        <w:spacing w:before="0" w:after="200" w:lineRule="auto" w:line="276"/>
      </w:pPr>
      <w:r>
        <w:rPr>
          <w:b/>
        </w:rPr>
        <w:t xml:space="preserve">Abstract (EN): </w:t>
      </w:r>
      <w:r>
        <w:t>Bats are major reservoirs of viruses that can be transmitted to humans in zoonotic outbreaks. Antibody-mediated immunity plays an important role in shaping viral evolution and immune evasion but remains understudied in bats. All known mammals have a single immunoglobulin heavy chain (IgH) gene locus and up to two light chain loci. We have identified dual IgH loci on separate chromosomes in 26 bat species, highlighting extreme variation of immunogenetic architecture in order Chiroptera. In a model species,</w:t>
      </w:r>
      <w:r>
        <w:t xml:space="preserve"> </w:t>
      </w:r>
      <w:r>
        <w:t>Eptesicus fuscus</w:t>
      </w:r>
      <w:r>
        <w:t xml:space="preserve"> </w:t>
      </w:r>
      <w:r>
        <w:t>, we leveraged single-cell transcriptomes to confirm functional rearrangement and expression of both loci, but with different mechanisms for generating antibody diversity and function. These results provide a foundation for analysis of humoral immunity and pathogen response in bats.</w:t>
      </w:r>
    </w:p>
    <w:p>
      <w:pPr>
        <w:spacing w:before="120" w:after="120"/>
      </w:pPr>
      <w:r>
        <w:rPr>
          <w:sz w:val="18"/>
        </w:rPr>
        <w:t>——————————————————————————————————————————————————————————————————————</w:t>
      </w:r>
    </w:p>
    <w:p>
      <w:pPr>
        <w:spacing w:before="160" w:after="40" w:line="240" w:lineRule="auto"/>
      </w:pPr>
      <w:r>
        <w:rPr>
          <w:b/>
        </w:rPr>
        <w:t xml:space="preserve">[573] </w:t>
      </w:r>
      <w:hyperlink r:id="rId1478">
        <w:r>
          <w:rPr>
            <w:color w:val="1155CC"/>
            <w:u w:val="single"/>
          </w:rPr>
          <w:t>Hsp90 介导的 Hsp70 折叠块缓解的直接单分子可视化</w:t>
        </w:r>
      </w:hyperlink>
    </w:p>
    <w:p>
      <w:pPr>
        <w:spacing w:before="0" w:after="80"/>
      </w:pPr>
      <w:r>
        <w:rPr>
          <w:i/>
          <w:sz w:val="20"/>
        </w:rPr>
        <w:t>EN: Direct single-molecule visualization of Hsp90-mediated relief of an Hsp70-folding block</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79">
        <w:r>
          <w:rPr>
            <w:color w:val="1155CC"/>
            <w:u w:val="single"/>
          </w:rPr>
          <w:t>10.1126/sciadv.aeg5464</w:t>
        </w:r>
      </w:hyperlink>
    </w:p>
    <w:p>
      <w:pPr>
        <w:spacing w:before="0" w:after="120"/>
      </w:pPr>
      <w:r>
        <w:rPr>
          <w:b/>
        </w:rPr>
        <w:t xml:space="preserve">Notes: </w:t>
      </w:r>
      <w:r>
        <w:t>abstract_source=crossref</w:t>
      </w:r>
    </w:p>
    <w:p>
      <w:pPr>
        <w:spacing w:before="0" w:after="80" w:lineRule="auto" w:line="276"/>
      </w:pPr>
      <w:r>
        <w:rPr>
          <w:b/>
        </w:rPr>
        <w:t xml:space="preserve">摘要（ZH）: </w:t>
      </w:r>
      <w:r>
        <w:t>热休克蛋白 70 (Hsp70) 和 Hsp90 是重要的分子伴侣，可合作折叠不同的客户蛋白，但它们的活动如何协调以重塑客户仍不清楚。为了解决这个问题，我们结合使用单分子荧光共振能量转移和全内反射荧光显微镜来观察单个萤火虫荧光素酶蛋白在顺序接合过程中的情况。</w:t>
      </w:r>
      <w:r>
        <w:t xml:space="preserve"> </w:t>
      </w:r>
      <w:r>
        <w:t>大肠杆菌</w:t>
      </w:r>
      <w:r>
        <w:t xml:space="preserve"> </w:t>
      </w:r>
      <w:r>
        <w:t>Hsp70 (DnaK) 和 Hsp90 (HtpG)。我们表明，HtpG 减少了 DnaK 与折叠中间体的重新结合，同时仍然允许与错误折叠的客户接触，从而在存在典型抑制浓度的 DnaK 的情况下实现高效的重折叠。 HtpG 结合腺苷 5'-三磷酸结合和水解，通过跨客户多个区域的局部压实促进渐进折叠，减少错误折叠并建立天然域间接触。动力学模拟支持异质 DnaK 结合产生区域特异性折叠动力学和构象动力学的模型。这使得 DnaK/HtpG 能够进行有效的子结构域折叠，并表明客户端上 DnaK 结合位点的数量和位置提供了一种机制，通过该机制蛋白质可以利用分子伴侣混杂来实现最佳折叠。</w:t>
      </w:r>
    </w:p>
    <w:p>
      <w:pPr>
        <w:spacing w:before="0" w:after="200" w:lineRule="auto" w:line="276"/>
      </w:pPr>
      <w:r>
        <w:rPr>
          <w:b/>
        </w:rPr>
        <w:t xml:space="preserve">Abstract (EN): </w:t>
      </w:r>
      <w:r>
        <w:t>Heat shock protein 70 (Hsp70) and Hsp90 are essential molecular chaperones that cooperate to fold diverse client proteins, yet how their activities are coordinated to remodel clients remains unclear. To address this, we used a combination of single-molecule fluorescence resonance energy transfer and total internal reflection fluorescence microscopy to observe individual firefly luciferase proteins during sequential engagement with</w:t>
      </w:r>
      <w:r>
        <w:t xml:space="preserve"> </w:t>
      </w:r>
      <w:r>
        <w:t>Escherichia coli</w:t>
      </w:r>
      <w:r>
        <w:t xml:space="preserve"> </w:t>
      </w:r>
      <w:r>
        <w:t>Hsp70 (DnaK) and Hsp90 (HtpG). We show that HtpG reduces rebinding of DnaK to folding intermediates while still allowing engagement with misfolded clients, enabling productive refolding in the presence of typically inhibitory concentrations of DnaK. HtpG couples adenosine 5′-triphosphate binding and hydrolysis to promote progressive folding through localized compaction across multiple regions of the client, reducing misfolding and establishing native interdomain contacts. Kinetic simulations support a model whereby heterogeneous DnaK binding generates region-specific folding kinetics and conformational dynamics. This enables efficient subdomain folding by DnaK/HtpG and suggests that the number and position of DnaK binding sites on clients provide a mechanism by which proteins can harness chaperone promiscuity for optimal folding.</w:t>
      </w:r>
    </w:p>
    <w:p>
      <w:pPr>
        <w:spacing w:before="120" w:after="120"/>
      </w:pPr>
      <w:r>
        <w:rPr>
          <w:sz w:val="18"/>
        </w:rPr>
        <w:t>——————————————————————————————————————————————————————————————————————</w:t>
      </w:r>
    </w:p>
    <w:p>
      <w:pPr>
        <w:spacing w:before="160" w:after="40" w:line="240" w:lineRule="auto"/>
      </w:pPr>
      <w:r>
        <w:rPr>
          <w:b/>
        </w:rPr>
        <w:t xml:space="preserve">[574] </w:t>
      </w:r>
      <w:hyperlink r:id="rId1480">
        <w:r>
          <w:rPr>
            <w:color w:val="1155CC"/>
            <w:u w:val="single"/>
          </w:rPr>
          <w:t>神经胶质异质性塑造中枢神经系统区域特异性血管生成和神经血管完整性</w:t>
        </w:r>
      </w:hyperlink>
    </w:p>
    <w:p>
      <w:pPr>
        <w:spacing w:before="0" w:after="80"/>
      </w:pPr>
      <w:r>
        <w:rPr>
          <w:i/>
          <w:sz w:val="20"/>
        </w:rPr>
        <w:t>EN: Glial heterogeneity shapes region-specific angiogenesis and neurovascular integrity in the CNS</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81">
        <w:r>
          <w:rPr>
            <w:color w:val="1155CC"/>
            <w:u w:val="single"/>
          </w:rPr>
          <w:t>10.1126/sciadv.aec8123</w:t>
        </w:r>
      </w:hyperlink>
    </w:p>
    <w:p>
      <w:pPr>
        <w:spacing w:before="0" w:after="120"/>
      </w:pPr>
      <w:r>
        <w:rPr>
          <w:b/>
        </w:rPr>
        <w:t xml:space="preserve">Notes: </w:t>
      </w:r>
      <w:r>
        <w:t>abstract_source=crossref</w:t>
      </w:r>
    </w:p>
    <w:p>
      <w:pPr>
        <w:spacing w:before="0" w:after="80" w:lineRule="auto" w:line="276"/>
      </w:pPr>
      <w:r>
        <w:rPr>
          <w:b/>
        </w:rPr>
        <w:t xml:space="preserve">摘要（ZH）: </w:t>
      </w:r>
      <w:r>
        <w:t>中枢神经系统（CNS）的正常功能需要灰质和白质有足够的血液供应，但控制区域特异性血管生成的机制仍知之甚少。通过分析神经胶质细胞谱并结合基因消融方法，我们发现了星形胶质细胞和少突胶质细胞谱系中不同的促血管生成程序，这些程序差异性地调节灰质和白质血管化。星形胶质细胞的耗竭选择性地破坏灰质血管生成，而少突胶质细胞谱系的丧失则导致白质血管生成不足。灰质星形胶质细胞选择性富集缺氧诱导因子 HIF1α，并通过 VEGF 依赖性信号传导促进血管生长，而富含少突胶质细胞的染色质重塑剂 CHD8 直接激活促血管生成基因，包括</w:t>
      </w:r>
      <w:r>
        <w:t xml:space="preserve"> </w:t>
      </w:r>
      <w:r>
        <w:t>甘油三酯</w:t>
      </w:r>
      <w:r>
        <w:t xml:space="preserve"> </w:t>
      </w:r>
      <w:r>
        <w:t>和</w:t>
      </w:r>
      <w:r>
        <w:t xml:space="preserve"> </w:t>
      </w:r>
      <w:r>
        <w:t>塞玛5a</w:t>
      </w:r>
      <w:r>
        <w:t xml:space="preserve"> </w:t>
      </w:r>
      <w:r>
        <w:t>，促进白质血管化。有条件的</w:t>
      </w:r>
      <w:r>
        <w:t xml:space="preserve"> </w:t>
      </w:r>
      <w:r>
        <w:t>chd8</w:t>
      </w:r>
      <w:r>
        <w:t xml:space="preserve"> </w:t>
      </w:r>
      <w:r>
        <w:t>缺失再现了白质血管缺陷和视觉功能障碍，但没有神经元损失。这些发现定义了中枢神经系统血管生成的谱系特异性机制，并将星形胶质细胞和少突胶质细胞确立为区域特异性血管发育的独特驱动因素，为神经血管和神经发育障碍的靶向治疗提供了概念框架。</w:t>
      </w:r>
    </w:p>
    <w:p>
      <w:pPr>
        <w:spacing w:before="0" w:after="200" w:lineRule="auto" w:line="276"/>
      </w:pPr>
      <w:r>
        <w:rPr>
          <w:b/>
        </w:rPr>
        <w:t xml:space="preserve">Abstract (EN): </w:t>
      </w:r>
      <w:r>
        <w:t>Proper function of the central nervous system (CNS) requires adequate blood supply to both gray and white matter, yet the mechanisms governing the region-specific angiogenesis remain poorly understood. Through analyzing glial cell profiles combined with genetic ablation approaches, we uncover distinct pro-angiogenic programs in astrocytic and oligodendroglial lineages that differentially regulate gray and white matter vascularization. Astrocyte depletion selectively disrupted gray matter angiogenesis, whereas oligodendrocyte lineage loss caused white matter hypovascularization. Gray matter astrocytes are selectively enriched for the hypoxia-inducible factor HIF1α and promote vascular growth via VEGF-dependent signaling, while the oligodendrocyte-enriched chromatin-remodeler CHD8 directly activated pro-angiogenic genes, including</w:t>
      </w:r>
      <w:r>
        <w:t xml:space="preserve"> </w:t>
      </w:r>
      <w:r>
        <w:t>Tgfa</w:t>
      </w:r>
      <w:r>
        <w:t xml:space="preserve"> </w:t>
      </w:r>
      <w:r>
        <w:t>and</w:t>
      </w:r>
      <w:r>
        <w:t xml:space="preserve"> </w:t>
      </w:r>
      <w:r>
        <w:t>Sema5a</w:t>
      </w:r>
      <w:r>
        <w:t xml:space="preserve"> </w:t>
      </w:r>
      <w:r>
        <w:t>, to promote white matter vascularization. Conditional</w:t>
      </w:r>
      <w:r>
        <w:t xml:space="preserve"> </w:t>
      </w:r>
      <w:r>
        <w:t>Chd8</w:t>
      </w:r>
      <w:r>
        <w:t xml:space="preserve"> </w:t>
      </w:r>
      <w:r>
        <w:t>deletion recapitulated white matter vascular defects and visual dysfunction without neuronal loss. These findings define lineage-specific mechanisms of CNS angiogenesis and establish astrocytes and oligodendrocytes as distinct drivers of region-specific vascular development, providing a conceptual framework for targeted therapies in neurovascular and neurodevelopmental disorders.</w:t>
      </w:r>
    </w:p>
    <w:p>
      <w:pPr>
        <w:spacing w:before="120" w:after="120"/>
      </w:pPr>
      <w:r>
        <w:rPr>
          <w:sz w:val="18"/>
        </w:rPr>
        <w:t>——————————————————————————————————————————————————————————————————————</w:t>
      </w:r>
    </w:p>
    <w:p>
      <w:pPr>
        <w:spacing w:before="160" w:after="40" w:line="240" w:lineRule="auto"/>
      </w:pPr>
      <w:r>
        <w:rPr>
          <w:b/>
        </w:rPr>
        <w:t xml:space="preserve">[575] </w:t>
      </w:r>
      <w:hyperlink r:id="rId1482">
        <w:r>
          <w:rPr>
            <w:color w:val="1155CC"/>
            <w:u w:val="single"/>
          </w:rPr>
          <w:t>在二氧化碳浓度升高的情况下，更快、更紧密的氮循环可支持成熟森林的生产力</w:t>
        </w:r>
      </w:hyperlink>
    </w:p>
    <w:p>
      <w:pPr>
        <w:spacing w:before="0" w:after="80"/>
      </w:pPr>
      <w:r>
        <w:rPr>
          <w:i/>
          <w:sz w:val="20"/>
        </w:rPr>
        <w:t>EN: Faster-and-tighter nitrogen cycle supports mature forest productivity under elevated CO2</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83">
        <w:r>
          <w:rPr>
            <w:color w:val="1155CC"/>
            <w:u w:val="single"/>
          </w:rPr>
          <w:t>10.1126/sciadv.aed2732</w:t>
        </w:r>
      </w:hyperlink>
    </w:p>
    <w:p>
      <w:pPr>
        <w:spacing w:before="0" w:after="120"/>
      </w:pPr>
      <w:r>
        <w:rPr>
          <w:b/>
        </w:rPr>
        <w:t xml:space="preserve">Notes: </w:t>
      </w:r>
      <w:r>
        <w:t>abstract_source=crossref</w:t>
      </w:r>
    </w:p>
    <w:p>
      <w:pPr>
        <w:spacing w:before="0" w:after="80" w:lineRule="auto" w:line="276"/>
      </w:pPr>
      <w:r>
        <w:rPr>
          <w:b/>
        </w:rPr>
        <w:t xml:space="preserve">摘要（ZH）: </w:t>
      </w:r>
      <w:r>
        <w:t>大气中二氧化碳（CO</w:t>
      </w:r>
      <w:r>
        <w:rPr>
          <w:vertAlign w:val="subscript"/>
        </w:rPr>
        <w:t>2</w:t>
      </w:r>
      <w:r>
        <w:t>）浓度可以增强森林碳（C）的吸收，但氮（N）被认为会逐渐限制这种效果。然而，经过 6 年的自由空气二氧化碳排放后，成熟的橡树林中的生物量显着增加</w:t>
      </w:r>
      <w:r>
        <w:rPr>
          <w:vertAlign w:val="subscript"/>
        </w:rPr>
        <w:t>2</w:t>
      </w:r>
      <w:r>
        <w:t>丰富。本研究调查了土壤氮通量的变化是否可以解释这些增益。我们表明，加强氮矿化和生态系统氮保护有助于在二氧化碳浓度升高的情况下提高生产力</w:t>
      </w:r>
      <w:r>
        <w:rPr>
          <w:vertAlign w:val="subscript"/>
        </w:rPr>
        <w:t>2</w:t>
      </w:r>
      <w:r>
        <w:t>（eCO</w:t>
      </w:r>
      <w:r>
        <w:rPr>
          <w:vertAlign w:val="subscript"/>
        </w:rPr>
        <w:t>2</w:t>
      </w:r>
      <w:r>
        <w:t>）。原位净氨化和总氨化提高约 30%，对橡树发芽效果显着。较高的氮氨化率与细根生物量和土壤呼吸的增加有关。总硝化作用减少，揭示了植物与土壤相互作用促进的更快但更紧密的循环。因此，森林氮循环可以适应eCO下的碳吸收</w:t>
      </w:r>
      <w:r>
        <w:rPr>
          <w:vertAlign w:val="subscript"/>
        </w:rPr>
        <w:t>2</w:t>
      </w:r>
      <w:r>
        <w:t>但从长远来看，这种能力可能会受到土壤可利用有机氮储量和人为氮沉降减少的限制。</w:t>
      </w:r>
    </w:p>
    <w:p>
      <w:pPr>
        <w:spacing w:before="0" w:after="200" w:lineRule="auto" w:line="276"/>
      </w:pPr>
      <w:r>
        <w:rPr>
          <w:b/>
        </w:rPr>
        <w:t xml:space="preserve">Abstract (EN): </w:t>
      </w:r>
      <w:r>
        <w:t>Rising atmospheric carbon dioxide (CO</w:t>
      </w:r>
      <w:r>
        <w:rPr>
          <w:vertAlign w:val="subscript"/>
        </w:rPr>
        <w:t>2</w:t>
      </w:r>
      <w:r>
        <w:t>) concentration could enhance forest carbon (C) uptake, but nitrogen (N) is thought to progressively constrain this effect. Yet, significant biomass gains were demonstrated in a mature oak forest after 6 years of Free Air CO</w:t>
      </w:r>
      <w:r>
        <w:rPr>
          <w:vertAlign w:val="subscript"/>
        </w:rPr>
        <w:t>2</w:t>
      </w:r>
      <w:r>
        <w:t>Enrichment. This study investigates whether changes in soil N fluxes explain these gains. We show that enhanced N mineralization and ecosystem N conservation support increased productivity under elevated CO</w:t>
      </w:r>
      <w:r>
        <w:rPr>
          <w:vertAlign w:val="subscript"/>
        </w:rPr>
        <w:t>2</w:t>
      </w:r>
      <w:r>
        <w:t>(eCO</w:t>
      </w:r>
      <w:r>
        <w:rPr>
          <w:vertAlign w:val="subscript"/>
        </w:rPr>
        <w:t>2</w:t>
      </w:r>
      <w:r>
        <w:t>). In situ net and gross N ammonification was enhanced by ∼30%, with a pronounced effect at oak budburst. Higher N ammonification rates were associated with increases in both fine root biomass and soil respiration. Gross nitrification was reduced, revealing a faster-yet-tighter cycle facilitated by plant-soil interactions. Hence, forest N cycling can adapt to support C uptake under eCO</w:t>
      </w:r>
      <w:r>
        <w:rPr>
          <w:vertAlign w:val="subscript"/>
        </w:rPr>
        <w:t>2</w:t>
      </w:r>
      <w:r>
        <w:t>, but in the longer term, this capacity may be constrained by soil-accessible organic N stocks and reductions in anthropogenic N deposition.</w:t>
      </w:r>
    </w:p>
    <w:p>
      <w:pPr>
        <w:spacing w:before="120" w:after="120"/>
      </w:pPr>
      <w:r>
        <w:rPr>
          <w:sz w:val="18"/>
        </w:rPr>
        <w:t>——————————————————————————————————————————————————————————————————————</w:t>
      </w:r>
    </w:p>
    <w:p>
      <w:pPr>
        <w:spacing w:before="160" w:after="40" w:line="240" w:lineRule="auto"/>
      </w:pPr>
      <w:r>
        <w:rPr>
          <w:b/>
        </w:rPr>
        <w:t xml:space="preserve">[576] </w:t>
      </w:r>
      <w:hyperlink r:id="rId1484">
        <w:r>
          <w:rPr>
            <w:color w:val="1155CC"/>
            <w:u w:val="single"/>
          </w:rPr>
          <w:t>记忆结构和精确度的发展变化改变了奖励决策过程中检索到的事件的使用</w:t>
        </w:r>
      </w:hyperlink>
    </w:p>
    <w:p>
      <w:pPr>
        <w:spacing w:before="0" w:after="80"/>
      </w:pPr>
      <w:r>
        <w:rPr>
          <w:i/>
          <w:sz w:val="20"/>
        </w:rPr>
        <w:t>EN: Developmental changes in memory structure and precision alter the use of retrieved episodes during decisions for reward</w:t>
      </w:r>
    </w:p>
    <w:p>
      <w:pPr>
        <w:spacing w:before="0" w:after="120"/>
      </w:pPr>
      <w:r>
        <w:rPr>
          <w:b/>
        </w:rPr>
        <w:t xml:space="preserve">Source: </w:t>
      </w:r>
      <w:r>
        <w:t>Proceedings of the National Academy of Sciences: Keyword search for query</w:t>
      </w:r>
      <w:r>
        <w:t xml:space="preserve">    </w:t>
      </w:r>
      <w:r>
        <w:rPr>
          <w:b/>
        </w:rPr>
        <w:t xml:space="preserve">Pub date: </w:t>
      </w:r>
      <w:r>
        <w:t>2026-07-29 07:00:00+00:00</w:t>
      </w:r>
      <w:r>
        <w:t xml:space="preserve">    </w:t>
      </w:r>
      <w:r>
        <w:rPr>
          <w:b/>
        </w:rPr>
        <w:t xml:space="preserve">DOI: </w:t>
      </w:r>
      <w:hyperlink r:id="rId1485">
        <w:r>
          <w:rPr>
            <w:color w:val="1155CC"/>
            <w:u w:val="single"/>
          </w:rPr>
          <w:t>10.1073/pnas.2525494123</w:t>
        </w:r>
      </w:hyperlink>
    </w:p>
    <w:p>
      <w:pPr>
        <w:spacing w:before="0" w:after="120"/>
      </w:pPr>
      <w:r>
        <w:rPr>
          <w:b/>
        </w:rPr>
        <w:t xml:space="preserve">Notes: </w:t>
      </w:r>
      <w:r>
        <w:t>abstract_source=crossref</w:t>
      </w:r>
    </w:p>
    <w:p>
      <w:pPr>
        <w:spacing w:before="0" w:after="80" w:lineRule="auto" w:line="276"/>
      </w:pPr>
      <w:r>
        <w:rPr>
          <w:b/>
        </w:rPr>
        <w:t xml:space="preserve">摘要（ZH）: </w:t>
      </w:r>
      <w:r>
        <w:t>大多数广泛研究的选项评估策略依赖于通过重复经验积累的知识。但在知识匮乏的陌生环境中应该如何评估选项呢？在这些情况下，决策者如何有效利用过去有限的经验来指导他们的选择？一种可能的策略是情景抽样，决策者从记忆中检索少量过去的决策来估计当前选项的价值。由于年龄的原因，儿童和青少年的经验比成年人少，这使得情景抽样对他们来说是特别有用的策略。与此同时，情景采样的有效性源自记忆的精确性和情境敏感性——这些特性在青春期和成年初期持续发展。这种张力提出了一个关键问题：情景记忆的发育差异是否与情景采样的差异相关？为了解决这个问题，106 名年龄在 8 至 25 岁之间的参与者完成了一项二维选择任务，该任务将单个情景记忆的影响与共享共同背景的多个情景的影响分开。在所有年龄段，单集都会有偏见的选择。但是，只有成年人对更广泛的诱发环境敏感。进一步阐明情景记忆和决策之间的关系，记忆精度的差异预测了情景采样的差异，即使考虑了年龄，而情景采样反过来又解释了前瞻性计划中的个体差异。总之，这些发现表明 Epis</w:t>
      </w:r>
    </w:p>
    <w:p>
      <w:pPr>
        <w:spacing w:before="0" w:after="200" w:lineRule="auto" w:line="276"/>
      </w:pPr>
      <w:r>
        <w:rPr>
          <w:b/>
        </w:rPr>
        <w:t xml:space="preserve">Abstract (EN): </w:t>
      </w:r>
      <w:r>
        <w:t>Most widely studied option evaluation strategies rely on knowledge accumulated across repeated experiences. But how should options be evaluated in unfamiliar environments, in which knowledge is sparse? In these situations, how do decision makers make efficient use of limited past experience to guide their choices? One possible strategy is episodic sampling, in which a decision maker retrieves a small number of past decisions from memory to estimate the value of present options. By virtue of their age, children and adolescents have less experience than adults, making episodic sampling a particularly useful strategy for them. At the same time, the effectiveness of episodic sampling derives from memory’s precision and context sensitivity—properties that continue to develop into adolescence and young adulthood. This tension raises a key question: are developmental differences in episodic memory associated with differences in episodic sampling? To address this question, 106 participants, ages 8 to 25, completed a 2-d choice task that dissociated the influence of a single episodic memory from the influence of multiple episodes sharing a common context. At all ages, single episodes biased choices. But, only adults were sensitive to the broader evoked context. Further clarifying the relationship between episodic memory and decision making, differences in memory precision predicted differences in episodic sampling, even after taking into account age, while episodic sampling, in turn, accounted for individual differences in forward planning. Together, these findings suggest that episodic memory guides decision making throughout development, but the character of its influence evolves as memory becomes more precise and richly structured.</w:t>
      </w:r>
    </w:p>
    <w:p>
      <w:pPr>
        <w:spacing w:before="120" w:after="120"/>
      </w:pPr>
      <w:r>
        <w:rPr>
          <w:sz w:val="18"/>
        </w:rPr>
        <w:t>——————————————————————————————————————————————————————————————————————</w:t>
      </w:r>
    </w:p>
    <w:p>
      <w:pPr>
        <w:spacing w:before="160" w:after="40" w:line="240" w:lineRule="auto"/>
      </w:pPr>
      <w:r>
        <w:rPr>
          <w:b/>
        </w:rPr>
        <w:t xml:space="preserve">[577] </w:t>
      </w:r>
      <w:hyperlink r:id="rId1486">
        <w:r>
          <w:rPr>
            <w:color w:val="1155CC"/>
            <w:u w:val="single"/>
          </w:rPr>
          <w:t>在石墨纳米狭缝中设计机械敏感的纳米流体传输</w:t>
        </w:r>
      </w:hyperlink>
    </w:p>
    <w:p>
      <w:pPr>
        <w:spacing w:before="0" w:after="80"/>
      </w:pPr>
      <w:r>
        <w:rPr>
          <w:i/>
          <w:sz w:val="20"/>
        </w:rPr>
        <w:t>EN: Architecting mechanosensitive nanofluidic transport in graphite nanoslits</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87">
        <w:r>
          <w:rPr>
            <w:color w:val="1155CC"/>
            <w:u w:val="single"/>
          </w:rPr>
          <w:t>10.1126/sciadv.aed4451</w:t>
        </w:r>
      </w:hyperlink>
    </w:p>
    <w:p>
      <w:pPr>
        <w:spacing w:before="0" w:after="120"/>
      </w:pPr>
      <w:r>
        <w:rPr>
          <w:b/>
        </w:rPr>
        <w:t xml:space="preserve">Notes: </w:t>
      </w:r>
      <w:r>
        <w:t>abstract_source=crossref</w:t>
      </w:r>
    </w:p>
    <w:p>
      <w:pPr>
        <w:spacing w:before="0" w:after="80" w:lineRule="auto" w:line="276"/>
      </w:pPr>
      <w:r>
        <w:rPr>
          <w:b/>
        </w:rPr>
        <w:t xml:space="preserve">摘要（ZH）: </w:t>
      </w:r>
      <w:r>
        <w:t>机械敏感离子传输在使生命系统通过软嵌入离子通道的变形感知和适应其环境方面发挥着核心作用。在这项工作中，我们证明了二维石墨纳米狭缝内的离子传输可以合理设计，以实现双极、压敏响应，而无需任何结构变形。机械敏感性源自一个通道入口的选择性充电，该通道入口充当移动电荷载流子的可逆源。然后，这些多余的离子可以通过压力驱动的水流平流进或出通道，从而调节离子电导。这种机制是通过一个综合的电流体动力学模型来捕捉的，该模型分析地解释了纳米狭缝内部和外部的耦合扩散、对流、表面传输、扩散渗透和界面滑移。该理论框架定量地再现了实验数据，表明简单的表面电荷模式可以产生复杂的、与压力相关的电导。这些发现揭示了如何利用纳米级丰富的非线性耦合来设计自适应的、受生物启发的纳米流体系统，这里以离子压力传感器为例。</w:t>
      </w:r>
    </w:p>
    <w:p>
      <w:pPr>
        <w:spacing w:before="0" w:after="200" w:lineRule="auto" w:line="276"/>
      </w:pPr>
      <w:r>
        <w:rPr>
          <w:b/>
        </w:rPr>
        <w:t xml:space="preserve">Abstract (EN): </w:t>
      </w:r>
      <w:r>
        <w:t>Mechanosensitive ion transport plays a central role in enabling living systems to perceive and adapt to their environment through the deformation of soft, embedded ion channels. In this work, we demonstrate that ion transport within a two-dimensional graphite nanoslit can be rationally engineered to achieve a bipolar, pressure-sensitive response without any structural deformation. The mechanosensitivity arises from the selective charging of one channel inlet, which acts as a reversible source of mobile charge carriers. These excess ions can then be advected in or out of the channel by the pressure-driven water flow, thereby modulating the ionic conductance. This mechanism is captured through a comprehensive electrohydrodynamic model that analytically accounts for coupled diffusion, convection, surface transport, diffusio-osmosis, and interfacial slippage, both inside and outside the nanoslit. The theoretical framework quantitatively reproduces the experimental data, showing that a simple surface charge pattern can give rise to complex, pressure-dependent conductance. These findings reveal how rich nonlinear couplings at the nanoscale can be harnessed to design adaptive, bioinspired nanofluidic systems, exemplified here by ionic pressure sensors.</w:t>
      </w:r>
    </w:p>
    <w:p>
      <w:pPr>
        <w:spacing w:before="120" w:after="120"/>
      </w:pPr>
      <w:r>
        <w:rPr>
          <w:sz w:val="18"/>
        </w:rPr>
        <w:t>——————————————————————————————————————————————————————————————————————</w:t>
      </w:r>
    </w:p>
    <w:p>
      <w:pPr>
        <w:spacing w:before="160" w:after="40" w:line="240" w:lineRule="auto"/>
      </w:pPr>
      <w:r>
        <w:rPr>
          <w:b/>
        </w:rPr>
        <w:t xml:space="preserve">[578] </w:t>
      </w:r>
      <w:hyperlink r:id="rId1488">
        <w:r>
          <w:rPr>
            <w:color w:val="1155CC"/>
            <w:u w:val="single"/>
          </w:rPr>
          <w:t>CD36是人类沙波病毒的受体</w:t>
        </w:r>
      </w:hyperlink>
    </w:p>
    <w:p>
      <w:pPr>
        <w:spacing w:before="0" w:after="80"/>
      </w:pPr>
      <w:r>
        <w:rPr>
          <w:i/>
          <w:sz w:val="20"/>
        </w:rPr>
        <w:t>EN: CD36 is a receptor for human sapovirus</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89">
        <w:r>
          <w:rPr>
            <w:color w:val="1155CC"/>
            <w:u w:val="single"/>
          </w:rPr>
          <w:t>10.1126/sciadv.aed1300</w:t>
        </w:r>
      </w:hyperlink>
    </w:p>
    <w:p>
      <w:pPr>
        <w:spacing w:before="0" w:after="120"/>
      </w:pPr>
      <w:r>
        <w:rPr>
          <w:b/>
        </w:rPr>
        <w:t xml:space="preserve">Notes: </w:t>
      </w:r>
      <w:r>
        <w:t>abstract_source=crossref</w:t>
      </w:r>
    </w:p>
    <w:p>
      <w:pPr>
        <w:spacing w:before="0" w:after="80" w:lineRule="auto" w:line="276"/>
      </w:pPr>
      <w:r>
        <w:rPr>
          <w:b/>
        </w:rPr>
        <w:t xml:space="preserve">摘要（ZH）: </w:t>
      </w:r>
      <w:r>
        <w:t>人类沙波病毒（HuSaV）是胃肠炎的主要原因，但长期以来缺乏明确的受体。在这里，我们确定清道夫受体 CD36 对于感染至关重要。比较转录组学确定 CD36 是关键的易感因素。 CRISPR 敲除消除了复制，而异位表达则恢复了不同细胞之间的许可性。结合测定显示 CD36 和 HuSaV 颗粒之间具有纳摩尔亲和力。感染还需要胆汁酸甘胆酸，它促进 CD36 内化和病毒进入。在人类肠道类器官中，CD36 敲除消除了感染，证实了生理相关性。我们的研究结果将 CD36 确立为人们长期寻找的 HuSaV 受体，揭示了一种胆汁酸辅助的进入机制，将感染限制在肠道内，并为抗病毒和疫苗的开发提供了机会。</w:t>
      </w:r>
    </w:p>
    <w:p>
      <w:pPr>
        <w:spacing w:before="0" w:after="200" w:lineRule="auto" w:line="276"/>
      </w:pPr>
      <w:r>
        <w:rPr>
          <w:b/>
        </w:rPr>
        <w:t xml:space="preserve">Abstract (EN): </w:t>
      </w:r>
      <w:r>
        <w:t>Human sapovirus (HuSaV) is a major cause of gastroenteritis but has long lacked a defined receptor. Here, we identify the scavenger receptor CD36 as essential for infection. Comparative transcriptomics identified CD36 as the key susceptibility factor. CRISPR knockout abolished replication, while ectopic expression restored permissiveness across diverse cells. Binding assays showed nanomolar affinity between CD36 and HuSaV particles. Infection also required the bile acid glycocholic acid, which promoted CD36 internalization and viral entry. In human intestinal organoids, CD36 knockout abrogated infection, confirming physiological relevance. Our findings establish CD36 as the long-sought HuSaV receptor, uncover a bile acid–assisted entry mechanism that confines infection to the intestine and point to opportunities for antiviral and vaccine development.</w:t>
      </w:r>
    </w:p>
    <w:p>
      <w:pPr>
        <w:spacing w:before="120" w:after="120"/>
      </w:pPr>
      <w:r>
        <w:rPr>
          <w:sz w:val="18"/>
        </w:rPr>
        <w:t>——————————————————————————————————————————————————————————————————————</w:t>
      </w:r>
    </w:p>
    <w:p>
      <w:pPr>
        <w:spacing w:before="160" w:after="40" w:line="240" w:lineRule="auto"/>
      </w:pPr>
      <w:r>
        <w:rPr>
          <w:b/>
        </w:rPr>
        <w:t xml:space="preserve">[579] </w:t>
      </w:r>
      <w:hyperlink r:id="rId1490">
        <w:r>
          <w:rPr>
            <w:color w:val="1155CC"/>
            <w:u w:val="single"/>
          </w:rPr>
          <w:t>星形胶质细胞氧化还原失衡是癫痫边缘前神经元活动减退和适应不良情感行为的基础</w:t>
        </w:r>
      </w:hyperlink>
    </w:p>
    <w:p>
      <w:pPr>
        <w:spacing w:before="0" w:after="80"/>
      </w:pPr>
      <w:r>
        <w:rPr>
          <w:i/>
          <w:sz w:val="20"/>
        </w:rPr>
        <w:t>EN: Astrocyte redox imbalance underlies prelimbic neuronal hypoactivity and maladaptive affective behaviors in epilepsy</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91">
        <w:r>
          <w:rPr>
            <w:color w:val="1155CC"/>
            <w:u w:val="single"/>
          </w:rPr>
          <w:t>10.1126/sciadv.aef6777</w:t>
        </w:r>
      </w:hyperlink>
    </w:p>
    <w:p>
      <w:pPr>
        <w:spacing w:before="0" w:after="120"/>
      </w:pPr>
      <w:r>
        <w:rPr>
          <w:b/>
        </w:rPr>
        <w:t xml:space="preserve">Notes: </w:t>
      </w:r>
      <w:r>
        <w:t>abstract_source=crossref</w:t>
      </w:r>
    </w:p>
    <w:p>
      <w:pPr>
        <w:spacing w:before="0" w:after="80" w:lineRule="auto" w:line="276"/>
      </w:pPr>
      <w:r>
        <w:rPr>
          <w:b/>
        </w:rPr>
        <w:t xml:space="preserve">摘要（ZH）: </w:t>
      </w:r>
      <w:r>
        <w:t>神经精神病学中一个基本但尚未解答的问题是，癫痫的精神症状是否是由与癫痫发作相同或不同的病理生理学引起的。为了解决这个问题，我们研究了由醛脱氢酶 7 家族成员 A1 (ALDH7A1) 突变引起的单基因癫痫（吡哆醇依赖性癫痫）。 ALDH7A1 全基因敲除小鼠表现出癫痫相关和适应不良的情感行为表型。然而，癫痫表型是由肝细胞中 ALDH7A1 缺失引起的，而适应不良情感行为是由星形胶质细胞中 ALDH7A1 缺失引起的。星形胶质细胞的缺失破坏了星形胶质细胞的氧化还原稳态，损害了细胞外离子浓度的调节并减少了前边缘皮质的神经元活动。萝卜硫素可激活 NRF2 抗氧化途径，恢复 ALDH7A1 敲除小鼠的边缘前神经元活动并挽救适应不良的情感行为，但不能预防癫痫发作。这些研究表明先天性癫痫的适应不良情感行为表型中存在星形胶质细胞氧化还原稳态和边缘前活性低下，这些在机制和治疗上与癫痫病理生理学无关。</w:t>
      </w:r>
    </w:p>
    <w:p>
      <w:pPr>
        <w:spacing w:before="0" w:after="200" w:lineRule="auto" w:line="276"/>
      </w:pPr>
      <w:r>
        <w:rPr>
          <w:b/>
        </w:rPr>
        <w:t xml:space="preserve">Abstract (EN): </w:t>
      </w:r>
      <w:r>
        <w:t>A fundamental but unanswered question in neuropsychiatry is whether the psychiatric symptoms of epilepsy are caused by the same or a separate pathophysiology as seizures. To address this question, we investigated a monogenic form of epilepsy (pyridoxine-dependent epilepsy) caused by aldehyde dehydrogenase 7 family member A1 (ALDH7A1) mutations. ALDH7A1 global knockout mice exhibited both seizure-associated and maladaptive affective behavioral phenotypes. However, seizure phenotypes were caused by ALDH7A1 deletion in hepatocytes whereas maladaptive affective behaviors were caused by ALDH7A1 deletion in astrocytes. Deletion in astrocytes disrupted astrocyte redox homeostasis, impairing regulation of extracellular ion concentrations and reducing neuronal activity in the prelimbic cortex. Sulforaphane, which activates the NRF2 antioxidant pathway, restored prelimbic neuronal activity and rescued maladaptive affective behaviors in ALDH7A1 knockout mice but did not prevent seizures. These studies implicate astrocyte redox homeostasis and prelimbic hypoactivity in maladaptive affective behavioral phenotypes in a congenital form of epilepsy, which are mechanistically and therapeutically dissociable from seizure pathophysiology.</w:t>
      </w:r>
    </w:p>
    <w:p>
      <w:pPr>
        <w:spacing w:before="120" w:after="120"/>
      </w:pPr>
      <w:r>
        <w:rPr>
          <w:sz w:val="18"/>
        </w:rPr>
        <w:t>——————————————————————————————————————————————————————————————————————</w:t>
      </w:r>
    </w:p>
    <w:p>
      <w:pPr>
        <w:spacing w:before="160" w:after="40" w:line="240" w:lineRule="auto"/>
      </w:pPr>
      <w:r>
        <w:rPr>
          <w:b/>
        </w:rPr>
        <w:t xml:space="preserve">[580] </w:t>
      </w:r>
      <w:hyperlink r:id="rId1492">
        <w:r>
          <w:rPr>
            <w:color w:val="1155CC"/>
            <w:u w:val="single"/>
          </w:rPr>
          <w:t>通过原位质谱法实现纳米团簇催化机理可视化</w:t>
        </w:r>
      </w:hyperlink>
    </w:p>
    <w:p>
      <w:pPr>
        <w:spacing w:before="0" w:after="80"/>
      </w:pPr>
      <w:r>
        <w:rPr>
          <w:i/>
          <w:sz w:val="20"/>
        </w:rPr>
        <w:t>EN: Mechanism visualization of nanocluster catalysis via in situ mass spectrometry</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93">
        <w:r>
          <w:rPr>
            <w:color w:val="1155CC"/>
            <w:u w:val="single"/>
          </w:rPr>
          <w:t>10.1126/sciadv.aeh8480</w:t>
        </w:r>
      </w:hyperlink>
    </w:p>
    <w:p>
      <w:pPr>
        <w:spacing w:before="0" w:after="120"/>
      </w:pPr>
      <w:r>
        <w:rPr>
          <w:b/>
        </w:rPr>
        <w:t xml:space="preserve">Notes: </w:t>
      </w:r>
      <w:r>
        <w:t>abstract_source=crossref</w:t>
      </w:r>
    </w:p>
    <w:p>
      <w:pPr>
        <w:spacing w:before="0" w:after="80" w:lineRule="auto" w:line="276"/>
      </w:pPr>
      <w:r>
        <w:rPr>
          <w:b/>
        </w:rPr>
        <w:t xml:space="preserve">摘要（ZH）: </w:t>
      </w:r>
      <w:r>
        <w:t>可视化催化反应过程并阐明其机制继续对催化领域提出重大挑战。大多数催化剂固有的异质性以及缺乏能够在原子分辨率下将结构与活性关联起来的工具往往阻碍了全面的理解。在这里，我们描述了纸喷雾电离质谱法在研究催化反应中分子定义的纳米团簇的效力。我们确定了关键的反应中间体，并跟踪了它们在 4-硝基苯酚还原和铃木-宫浦交叉偶联反应过程中的演变。获得了有关速率决定步骤、活性位点动力学和催化剂演化的关键信息，这些信息很难使用多相催化研究中常用的传统技术获得。此外，我们发现了与之前报道的不同的反应机制。这里提出的方法预计将在解码催化反应过程的“黑匣子”方面发挥重要作用。</w:t>
      </w:r>
    </w:p>
    <w:p>
      <w:pPr>
        <w:spacing w:before="0" w:after="200" w:lineRule="auto" w:line="276"/>
      </w:pPr>
      <w:r>
        <w:rPr>
          <w:b/>
        </w:rPr>
        <w:t xml:space="preserve">Abstract (EN): </w:t>
      </w:r>
      <w:r>
        <w:t>Visualizing catalytic reaction processes and elucidating their mechanisms continue to pose substantial challenges in the field of catalysis. A comprehensive understanding is often hindered by the inherent heterogeneity of most catalysts and the scarcity of tools capable of correlating structure with activity at atomic resolution. Here, we describe the potency of paper spray ionization mass spectrometry to study molecularly defined nanoclusters in catalytic reactions. We identified key reaction intermediates and tracked their evolution during the reduction of 4-nitrophenol and Suzuki-Miyaura cross-coupling reactions. Critical information about the rate-determining step, the dynamics of active sites, and the catalyst evolutions was obtained, which is difficult to acquire using conventional techniques prevalent in heterogeneous catalysis research. Moreover, we uncovered reaction mechanisms distinct from those previously reported. The approach presented here is expected to play an important role in decoding the “black box” of catalytic reaction processes.</w:t>
      </w:r>
    </w:p>
    <w:p>
      <w:pPr>
        <w:spacing w:before="120" w:after="120"/>
      </w:pPr>
      <w:r>
        <w:rPr>
          <w:sz w:val="18"/>
        </w:rPr>
        <w:t>——————————————————————————————————————————————————————————————————————</w:t>
      </w:r>
    </w:p>
    <w:p>
      <w:pPr>
        <w:spacing w:before="160" w:after="40" w:line="240" w:lineRule="auto"/>
      </w:pPr>
      <w:r>
        <w:rPr>
          <w:b/>
        </w:rPr>
        <w:t xml:space="preserve">[581] </w:t>
      </w:r>
      <w:hyperlink r:id="rId1494">
        <w:r>
          <w:rPr>
            <w:color w:val="1155CC"/>
            <w:u w:val="single"/>
          </w:rPr>
          <w:t>视紫红质错义运输变体的综合图谱及其对药理校正的反应</w:t>
        </w:r>
      </w:hyperlink>
    </w:p>
    <w:p>
      <w:pPr>
        <w:spacing w:before="0" w:after="80"/>
      </w:pPr>
      <w:r>
        <w:rPr>
          <w:i/>
          <w:sz w:val="20"/>
        </w:rPr>
        <w:t>EN: A comprehensive map of missense trafficking variants in rhodopsin and their response to pharmacologic correction</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495">
        <w:r>
          <w:rPr>
            <w:color w:val="1155CC"/>
            <w:u w:val="single"/>
          </w:rPr>
          <w:t>10.1126/sciadv.aef3518</w:t>
        </w:r>
      </w:hyperlink>
    </w:p>
    <w:p>
      <w:pPr>
        <w:spacing w:before="0" w:after="120"/>
      </w:pPr>
      <w:r>
        <w:rPr>
          <w:b/>
        </w:rPr>
        <w:t xml:space="preserve">Notes: </w:t>
      </w:r>
      <w:r>
        <w:t>abstract_source=crossref</w:t>
      </w:r>
    </w:p>
    <w:p>
      <w:pPr>
        <w:spacing w:before="0" w:after="80" w:lineRule="auto" w:line="276"/>
      </w:pPr>
      <w:r>
        <w:rPr>
          <w:b/>
        </w:rPr>
        <w:t xml:space="preserve">摘要（ZH）: </w:t>
      </w:r>
      <w:r>
        <w:t>视紫质（</w:t>
      </w:r>
      <w:r>
        <w:t xml:space="preserve"> </w:t>
      </w:r>
      <w:r>
        <w:t>右室</w:t>
      </w:r>
      <w:r>
        <w:t xml:space="preserve"> </w:t>
      </w:r>
      <w:r>
        <w:t>）错义变异是常染色体显性视网膜色素变性（adRP）（一种进行性视网膜变性）的主要原因。口译</w:t>
      </w:r>
      <w:r>
        <w:t xml:space="preserve"> </w:t>
      </w:r>
      <w:r>
        <w:t>右室</w:t>
      </w:r>
      <w:r>
        <w:t xml:space="preserve"> </w:t>
      </w:r>
      <w:r>
        <w:t>变异的致病性具有挑战性，了解其疾病机制对于开发治疗方法至关重要。我们提供了一张高分辨率地图</w:t>
      </w:r>
      <w:r>
        <w:t xml:space="preserve"> </w:t>
      </w:r>
      <w:r>
        <w:t>右室</w:t>
      </w:r>
      <w:r>
        <w:t xml:space="preserve"> </w:t>
      </w:r>
      <w:r>
        <w:t>使用深度突变扫描方法进行错义变体贩运，包括表面丰度免疫测定和互补膜邻近测定。这个全面、可重复的数据集涵盖了所有 6612 种可能的错义变体。超过 700 个变体具有致病性贩运分数，大大增加了致病性贩运的数量</w:t>
      </w:r>
      <w:r>
        <w:t xml:space="preserve"> </w:t>
      </w:r>
      <w:r>
        <w:t>右室</w:t>
      </w:r>
      <w:r>
        <w:t xml:space="preserve"> </w:t>
      </w:r>
      <w:r>
        <w:t>具有功能数据的变体。贩运得分与 ER 应激标记物的大小和 ClinVar 致病性分类相关。数据还确定了椎间盘内β-插头区域周围结构上聚集的突变不耐受。使用伴侣 YC-001 治疗可以恢复大多数非法贩运变种的表面贩运。这张功能图</w:t>
      </w:r>
      <w:r>
        <w:t xml:space="preserve"> </w:t>
      </w:r>
      <w:r>
        <w:t>右室</w:t>
      </w:r>
      <w:r>
        <w:t xml:space="preserve"> </w:t>
      </w:r>
      <w:r>
        <w:t>变异为致病性评估、基因型-表型相关性以及制定靶向治疗策略提供了宝贵的资源</w:t>
      </w:r>
      <w:r>
        <w:t xml:space="preserve"> </w:t>
      </w:r>
      <w:r>
        <w:t>右室</w:t>
      </w:r>
      <w:r>
        <w:t xml:space="preserve"> </w:t>
      </w:r>
      <w:r>
        <w:t>-adRP。</w:t>
      </w:r>
    </w:p>
    <w:p>
      <w:pPr>
        <w:spacing w:before="0" w:after="200" w:lineRule="auto" w:line="276"/>
      </w:pPr>
      <w:r>
        <w:rPr>
          <w:b/>
        </w:rPr>
        <w:t xml:space="preserve">Abstract (EN): </w:t>
      </w:r>
      <w:r>
        <w:t>Rhodopsin (</w:t>
      </w:r>
      <w:r>
        <w:t xml:space="preserve"> </w:t>
      </w:r>
      <w:r>
        <w:t>RHO</w:t>
      </w:r>
      <w:r>
        <w:t xml:space="preserve"> </w:t>
      </w:r>
      <w:r>
        <w:t>) missense variants are a leading cause of autosomal dominant retinitis pigmentosa (adRP), a progressive retinal degeneration. Interpreting</w:t>
      </w:r>
      <w:r>
        <w:t xml:space="preserve"> </w:t>
      </w:r>
      <w:r>
        <w:t>RHO</w:t>
      </w:r>
      <w:r>
        <w:t xml:space="preserve"> </w:t>
      </w:r>
      <w:r>
        <w:t>variant pathogenicity is challenging, and understanding their disease mechanisms is essential for developing therapeutics. We present a high-resolution map of</w:t>
      </w:r>
      <w:r>
        <w:t xml:space="preserve"> </w:t>
      </w:r>
      <w:r>
        <w:t>RHO</w:t>
      </w:r>
      <w:r>
        <w:t xml:space="preserve"> </w:t>
      </w:r>
      <w:r>
        <w:t>missense variant trafficking using deep mutational scanning approaches, including a surface abundance immunoassay and a complementary membrane proximity assay. This comprehensive, reproducible dataset encompassed all 6612 possible missense variants. Over 700 variants had pathogenic trafficking scores, substantially expanding the number of</w:t>
      </w:r>
      <w:r>
        <w:t xml:space="preserve"> </w:t>
      </w:r>
      <w:r>
        <w:t>RHO</w:t>
      </w:r>
      <w:r>
        <w:t xml:space="preserve"> </w:t>
      </w:r>
      <w:r>
        <w:t>variants with functional data. Trafficking scores correlated with the magnitude of ER stress markers and ClinVar pathogenicity classifications. Data also identified structurally clustered mutational intolerance around the intradiscal beta-plug region. Treatment with the chaperone YC-001 restored surface trafficking in most mistrafficking variants. This functional map of</w:t>
      </w:r>
      <w:r>
        <w:t xml:space="preserve"> </w:t>
      </w:r>
      <w:r>
        <w:t>RHO</w:t>
      </w:r>
      <w:r>
        <w:t xml:space="preserve"> </w:t>
      </w:r>
      <w:r>
        <w:t>variants provides a valuable resource for pathogenicity assessment, genotype-phenotype correlations, and the development of targeted therapeutic strategies for</w:t>
      </w:r>
      <w:r>
        <w:t xml:space="preserve"> </w:t>
      </w:r>
      <w:r>
        <w:t>RHO</w:t>
      </w:r>
      <w:r>
        <w:t xml:space="preserve"> </w:t>
      </w:r>
      <w:r>
        <w:t>-adRP.</w:t>
      </w:r>
    </w:p>
    <w:p>
      <w:pPr>
        <w:spacing w:before="120" w:after="120"/>
      </w:pPr>
      <w:r>
        <w:rPr>
          <w:sz w:val="18"/>
        </w:rPr>
        <w:t>——————————————————————————————————————————————————————————————————————</w:t>
      </w:r>
    </w:p>
    <w:p>
      <w:pPr>
        <w:spacing w:before="160" w:after="40" w:line="240" w:lineRule="auto"/>
      </w:pPr>
      <w:r>
        <w:rPr>
          <w:b/>
        </w:rPr>
        <w:t xml:space="preserve">[582] </w:t>
      </w:r>
      <w:hyperlink r:id="rId1496">
        <w:r>
          <w:rPr>
            <w:color w:val="1155CC"/>
            <w:u w:val="single"/>
          </w:rPr>
          <w:t>比较考古学通过复杂化揭示了重复但不确定的途径</w:t>
        </w:r>
      </w:hyperlink>
    </w:p>
    <w:p>
      <w:pPr>
        <w:spacing w:before="0" w:after="80"/>
      </w:pPr>
      <w:r>
        <w:rPr>
          <w:i/>
          <w:sz w:val="20"/>
        </w:rPr>
        <w:t>EN: Comparative archaeology reveals recurrent but nondeterministic pathways through complexification</w:t>
      </w:r>
    </w:p>
    <w:p>
      <w:pPr>
        <w:spacing w:before="0" w:after="120"/>
      </w:pPr>
      <w:r>
        <w:rPr>
          <w:b/>
        </w:rPr>
        <w:t xml:space="preserve">Source: </w:t>
      </w:r>
      <w:r>
        <w:t>Proceedings of the National Academy of Sciences: Keyword search for query</w:t>
      </w:r>
      <w:r>
        <w:t xml:space="preserve">    </w:t>
      </w:r>
      <w:r>
        <w:rPr>
          <w:b/>
        </w:rPr>
        <w:t xml:space="preserve">Pub date: </w:t>
      </w:r>
      <w:r>
        <w:t>2026-07-29 07:00:00+00:00</w:t>
      </w:r>
      <w:r>
        <w:t xml:space="preserve">    </w:t>
      </w:r>
      <w:r>
        <w:rPr>
          <w:b/>
        </w:rPr>
        <w:t xml:space="preserve">DOI: </w:t>
      </w:r>
      <w:hyperlink r:id="rId1497">
        <w:r>
          <w:rPr>
            <w:color w:val="1155CC"/>
            <w:u w:val="single"/>
          </w:rPr>
          <w:t>10.1073/pnas.2610959123</w:t>
        </w:r>
      </w:hyperlink>
    </w:p>
    <w:p>
      <w:pPr>
        <w:spacing w:before="0" w:after="120"/>
      </w:pPr>
      <w:r>
        <w:rPr>
          <w:b/>
        </w:rPr>
        <w:t xml:space="preserve">Notes: </w:t>
      </w:r>
      <w:r>
        <w:t>abstract_source=crossref</w:t>
      </w:r>
    </w:p>
    <w:p>
      <w:pPr>
        <w:spacing w:before="0" w:after="80" w:lineRule="auto" w:line="276"/>
      </w:pPr>
      <w:r>
        <w:rPr>
          <w:b/>
        </w:rPr>
        <w:t xml:space="preserve">摘要（ZH）: </w:t>
      </w:r>
      <w:r>
        <w:t>在早期复杂社会中观察到的变异量对理解其社会动态的努力提出了挑战。我们主张采用比较方法来直接研究产生这种变化的力量。通过沿着五个分化轴对 63 条社会变革轨迹进行整体排名，我们从多维角度描述了它们的发展。我们的分析表明，这些轨迹中的大多数与通过“复杂化”的六种循环路径之一相一致，这些路径是从多个轨迹共享的大致相似的发展过程中确定的。这些模式提供了一个框架，用于理解不同形式的复杂性出现或失败的条件。特别关注社会和人口力量沿着这些路径相互作用的方式。至关重要的是，这些力量的相互作用是概率性的，而不是确定性的，产生了广泛的趋势，而不是不可避免的结果。未来的研究将重点放在中介变量和混杂变量上，扩大可用于分析的轨迹样本，确定其他复杂化路径及其中起作用的社会力量，并利用与任何发展模式不太相符的轨迹的解释潜力，将进一步丰富我们对复杂化过程的理解。</w:t>
      </w:r>
    </w:p>
    <w:p>
      <w:pPr>
        <w:spacing w:before="0" w:after="200" w:lineRule="auto" w:line="276"/>
      </w:pPr>
      <w:r>
        <w:rPr>
          <w:b/>
        </w:rPr>
        <w:t xml:space="preserve">Abstract (EN): </w:t>
      </w:r>
      <w:r>
        <w:t>The amount of variation observed among early complex societies has challenged efforts to understand their social dynamics. We advocate for a comparative approach that directly investigates the forces producing this variation. By holistically ranking 63 trajectories of societal change along five axes of differentiation, we characterize their development from a multidimensional perspective. Our analysis reveals that the majority of these trajectories align with one of six recurrent pathways through “complexification,” identified from broadly similar courses of development shared across multiple trajectories. These patterns provide a framework for understanding the conditions under which different forms of complexity emerged—or failed to do so. Particular attention is paid to the ways in which social and demographic forces interact along these pathways. Crucially, these forces interact probabilistically rather than deterministically, producing widespread tendencies rather than inevitable outcomes. Focusing future research on mediating and confounding variables, expanding the sample of trajectories available for analysis, identifying additional complexification pathways and the social forces at work in them, and leveraging the explanatory potential of trajectories that do not align well with any developmental pattern, will further enrich our understanding of the complexification process.</w:t>
      </w:r>
    </w:p>
    <w:p>
      <w:pPr>
        <w:spacing w:before="120" w:after="120"/>
      </w:pPr>
      <w:r>
        <w:rPr>
          <w:sz w:val="18"/>
        </w:rPr>
        <w:t>——————————————————————————————————————————————————————————————————————</w:t>
      </w:r>
    </w:p>
    <w:p>
      <w:pPr>
        <w:spacing w:before="160" w:after="40" w:line="240" w:lineRule="auto"/>
      </w:pPr>
      <w:r>
        <w:rPr>
          <w:b/>
        </w:rPr>
        <w:t xml:space="preserve">[583] </w:t>
      </w:r>
      <w:hyperlink r:id="rId1498">
        <w:r>
          <w:rPr>
            <w:color w:val="1155CC"/>
            <w:u w:val="single"/>
          </w:rPr>
          <w:t>人工智能将重组科学。研究仍将是一项人类事业吗？</w:t>
        </w:r>
      </w:hyperlink>
    </w:p>
    <w:p>
      <w:pPr>
        <w:spacing w:before="0" w:after="80"/>
      </w:pPr>
      <w:r>
        <w:rPr>
          <w:i/>
          <w:sz w:val="20"/>
        </w:rPr>
        <w:t>EN: AI will reorganize science. Will research remain a human enterprise?</w:t>
      </w:r>
    </w:p>
    <w:p>
      <w:pPr>
        <w:spacing w:before="0" w:after="120"/>
      </w:pPr>
      <w:r>
        <w:rPr>
          <w:b/>
        </w:rPr>
        <w:t xml:space="preserve">Source: </w:t>
      </w:r>
      <w:r>
        <w:t>Proceedings of the National Academy of Sciences: Keyword search for query</w:t>
      </w:r>
      <w:r>
        <w:t xml:space="preserve">    </w:t>
      </w:r>
      <w:r>
        <w:rPr>
          <w:b/>
        </w:rPr>
        <w:t xml:space="preserve">Pub date: </w:t>
      </w:r>
      <w:r>
        <w:t>2026-07-29 07:00:00+00:00</w:t>
      </w:r>
      <w:r>
        <w:t xml:space="preserve">    </w:t>
      </w:r>
      <w:r>
        <w:rPr>
          <w:b/>
        </w:rPr>
        <w:t xml:space="preserve">DOI: </w:t>
      </w:r>
      <w:hyperlink r:id="rId1499">
        <w:r>
          <w:rPr>
            <w:color w:val="1155CC"/>
            <w:u w:val="single"/>
          </w:rPr>
          <w:t>10.1073/pnas.2610088123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[584] </w:t>
      </w:r>
      <w:hyperlink r:id="rId1500">
        <w:r>
          <w:rPr>
            <w:color w:val="1155CC"/>
            <w:u w:val="single"/>
          </w:rPr>
          <w:t>扩展的载脂蛋白 D 家族为叶螨提供双层保护，抵御饮食氧化应激</w:t>
        </w:r>
      </w:hyperlink>
    </w:p>
    <w:p>
      <w:pPr>
        <w:spacing w:before="0" w:after="80"/>
      </w:pPr>
      <w:r>
        <w:rPr>
          <w:i/>
          <w:sz w:val="20"/>
        </w:rPr>
        <w:t>EN: An expanded apolipoprotein D family provides spider mites with dual-layer protection against dietary oxidative stress</w:t>
      </w:r>
    </w:p>
    <w:p>
      <w:pPr>
        <w:spacing w:before="0" w:after="120"/>
      </w:pPr>
      <w:r>
        <w:rPr>
          <w:b/>
        </w:rPr>
        <w:t xml:space="preserve">Source: </w:t>
      </w:r>
      <w:r>
        <w:t>Proceedings of the National Academy of Sciences: Keyword search for query</w:t>
      </w:r>
      <w:r>
        <w:t xml:space="preserve">    </w:t>
      </w:r>
      <w:r>
        <w:rPr>
          <w:b/>
        </w:rPr>
        <w:t xml:space="preserve">Pub date: </w:t>
      </w:r>
      <w:r>
        <w:t>2026-07-29 07:00:00+00:00</w:t>
      </w:r>
      <w:r>
        <w:t xml:space="preserve">    </w:t>
      </w:r>
      <w:r>
        <w:rPr>
          <w:b/>
        </w:rPr>
        <w:t xml:space="preserve">DOI: </w:t>
      </w:r>
      <w:hyperlink r:id="rId1501">
        <w:r>
          <w:rPr>
            <w:color w:val="1155CC"/>
            <w:u w:val="single"/>
          </w:rPr>
          <w:t>10.1073/pnas.2608132123</w:t>
        </w:r>
      </w:hyperlink>
    </w:p>
    <w:p>
      <w:pPr>
        <w:spacing w:before="0" w:after="120"/>
      </w:pPr>
      <w:r>
        <w:rPr>
          <w:b/>
        </w:rPr>
        <w:t xml:space="preserve">Notes: </w:t>
      </w:r>
      <w:r>
        <w:t>abstract_source=crossref</w:t>
      </w:r>
    </w:p>
    <w:p>
      <w:pPr>
        <w:spacing w:before="0" w:after="80" w:lineRule="auto" w:line="276"/>
      </w:pPr>
      <w:r>
        <w:rPr>
          <w:b/>
        </w:rPr>
        <w:t xml:space="preserve">摘要（ZH）: </w:t>
      </w:r>
      <w:r>
        <w:t>植物防御推动了许多食草动物物种依赖性适应策略的进化，但大多数节肢动物的适应分子机制仍然很大程度上未知。二斑叶螨（</w:t>
      </w:r>
      <w:r>
        <w:t xml:space="preserve"> </w:t>
      </w:r>
      <w:r>
        <w:t>二斑叶螨</w:t>
      </w:r>
      <w:r>
        <w:t xml:space="preserve"> </w:t>
      </w:r>
      <w:r>
        <w:t>）是一种通才草食动物，通过吸吮叶肉细胞的内容物来进食，这种进食策略不同于以韧皮部为食的昆虫。在这里，我们展示了意想不到的差异表达</w:t>
      </w:r>
      <w:r>
        <w:t xml:space="preserve"> </w:t>
      </w:r>
      <w:r>
        <w:t>载脂蛋白D</w:t>
      </w:r>
      <w:r>
        <w:t xml:space="preserve"> </w:t>
      </w:r>
      <w:r>
        <w:t>（</w:t>
      </w:r>
      <w:r>
        <w:t xml:space="preserve"> </w:t>
      </w:r>
      <w:r>
        <w:t>载脂蛋白D</w:t>
      </w:r>
      <w:r>
        <w:t xml:space="preserve"> </w:t>
      </w:r>
      <w:r>
        <w:t>）当螨虫转移到不同宿主植物物种时摄食期间的基因，以及极端的基因家族扩张（64</w:t>
      </w:r>
      <w:r>
        <w:t xml:space="preserve"> </w:t>
      </w:r>
      <w:r>
        <w:t>载脂蛋白D</w:t>
      </w:r>
      <w:r>
        <w:t xml:space="preserve"> </w:t>
      </w:r>
      <w:r>
        <w:t>旁系同源物，是任何生物体中报道的最大的）。我们发现 ApoD 蛋白在摄食过程中保护螨虫免受活性氧 (ROS) 的侵害，并且我们确定了 ApoD 蛋白在摄入和消化过程中抵消植物 ROS 防御的双层机制。首先，唾液蛋白 TuApoD2 在摄入叶肉细胞内容物时分泌，与乙醇酸氧化酶 2 (GOX2) 相互作用以抑制 H</w:t>
      </w:r>
      <w:r>
        <w:rPr>
          <w:vertAlign w:val="subscript"/>
        </w:rPr>
        <w:t>2</w:t>
      </w:r>
      <w:r>
        <w:t>氧</w:t>
      </w:r>
      <w:r>
        <w:rPr>
          <w:vertAlign w:val="subscript"/>
        </w:rPr>
        <w:t>2</w:t>
      </w:r>
      <w:r>
        <w:t>一代。摄入后，肠道细胞中的 TuApoD33 也会与 GOX2 相互作用，维持 H 的抑制</w:t>
      </w:r>
      <w:r>
        <w:rPr>
          <w:vertAlign w:val="subscript"/>
        </w:rPr>
        <w:t>2</w:t>
      </w:r>
      <w:r>
        <w:t>氧</w:t>
      </w:r>
      <w:r>
        <w:rPr>
          <w:vertAlign w:val="subscript"/>
        </w:rPr>
        <w:t>2</w:t>
      </w:r>
      <w:r>
        <w:t>一代。这些发现表明，进化扩张</w:t>
      </w:r>
      <w:r>
        <w:t xml:space="preserve"> </w:t>
      </w:r>
      <w:r>
        <w:t>载脂蛋白D</w:t>
      </w:r>
      <w:r>
        <w:t xml:space="preserve"> </w:t>
      </w:r>
      <w:r>
        <w:t>基因家族</w:t>
      </w:r>
    </w:p>
    <w:p>
      <w:pPr>
        <w:spacing w:before="0" w:after="200" w:lineRule="auto" w:line="276"/>
      </w:pPr>
      <w:r>
        <w:rPr>
          <w:b/>
        </w:rPr>
        <w:t xml:space="preserve">Abstract (EN): </w:t>
      </w:r>
      <w:r>
        <w:t>Plant defense has driven the evolution of species-dependent adaptive strategies in many herbivores, but the molecular mechanisms of adaptation in most arthropods remain largely unknown. The two-spotted spider mite (</w:t>
      </w:r>
      <w:r>
        <w:t xml:space="preserve"> </w:t>
      </w:r>
      <w:r>
        <w:t>Tetranychus urticae</w:t>
      </w:r>
      <w:r>
        <w:t xml:space="preserve"> </w:t>
      </w:r>
      <w:r>
        <w:t>) is a generalist herbivore that feeds by sucking the contents of mesophyll cells, a feeding strategy distinct from that of phloem-feeding insects. Here, we show the unexpected differential expression of</w:t>
      </w:r>
      <w:r>
        <w:t xml:space="preserve"> </w:t>
      </w:r>
      <w:r>
        <w:t>apolipoprotein D</w:t>
      </w:r>
      <w:r>
        <w:t xml:space="preserve"> </w:t>
      </w:r>
      <w:r>
        <w:t>(</w:t>
      </w:r>
      <w:r>
        <w:t xml:space="preserve"> </w:t>
      </w:r>
      <w:r>
        <w:t>ApoD</w:t>
      </w:r>
      <w:r>
        <w:t xml:space="preserve"> </w:t>
      </w:r>
      <w:r>
        <w:t>) genes during feeding when mites are transferred to different host plant species, as well as extreme gene family expansion (64</w:t>
      </w:r>
      <w:r>
        <w:t xml:space="preserve"> </w:t>
      </w:r>
      <w:r>
        <w:t>ApoD</w:t>
      </w:r>
      <w:r>
        <w:t xml:space="preserve"> </w:t>
      </w:r>
      <w:r>
        <w:t>paralogs, the largest reported in any organism). We find that ApoD proteins protect mites against reactive oxygen species (ROS) during feeding, and we identify a dual-layer mechanism by which ApoD proteins counteract plant ROS defenses during ingestion and digestion. First, the salivary protein TuApoD2 is secreted during the ingestion of mesophyll cell contents, where it interacts with glycolate oxidase 2 (GOX2) to inhibit H</w:t>
      </w:r>
      <w:r>
        <w:rPr>
          <w:vertAlign w:val="subscript"/>
        </w:rPr>
        <w:t>2</w:t>
      </w:r>
      <w:r>
        <w:t>O</w:t>
      </w:r>
      <w:r>
        <w:rPr>
          <w:vertAlign w:val="subscript"/>
        </w:rPr>
        <w:t>2</w:t>
      </w:r>
      <w:r>
        <w:t>generation. After ingestion, TuApoD33 in the gut cells also interacts with GOX2 to maintain the inhibition of H</w:t>
      </w:r>
      <w:r>
        <w:rPr>
          <w:vertAlign w:val="subscript"/>
        </w:rPr>
        <w:t>2</w:t>
      </w:r>
      <w:r>
        <w:t>O</w:t>
      </w:r>
      <w:r>
        <w:rPr>
          <w:vertAlign w:val="subscript"/>
        </w:rPr>
        <w:t>2</w:t>
      </w:r>
      <w:r>
        <w:t>generation. These findings suggest that the evolutionary expansion of the</w:t>
      </w:r>
      <w:r>
        <w:t xml:space="preserve"> </w:t>
      </w:r>
      <w:r>
        <w:t>ApoD</w:t>
      </w:r>
      <w:r>
        <w:t xml:space="preserve"> </w:t>
      </w:r>
      <w:r>
        <w:t>gene family is a key component of the molecular arms race between herbivorous mites and host plants.</w:t>
      </w:r>
    </w:p>
    <w:p>
      <w:pPr>
        <w:spacing w:before="120" w:after="120"/>
      </w:pPr>
      <w:r>
        <w:rPr>
          <w:sz w:val="18"/>
        </w:rPr>
        <w:t>——————————————————————————————————————————————————————————————————————</w:t>
      </w:r>
    </w:p>
    <w:p>
      <w:pPr>
        <w:spacing w:before="160" w:after="40" w:line="240" w:lineRule="auto"/>
      </w:pPr>
      <w:r>
        <w:rPr>
          <w:b/>
        </w:rPr>
        <w:t xml:space="preserve">[585] </w:t>
      </w:r>
      <w:hyperlink r:id="rId1502">
        <w:r>
          <w:rPr>
            <w:color w:val="1155CC"/>
            <w:u w:val="single"/>
          </w:rPr>
          <w:t>冷冻电子断层扫描揭示了与年龄相关的线粒体核糖体下降，导致老年人 T 细胞功能障碍</w:t>
        </w:r>
      </w:hyperlink>
    </w:p>
    <w:p>
      <w:pPr>
        <w:spacing w:before="0" w:after="80"/>
      </w:pPr>
      <w:r>
        <w:rPr>
          <w:i/>
          <w:sz w:val="20"/>
        </w:rPr>
        <w:t>EN: Cryoelectron tomography reveals an age-related decline in mitoribosomes that contributes to T cell dysfunction in older individuals</w:t>
      </w:r>
    </w:p>
    <w:p>
      <w:pPr>
        <w:spacing w:before="0" w:after="120"/>
      </w:pPr>
      <w:r>
        <w:rPr>
          <w:b/>
        </w:rPr>
        <w:t xml:space="preserve">Source: </w:t>
      </w:r>
      <w:r>
        <w:t>Proceedings of the National Academy of Sciences: Keyword search for query</w:t>
      </w:r>
      <w:r>
        <w:t xml:space="preserve">    </w:t>
      </w:r>
      <w:r>
        <w:rPr>
          <w:b/>
        </w:rPr>
        <w:t xml:space="preserve">Pub date: </w:t>
      </w:r>
      <w:r>
        <w:t>2026-07-29 07:00:00+00:00</w:t>
      </w:r>
      <w:r>
        <w:t xml:space="preserve">    </w:t>
      </w:r>
      <w:r>
        <w:rPr>
          <w:b/>
        </w:rPr>
        <w:t xml:space="preserve">DOI: </w:t>
      </w:r>
      <w:hyperlink r:id="rId1503">
        <w:r>
          <w:rPr>
            <w:color w:val="1155CC"/>
            <w:u w:val="single"/>
          </w:rPr>
          <w:t>10.1073/pnas.2608102123</w:t>
        </w:r>
      </w:hyperlink>
    </w:p>
    <w:p>
      <w:pPr>
        <w:spacing w:before="0" w:after="120"/>
      </w:pPr>
      <w:r>
        <w:rPr>
          <w:b/>
        </w:rPr>
        <w:t xml:space="preserve">Notes: </w:t>
      </w:r>
      <w:r>
        <w:t>abstract_source=crossref</w:t>
      </w:r>
    </w:p>
    <w:p>
      <w:pPr>
        <w:spacing w:before="0" w:after="80" w:lineRule="auto" w:line="276"/>
      </w:pPr>
      <w:r>
        <w:rPr>
          <w:b/>
        </w:rPr>
        <w:t xml:space="preserve">摘要（ZH）: </w:t>
      </w:r>
      <w:r>
        <w:t>线粒体功能障碍导致小鼠 T 细胞衰老。然而，由于物种间 T 细胞衰老机制的根本差异，人类 T 细胞是否表现出类似的线粒体改变仍不清楚，现有证据往往相互矛盾。使用冷冻电子断层扫描，我们解析了原代人类 CD8 中线粒体核糖体的结构和空间组织</w:t>
      </w:r>
      <w:r>
        <w:t xml:space="preserve"> </w:t>
      </w:r>
      <w:r>
        <w:t>+</w:t>
      </w:r>
      <w:r>
        <w:t xml:space="preserve"> </w:t>
      </w:r>
      <w:r>
        <w:t>生理条件下的T细胞。与人类衰老模型的比较分析揭示了与年龄相关的线粒体丰度和高阶线粒体核糖体组织的减少，这对于合作翻译是必要的。有缺陷的线粒体翻译抑制了胞质核糖体蛋白的表达，从而限制了线粒体的生物发生。随后线粒体质量的减少导致 T 细胞老化，其特征是记忆表型和增殖能力受损。在病毒感染或肿瘤小鼠模型中，通过线粒体核糖体成分 Mrps5 的过度表达来增强线粒体翻译，从而逆转了衰老的 T 细胞表型。总之，我们的研究结果提供了线粒体内部结构原位的纳米级分辨率视图，揭示了与年龄相关的线粒体核糖体损失。这种损失导致线粒体功能障碍以及随后在老年人中观察到的 T 细胞功能下降。因此，恢复线粒体翻译可能是减轻老龄化人群中 T 细胞功能障碍的一种策略。</w:t>
      </w:r>
    </w:p>
    <w:p>
      <w:pPr>
        <w:spacing w:before="0" w:after="200" w:lineRule="auto" w:line="276"/>
      </w:pPr>
      <w:r>
        <w:rPr>
          <w:b/>
        </w:rPr>
        <w:t xml:space="preserve">Abstract (EN): </w:t>
      </w:r>
      <w:r>
        <w:t>Mitochondrial dysfunction drives T cell aging in mice. Yet, due to fundamental differences in T cell aging mechanisms between species, whether human T cells exhibit similar mitochondrial alterations remains unclear, with existing evidence often conflicting. Using cryoelectron tomography, we resolved the structure and spatial organization of mitochondrial ribosomes in primary human CD8</w:t>
      </w:r>
      <w:r>
        <w:t xml:space="preserve"> </w:t>
      </w:r>
      <w:r>
        <w:t>+</w:t>
      </w:r>
      <w:r>
        <w:t xml:space="preserve"> </w:t>
      </w:r>
      <w:r>
        <w:t>T cells under physiological conditions. Comparative analysis with human aging models revealed an age-related reduction in mitoribosome abundance and in higher-order mitoribosome organization, which is necessary for cooperative translation. Defective mitochondrial translation suppressed cytosolic ribosomal protein expression, thereby limiting mitochondrial biogenesis. The consequent reduction in mitochondrial mass induced an aged T cell phenotype characterized by compromised memory phenotypes and proliferative capacity. Enhancing mitochondrial translation via overexpression of the mitoribosomal component Mrps5 reversed aged T cell phenotypes in a mouse model of viral infection or tumor. Together, our findings provide nanoscale-resolution views of internal mitochondrial structures in situ, revealing an age-related loss of mitoribosomes. This loss contributes to mitochondrial dysfunction and the subsequent decline in T cell function observed in older individuals. Restoring mitochondrial translation may therefore represent a strategy for mitigating T cell dysfunction in the aging population.</w:t>
      </w:r>
    </w:p>
    <w:p>
      <w:pPr>
        <w:spacing w:before="120" w:after="120"/>
      </w:pPr>
      <w:r>
        <w:rPr>
          <w:sz w:val="18"/>
        </w:rPr>
        <w:t>——————————————————————————————————————————————————————————————————————</w:t>
      </w:r>
    </w:p>
    <w:p>
      <w:pPr>
        <w:spacing w:before="160" w:after="40" w:line="240" w:lineRule="auto"/>
      </w:pPr>
      <w:r>
        <w:rPr>
          <w:b/>
        </w:rPr>
        <w:t xml:space="preserve">[586] </w:t>
      </w:r>
      <w:hyperlink r:id="rId1504">
        <w:r>
          <w:rPr>
            <w:color w:val="1155CC"/>
            <w:u w:val="single"/>
          </w:rPr>
          <w:t>迁移界面的有效质量</w:t>
        </w:r>
      </w:hyperlink>
    </w:p>
    <w:p>
      <w:pPr>
        <w:spacing w:before="0" w:after="80"/>
      </w:pPr>
      <w:r>
        <w:rPr>
          <w:i/>
          <w:sz w:val="20"/>
        </w:rPr>
        <w:t>EN: Effective mass of a migrating interface</w:t>
      </w:r>
    </w:p>
    <w:p>
      <w:pPr>
        <w:spacing w:before="0" w:after="120"/>
      </w:pPr>
      <w:r>
        <w:rPr>
          <w:b/>
        </w:rPr>
        <w:t xml:space="preserve">Source: </w:t>
      </w:r>
      <w:r>
        <w:t>Proceedings of the National Academy of Sciences: Keyword search for query</w:t>
      </w:r>
      <w:r>
        <w:t xml:space="preserve">    </w:t>
      </w:r>
      <w:r>
        <w:rPr>
          <w:b/>
        </w:rPr>
        <w:t xml:space="preserve">Pub date: </w:t>
      </w:r>
      <w:r>
        <w:t>2026-07-29 07:00:00+00:00</w:t>
      </w:r>
      <w:r>
        <w:t xml:space="preserve">    </w:t>
      </w:r>
      <w:r>
        <w:rPr>
          <w:b/>
        </w:rPr>
        <w:t xml:space="preserve">DOI: </w:t>
      </w:r>
      <w:hyperlink r:id="rId1505">
        <w:r>
          <w:rPr>
            <w:color w:val="1155CC"/>
            <w:u w:val="single"/>
          </w:rPr>
          <w:t>10.1073/pnas.2608055123</w:t>
        </w:r>
      </w:hyperlink>
    </w:p>
    <w:p>
      <w:pPr>
        <w:spacing w:before="0" w:after="120"/>
      </w:pPr>
      <w:r>
        <w:rPr>
          <w:b/>
        </w:rPr>
        <w:t xml:space="preserve">Notes: </w:t>
      </w:r>
      <w:r>
        <w:t>abstract_source=crossref</w:t>
      </w:r>
    </w:p>
    <w:p>
      <w:pPr>
        <w:spacing w:before="0" w:after="80" w:lineRule="auto" w:line="276"/>
      </w:pPr>
      <w:r>
        <w:rPr>
          <w:b/>
        </w:rPr>
        <w:t xml:space="preserve">摘要（ZH）: </w:t>
      </w:r>
      <w:r>
        <w:t>界面在材料中无处不在，在微观结构演化和材料性能中发挥着核心作用。尽管界面迁移已经被研究了一个多世纪并且仍然是一个活跃的领域，但界面动力学的几个基本假设在很大程度上仍未得到检验。特别是，界面通常被视为受过阻尼动力学控制的无质量物体。在这项研究中，我们表明晶界在高频振荡驱动下表现出可测量的惯性行为。我们引入了一种定量方法，从施加的力和界面速度之间的相位滞后中提取有效的界面质量，并发现该质量随着参与边界迁移的原子而变化。使用这个框架，我们确定了惯性效应显着改变界面动力学的机制，特别是在与热波动相关的频率下。这些结果挑战了传统的过阻尼描述，并将有效界面质量确立为物理完整的界面迁移理论的关键成分。</w:t>
      </w:r>
    </w:p>
    <w:p>
      <w:pPr>
        <w:spacing w:before="0" w:after="200" w:lineRule="auto" w:line="276"/>
      </w:pPr>
      <w:r>
        <w:rPr>
          <w:b/>
        </w:rPr>
        <w:t xml:space="preserve">Abstract (EN): </w:t>
      </w:r>
      <w:r>
        <w:t>Interfaces are ubiquitous in materials and play a central role in microstructural evolution and material properties. Although interface migration has been studied for more than a century and remains an active field, several foundational assumptions of interface kinetics remain largely untested. In particular, interfaces are commonly treated as massless objects governed by overdamped dynamics. In this study, we show that grain boundaries exhibit measurable inertial behavior under high-frequency oscillatory driving. We introduce a quantitative method to extract an effective interface mass from the phase lag between the applied force and the interface velocity and find that this mass scales with the atoms participating in boundary migration. Using this framework, we identify regimes in which inertial effects significantly modify interfacial kinetics, especially at frequencies relevant to thermal fluctuations. These results challenge the conventional overdamped description and establish effective interface mass as a key ingredient in a physically complete theory of interface migration.</w:t>
      </w:r>
    </w:p>
    <w:p>
      <w:pPr>
        <w:spacing w:before="120" w:after="120"/>
      </w:pPr>
      <w:r>
        <w:rPr>
          <w:sz w:val="18"/>
        </w:rPr>
        <w:t>——————————————————————————————————————————————————————————————————————</w:t>
      </w:r>
    </w:p>
    <w:p>
      <w:pPr>
        <w:spacing w:before="160" w:after="40" w:line="240" w:lineRule="auto"/>
      </w:pPr>
      <w:r>
        <w:rPr>
          <w:b/>
        </w:rPr>
        <w:t xml:space="preserve">[587] </w:t>
      </w:r>
      <w:hyperlink r:id="rId1506">
        <w:r>
          <w:rPr>
            <w:color w:val="1155CC"/>
            <w:u w:val="single"/>
          </w:rPr>
          <w:t>用于无标记定向分辨单分子成像的扭转编码磁等离子体干涉测量法</w:t>
        </w:r>
      </w:hyperlink>
    </w:p>
    <w:p>
      <w:pPr>
        <w:spacing w:before="0" w:after="80"/>
      </w:pPr>
      <w:r>
        <w:rPr>
          <w:i/>
          <w:sz w:val="20"/>
        </w:rPr>
        <w:t>EN: Twist-encoded magnetic plasmon interferometry for label-free, orientation-resolved single-molecule imaging</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507">
        <w:r>
          <w:rPr>
            <w:color w:val="1155CC"/>
            <w:u w:val="single"/>
          </w:rPr>
          <w:t>10.1126/sciadv.aef5199</w:t>
        </w:r>
      </w:hyperlink>
    </w:p>
    <w:p>
      <w:pPr>
        <w:spacing w:before="0" w:after="120"/>
      </w:pPr>
      <w:r>
        <w:rPr>
          <w:b/>
        </w:rPr>
        <w:t xml:space="preserve">Notes: </w:t>
      </w:r>
      <w:r>
        <w:t>abstract_source=crossref</w:t>
      </w:r>
    </w:p>
    <w:p>
      <w:pPr>
        <w:spacing w:before="0" w:after="80" w:lineRule="auto" w:line="276"/>
      </w:pPr>
      <w:r>
        <w:rPr>
          <w:b/>
        </w:rPr>
        <w:t xml:space="preserve">摘要（ZH）: </w:t>
      </w:r>
      <w:r>
        <w:t>固液界面上与分子扭转相关的旋转动力学控制着识别、耗散和跨越势垒，但单分子扭转的直接无标记可视化仍然具有挑战性。在这里，我们提出了扭曲编码磁等离子体干涉测量法（TEMPi），它将金属薄膜附近的纳米棒扭曲转换为相位编码、方向分辨的光信号。金纳米棒与其在薄膜中的镜像之间的近场耦合会激发局部磁等离子体，从而能够将探针扭曲定量映射到干涉相位。天然缓冲器中的宽场、无标记操作能够实时跟踪旋转动力学和界面构象变化。 TEMPi 解决了三种依赖于限制的旋转机制，区分有效的双接触和单接触蛋白质锚定，并通过依赖于扭转的质心位移来定位探针上的单个结合位点。应用于 DNA 杂交时，它可以量化扭转刚度有效增加九倍以及双链体形成时扭转松弛速度加快一个数量级。这些结果使 TEMPi 成为一种通用的扭转分辨计量学，用于探测有效的界面分子力学并设计化学、生物学和纳米技术中的扭转响应界面。</w:t>
      </w:r>
    </w:p>
    <w:p>
      <w:pPr>
        <w:spacing w:before="0" w:after="200" w:lineRule="auto" w:line="276"/>
      </w:pPr>
      <w:r>
        <w:rPr>
          <w:b/>
        </w:rPr>
        <w:t xml:space="preserve">Abstract (EN): </w:t>
      </w:r>
      <w:r>
        <w:t>Molecular twist-related rotational dynamics at solid-liquid interfaces governs recognition, dissipation, and barrier crossing, yet direct label-free visualization of single-molecule torsion remains challenging. Here, we present twist-encoded magnetic plasmon interferometry (TEMPi), which converts nanorod twist near a metal film into a phase-encoded, orientation-resolved optical signal. Near-field coupling between a gold nanorod and its mirror image in the film excites a localized magnetic plasmon, enabling quantitative mapping of probe twist to interferometric phase. Wide-field, label-free operation in native buffers enables real-time tracking of rotational dynamics and interfacial conformational changes. TEMPi resolves three confinement-dependent rotational regimes, distinguishes effective dual- and single-contact protein anchoring, and localizes single binding sites on the probe through twist-dependent centroid shifts. Applied to DNA hybridization, it quantifies an effective ninefold increase in torsional stiffness and an order-of-magnitude faster twisting relaxation upon duplex formation. These results establish TEMPi as a general twist-resolved metrology for probing effective interfacial molecular mechanics and designing torsion-responsive interfaces in chemistry, biology, and nanotechnology.</w:t>
      </w:r>
    </w:p>
    <w:p>
      <w:pPr>
        <w:spacing w:before="120" w:after="120"/>
      </w:pPr>
      <w:r>
        <w:rPr>
          <w:sz w:val="18"/>
        </w:rPr>
        <w:t>——————————————————————————————————————————————————————————————————————</w:t>
      </w:r>
    </w:p>
    <w:p>
      <w:pPr>
        <w:spacing w:before="160" w:after="40" w:line="240" w:lineRule="auto"/>
      </w:pPr>
      <w:r>
        <w:rPr>
          <w:b/>
        </w:rPr>
        <w:t xml:space="preserve">[588] </w:t>
      </w:r>
      <w:hyperlink r:id="rId1508">
        <w:r>
          <w:rPr>
            <w:color w:val="1155CC"/>
            <w:u w:val="single"/>
          </w:rPr>
          <w:t>真菌效应子通过充当 MKK5 的诱饵底物来抑制植物 MAPK 信号传导</w:t>
        </w:r>
      </w:hyperlink>
    </w:p>
    <w:p>
      <w:pPr>
        <w:spacing w:before="0" w:after="80"/>
      </w:pPr>
      <w:r>
        <w:rPr>
          <w:i/>
          <w:sz w:val="20"/>
        </w:rPr>
        <w:t>EN: A fungal effector inhibits plant MAPK signaling by acting as a decoy substrate of MKK5</w:t>
      </w:r>
    </w:p>
    <w:p>
      <w:pPr>
        <w:spacing w:before="0" w:after="120"/>
      </w:pPr>
      <w:r>
        <w:rPr>
          <w:b/>
        </w:rPr>
        <w:t xml:space="preserve">Source: </w:t>
      </w:r>
      <w:r>
        <w:t>Proceedings of the National Academy of Sciences: Keyword search for query</w:t>
      </w:r>
      <w:r>
        <w:t xml:space="preserve">    </w:t>
      </w:r>
      <w:r>
        <w:rPr>
          <w:b/>
        </w:rPr>
        <w:t xml:space="preserve">Pub date: </w:t>
      </w:r>
      <w:r>
        <w:t>2026-07-29 07:00:00+00:00</w:t>
      </w:r>
      <w:r>
        <w:t xml:space="preserve">    </w:t>
      </w:r>
      <w:r>
        <w:rPr>
          <w:b/>
        </w:rPr>
        <w:t xml:space="preserve">DOI: </w:t>
      </w:r>
      <w:hyperlink r:id="rId1509">
        <w:r>
          <w:rPr>
            <w:color w:val="1155CC"/>
            <w:u w:val="single"/>
          </w:rPr>
          <w:t>10.1073/pnas.2603182123</w:t>
        </w:r>
      </w:hyperlink>
    </w:p>
    <w:p>
      <w:pPr>
        <w:spacing w:before="0" w:after="120"/>
      </w:pPr>
      <w:r>
        <w:rPr>
          <w:b/>
        </w:rPr>
        <w:t xml:space="preserve">Notes: </w:t>
      </w:r>
      <w:r>
        <w:t>abstract_source=crossref</w:t>
      </w:r>
    </w:p>
    <w:p>
      <w:pPr>
        <w:spacing w:before="0" w:after="80" w:lineRule="auto" w:line="276"/>
      </w:pPr>
      <w:r>
        <w:rPr>
          <w:b/>
        </w:rPr>
        <w:t xml:space="preserve">摘要（ZH）: </w:t>
      </w:r>
      <w:r>
        <w:t>植物免疫反应依赖于丝裂原激活蛋白激酶（MAPK）级联，该级联整合了模式触发免疫和效应器触发免疫。真菌病原体如何抑制这个中央信号中枢仍然知之甚少。在这里，我们鉴定了植物病原真菌的分泌效应子</w:t>
      </w:r>
      <w:r>
        <w:t xml:space="preserve"> </w:t>
      </w:r>
      <w:r>
        <w:t>大丽黄萎病菌</w:t>
      </w:r>
      <w:r>
        <w:t xml:space="preserve"> </w:t>
      </w:r>
      <w:r>
        <w:t>，VdHCE1，它是完全毒力所必需的，并且直接针对宿主 MAPK 信号传导。 VdHCE1 与 MAPK 激酶 MKK5 相互作用，并在植物中的苏氨酸 166 处被磷酸化。生化分析表明，VdHCE1 与 MPK3 和 MPK6 竞争作为 MKK5 的底物，从而减弱下游 MAPK 的激活。一致地，VdHCE1 抑制激发子和 NLR 触发的免疫反应，而删除 VdHCE1 会损害真菌毒力</w:t>
      </w:r>
      <w:r>
        <w:t xml:space="preserve"> </w:t>
      </w:r>
      <w:r>
        <w:t>拟南芥</w:t>
      </w:r>
      <w:r>
        <w:t xml:space="preserve"> </w:t>
      </w:r>
      <w:r>
        <w:t>和棉花。 MKK5 的基因破坏可恢复 VdHCE1 缺陷菌株的毒力，从而将 MKK5 确立为 VdHCE1 的功能靶点。这些发现揭示了丝状真菌病原体通过充当 MAPK 级联内的诱饵底物来抑制植物免疫的策略，并为工程抗维管束枯萎病提供了分子框架。</w:t>
      </w:r>
    </w:p>
    <w:p>
      <w:pPr>
        <w:spacing w:before="0" w:after="200" w:lineRule="auto" w:line="276"/>
      </w:pPr>
      <w:r>
        <w:rPr>
          <w:b/>
        </w:rPr>
        <w:t xml:space="preserve">Abstract (EN): </w:t>
      </w:r>
      <w:r>
        <w:t>Plant immune responses rely on mitogen-activated protein kinase (MAPK) cascade that integrates pattern-triggered immunity and effector-triggered immunity. How fungal pathogens suppress this central signaling hub remains poorly understood. Here, we identify a secreted effector from phytopathogenic fungus</w:t>
      </w:r>
      <w:r>
        <w:t xml:space="preserve"> </w:t>
      </w:r>
      <w:r>
        <w:t>Verticillium dahliae</w:t>
      </w:r>
      <w:r>
        <w:t xml:space="preserve"> </w:t>
      </w:r>
      <w:r>
        <w:t>, VdHCE1, that is required for full virulence and directly targets host MAPK signaling. VdHCE1 interacts with the MAPK kinase MKK5 and is phosphorylated at threonine 166 in planta. Biochemical analyses demonstrated that VdHCE1 competes with MPK3 and MPK6 as a substrate of MKK5, thereby attenuating downstream MAPK activation. Consistently, VdHCE1 suppresses elicitor- and NLR-triggered immune responses, while deletion of VdHCE1 compromises fungal virulence in</w:t>
      </w:r>
      <w:r>
        <w:t xml:space="preserve"> </w:t>
      </w:r>
      <w:r>
        <w:t>Arabidopsis</w:t>
      </w:r>
      <w:r>
        <w:t xml:space="preserve"> </w:t>
      </w:r>
      <w:r>
        <w:t>and cotton. Genetic disruption of MKK5 restores the virulence of VdHCE1-deficient strains, establishing MKK5 as the functional target of VdHCE1. These findings reveal a strategy by which a filamentous fungal pathogen suppresses plant immunity by acting as a decoy substrate within the MAPK cascade and provide a molecular framework for engineering resistance to vascular wilt disease.</w:t>
      </w:r>
    </w:p>
    <w:p>
      <w:pPr>
        <w:spacing w:before="120" w:after="120"/>
      </w:pPr>
      <w:r>
        <w:rPr>
          <w:sz w:val="18"/>
        </w:rPr>
        <w:t>——————————————————————————————————————————————————————————————————————</w:t>
      </w:r>
    </w:p>
    <w:p>
      <w:pPr>
        <w:spacing w:before="160" w:after="40" w:line="240" w:lineRule="auto"/>
      </w:pPr>
      <w:r>
        <w:rPr>
          <w:b/>
        </w:rPr>
        <w:t xml:space="preserve">[589] </w:t>
      </w:r>
      <w:hyperlink r:id="rId1510">
        <w:r>
          <w:rPr>
            <w:color w:val="1155CC"/>
            <w:u w:val="single"/>
          </w:rPr>
          <w:t>线粒体珍珠化由内膜控制并介导管腔内容物的分离和膜分裂</w:t>
        </w:r>
      </w:hyperlink>
    </w:p>
    <w:p>
      <w:pPr>
        <w:spacing w:before="0" w:after="80"/>
      </w:pPr>
      <w:r>
        <w:rPr>
          <w:i/>
          <w:sz w:val="20"/>
        </w:rPr>
        <w:t>EN: Mitochondrial pearling is controlled by the inner membrane and mediates segregation of the luminal content and membrane scission</w:t>
      </w:r>
    </w:p>
    <w:p>
      <w:pPr>
        <w:spacing w:before="0" w:after="120"/>
      </w:pPr>
      <w:r>
        <w:rPr>
          <w:b/>
        </w:rPr>
        <w:t xml:space="preserve">Source: </w:t>
      </w:r>
      <w:r>
        <w:t>Proceedings of the National Academy of Sciences: Keyword search for query</w:t>
      </w:r>
      <w:r>
        <w:t xml:space="preserve">    </w:t>
      </w:r>
      <w:r>
        <w:rPr>
          <w:b/>
        </w:rPr>
        <w:t xml:space="preserve">Pub date: </w:t>
      </w:r>
      <w:r>
        <w:t>2026-07-29 07:00:00+00:00</w:t>
      </w:r>
      <w:r>
        <w:t xml:space="preserve">    </w:t>
      </w:r>
      <w:r>
        <w:rPr>
          <w:b/>
        </w:rPr>
        <w:t xml:space="preserve">DOI: </w:t>
      </w:r>
      <w:hyperlink r:id="rId1511">
        <w:r>
          <w:rPr>
            <w:color w:val="1155CC"/>
            <w:u w:val="single"/>
          </w:rPr>
          <w:t>10.1073/pnas.2602775123</w:t>
        </w:r>
      </w:hyperlink>
    </w:p>
    <w:p>
      <w:pPr>
        <w:spacing w:before="0" w:after="120"/>
      </w:pPr>
      <w:r>
        <w:rPr>
          <w:b/>
        </w:rPr>
        <w:t xml:space="preserve">Notes: </w:t>
      </w:r>
      <w:r>
        <w:t>abstract_source=crossref</w:t>
      </w:r>
    </w:p>
    <w:p>
      <w:pPr>
        <w:spacing w:before="0" w:after="80" w:lineRule="auto" w:line="276"/>
      </w:pPr>
      <w:r>
        <w:rPr>
          <w:b/>
        </w:rPr>
        <w:t xml:space="preserve">摘要（ZH）: </w:t>
      </w:r>
      <w:r>
        <w:t>膜珍珠化，即光滑小管转变为由狭窄膜系链连接的珠状肿胀链，是一种广泛观察到的形状变化。虽然人们对合成脂质和单层细胞内膜进行了深入研究，但管状线粒体独特的双膜结构的珍珠化机制仍然难以捉摸。在这里，我们探讨了强卷曲线粒体内膜 (IMM) 在拉伸驱动的珠光形成中的作用。使用光门控线粒体特异性机械刺激器对活细胞中的线粒体施加拉伸力，我们证明拉伸会触发整个管状线粒体的珍珠化。此外，我们发现珍珠化需要 IMM 的存在，因为仅源自线粒体外膜的单层小管在拉伸下均匀伸长，并且不会发生珍珠化。为了了解 IMM 控制珠光的物理机制，我们开发了一个理论模型，该模型将由嵴有效跨越并在体积上硬化的管腔视为弹性连续体。我们的计算表明，珠光效应要求管腔体积足以抵抗变化，其有效体积刚性模量超过临界值。我们的实验观察进一步揭示了拉伸引起的珍珠化在功能上的重要后果。 mtDNA 核仁被划分为珍珠状结构的凸起，这表明珍珠状结构在管腔成分的重组中发挥着作用。此外，膜裂变</w:t>
      </w:r>
    </w:p>
    <w:p>
      <w:pPr>
        <w:spacing w:before="0" w:after="200" w:lineRule="auto" w:line="276"/>
      </w:pPr>
      <w:r>
        <w:rPr>
          <w:b/>
        </w:rPr>
        <w:t xml:space="preserve">Abstract (EN): </w:t>
      </w:r>
      <w:r>
        <w:t>Membrane pearling, the transformation of a smooth tubule into a chain of bead-like swellings connected by narrow membrane tethers, is a widely observed shape change. While it has been well studied for synthetic lipid and unilamellar intracellular membranes, the mechanism underlying the pearling of the peculiar double-membrane architecture of tubular mitochondria remained elusive. Here, we addressed the role of the strongly convoluted inner mitochondrial membrane (IMM) in pearling driven by stretching. Using a light-gated, mitochondria-specific mechanostimulator to apply stretching forces to mitochondria in live cells, we demonstrated that stretching triggers pearling of whole tubular mitochondria. Moreover, we found that pearling requires the presence of the IMM, as unilamellar tubules derived solely from the mitochondrial outer membrane elongate uniformly under stretching and never undergo pearling. To understand the physical mechanism by which IMM controls pearling, we developed a theoretical model that considers the lumen, effectively spanned and volumetrically stiffened by cristae, as an elastic continuum. Our computations show that pearling requires the luminal volume to be sufficiently resistant to change, with its effective bulk rigidity modulus exceeding a critical value. Our experimental observations further revealed the functionally important consequences of stretching-induced pearling. mtDNA nucleoids partitioned into the bulges of pearled configurations, suggesting a role for pearling in the reorganization of luminal components. In addition, the membrane fission GTPase DRP1 accumulated at the constrictions of pearled shapes, leading to membrane scission and mitochondrial fragmentation. Our work uncovers the unique biophysical mechanism of mitochondrial pearling and its functional significance for organelle dynamics.</w:t>
      </w:r>
    </w:p>
    <w:p>
      <w:pPr>
        <w:spacing w:before="120" w:after="120"/>
      </w:pPr>
      <w:r>
        <w:rPr>
          <w:sz w:val="18"/>
        </w:rPr>
        <w:t>——————————————————————————————————————————————————————————————————————</w:t>
      </w:r>
    </w:p>
    <w:p>
      <w:pPr>
        <w:spacing w:before="160" w:after="40" w:line="240" w:lineRule="auto"/>
      </w:pPr>
      <w:r>
        <w:rPr>
          <w:b/>
        </w:rPr>
        <w:t xml:space="preserve">[590] </w:t>
      </w:r>
      <w:hyperlink r:id="rId1512">
        <w:r>
          <w:rPr>
            <w:color w:val="1155CC"/>
            <w:u w:val="single"/>
          </w:rPr>
          <w:t>RelB NF-κB 调节 Notch2 信号传导以促进分泌 IL-23 的孤立分离淋巴组织驻留 DC 对肠道免疫至关重要</w:t>
        </w:r>
      </w:hyperlink>
    </w:p>
    <w:p>
      <w:pPr>
        <w:spacing w:before="0" w:after="80"/>
      </w:pPr>
      <w:r>
        <w:rPr>
          <w:i/>
          <w:sz w:val="20"/>
        </w:rPr>
        <w:t>EN: RelB NF-κB tunes Notch2 signaling to promote IL-23-secreting solitary isolated lymphoid tissue–resident DCs critical for gut immunity</w:t>
      </w:r>
    </w:p>
    <w:p>
      <w:pPr>
        <w:spacing w:before="0" w:after="120"/>
      </w:pPr>
      <w:r>
        <w:rPr>
          <w:b/>
        </w:rPr>
        <w:t xml:space="preserve">Source: </w:t>
      </w:r>
      <w:r>
        <w:t>Proceedings of the National Academy of Sciences: Keyword search for query</w:t>
      </w:r>
      <w:r>
        <w:t xml:space="preserve">    </w:t>
      </w:r>
      <w:r>
        <w:rPr>
          <w:b/>
        </w:rPr>
        <w:t xml:space="preserve">Pub date: </w:t>
      </w:r>
      <w:r>
        <w:t>2026-07-29 07:00:00+00:00</w:t>
      </w:r>
      <w:r>
        <w:t xml:space="preserve">    </w:t>
      </w:r>
      <w:r>
        <w:rPr>
          <w:b/>
        </w:rPr>
        <w:t xml:space="preserve">DOI: </w:t>
      </w:r>
      <w:hyperlink r:id="rId1513">
        <w:r>
          <w:rPr>
            <w:color w:val="1155CC"/>
            <w:u w:val="single"/>
          </w:rPr>
          <w:t>10.1073/pnas.2600771123</w:t>
        </w:r>
      </w:hyperlink>
    </w:p>
    <w:p>
      <w:pPr>
        <w:spacing w:before="0" w:after="120"/>
      </w:pPr>
      <w:r>
        <w:rPr>
          <w:b/>
        </w:rPr>
        <w:t xml:space="preserve">Notes: </w:t>
      </w:r>
      <w:r>
        <w:t>abstract_source=crossref</w:t>
      </w:r>
    </w:p>
    <w:p>
      <w:pPr>
        <w:spacing w:before="0" w:after="80" w:lineRule="auto" w:line="276"/>
      </w:pPr>
      <w:r>
        <w:rPr>
          <w:b/>
        </w:rPr>
        <w:t xml:space="preserve">摘要（ZH）: </w:t>
      </w:r>
      <w:r>
        <w:t>在保持对共生体的耐受性的同时，树突状细胞（DC）还协调针对病原体的反应。 DC 中的非经典 RelB NF-κB 通路可抑制肠道中的耐受性 Tregs。 RelB 依赖性 DC 调节是否也会影响肠道免疫仍不清楚。在这里，我们发现 DC 中 RelB 的基因消除会损害肠道中 IL-23 依赖性免疫反应，从而导致肠道脆弱性</w:t>
      </w:r>
      <w:r>
        <w:t xml:space="preserve"> </w:t>
      </w:r>
      <w:r>
        <w:t>雷布</w:t>
      </w:r>
      <w:r>
        <w:t xml:space="preserve"> </w:t>
      </w:r>
      <w:r>
        <w:t>ΔCD11c</w:t>
      </w:r>
      <w:r>
        <w:t xml:space="preserve"> </w:t>
      </w:r>
      <w:r>
        <w:t>小鼠感染</w:t>
      </w:r>
      <w:r>
        <w:t xml:space="preserve"> </w:t>
      </w:r>
      <w:r>
        <w:t>柠檬酸杆菌</w:t>
      </w:r>
      <w:r>
        <w:t xml:space="preserve"> </w:t>
      </w:r>
      <w:r>
        <w:t>啮齿动物</w:t>
      </w:r>
      <w:r>
        <w:t xml:space="preserve"> </w:t>
      </w:r>
      <w:r>
        <w:t>，一种肠道病原体。我们的机制研究表明，RelB 支持 κB 位点驱动的启动子表达 RBP-J，从而调节 DC 中的 Notch2 反应。这种 RelB 介导的 Notch2 对照指定了一个孤立的分离的淋巴组织驻留 DC 子集，它是感染小鼠中 IL-23 的主要来源。事实上，我们发现补充 IL-23 很容易挽救免疫缺陷</w:t>
      </w:r>
      <w:r>
        <w:t xml:space="preserve"> </w:t>
      </w:r>
      <w:r>
        <w:t>雷布</w:t>
      </w:r>
      <w:r>
        <w:t xml:space="preserve"> </w:t>
      </w:r>
      <w:r>
        <w:t>ΔCD11c</w:t>
      </w:r>
      <w:r>
        <w:t xml:space="preserve"> </w:t>
      </w:r>
      <w:r>
        <w:t>小鼠，提高细菌清除率。总之，我们阐明了 RelB 和 Notch2 之间以前未被识别的串扰，该串扰支持对肠道免疫至关重要的 IL-23 分泌 DC。</w:t>
      </w:r>
    </w:p>
    <w:p>
      <w:pPr>
        <w:spacing w:before="0" w:after="200" w:lineRule="auto" w:line="276"/>
      </w:pPr>
      <w:r>
        <w:rPr>
          <w:b/>
        </w:rPr>
        <w:t xml:space="preserve">Abstract (EN): </w:t>
      </w:r>
      <w:r>
        <w:t>While preserving tolerance toward commensals, dendritic cells (DCs) also orchestrate response against pathogens. The noncanonical RelB NF-κB pathway in DCs curbs tolerogenic Tregs in the intestine. Whether RelB-dependent DC regulations also impact intestinal immunity remains less clear. Here, we show that genetic ablation of RelB in DCs compromises IL-23-dependent immune response in the intestine, imparting vulnerability in</w:t>
      </w:r>
      <w:r>
        <w:t xml:space="preserve"> </w:t>
      </w:r>
      <w:r>
        <w:t>Relb</w:t>
      </w:r>
      <w:r>
        <w:t xml:space="preserve"> </w:t>
      </w:r>
      <w:r>
        <w:t>ΔCD11c</w:t>
      </w:r>
      <w:r>
        <w:t xml:space="preserve"> </w:t>
      </w:r>
      <w:r>
        <w:t>mice to infection with</w:t>
      </w:r>
      <w:r>
        <w:t xml:space="preserve"> </w:t>
      </w:r>
      <w:r>
        <w:t>Citrobacter</w:t>
      </w:r>
      <w:r>
        <w:t xml:space="preserve"> </w:t>
      </w:r>
      <w:r>
        <w:t>rodentium</w:t>
      </w:r>
      <w:r>
        <w:t xml:space="preserve"> </w:t>
      </w:r>
      <w:r>
        <w:t>, an enteropathogen. Our mechanistic studies revealed that RelB supported the expression of RBP-J from a κB site-driven promoter, tuning Notch2 response in DCs. This RelB-mediated Notch2 control specified a solitary isolated lymphoid tissue–resident DC subset, which served as a dominant source of IL-23 in infected mice. Indeed, we found that IL-23 supplementation readily rescued the immune deficiency of</w:t>
      </w:r>
      <w:r>
        <w:t xml:space="preserve"> </w:t>
      </w:r>
      <w:r>
        <w:t>Relb</w:t>
      </w:r>
      <w:r>
        <w:t xml:space="preserve"> </w:t>
      </w:r>
      <w:r>
        <w:t>ΔCD11c</w:t>
      </w:r>
      <w:r>
        <w:t xml:space="preserve"> </w:t>
      </w:r>
      <w:r>
        <w:t>mice, improving bacterial clearance. In sum, we illustrate a previously unrecognized crosstalk between RelB and Notch2 underpinning IL-23-secreting DCs critical for gut immunity.</w:t>
      </w:r>
    </w:p>
    <w:p>
      <w:pPr>
        <w:spacing w:before="120" w:after="120"/>
      </w:pPr>
      <w:r>
        <w:rPr>
          <w:sz w:val="18"/>
        </w:rPr>
        <w:t>——————————————————————————————————————————————————————————————————————</w:t>
      </w:r>
    </w:p>
    <w:p>
      <w:pPr>
        <w:spacing w:before="160" w:after="40" w:line="240" w:lineRule="auto"/>
      </w:pPr>
      <w:r>
        <w:rPr>
          <w:b/>
        </w:rPr>
        <w:t xml:space="preserve">[591] </w:t>
      </w:r>
      <w:hyperlink r:id="rId1514">
        <w:r>
          <w:rPr>
            <w:color w:val="1155CC"/>
            <w:u w:val="single"/>
          </w:rPr>
          <w:t>多光谱红外到全色上转换扩展人类视觉</w:t>
        </w:r>
      </w:hyperlink>
    </w:p>
    <w:p>
      <w:pPr>
        <w:spacing w:before="0" w:after="80"/>
      </w:pPr>
      <w:r>
        <w:rPr>
          <w:i/>
          <w:sz w:val="20"/>
        </w:rPr>
        <w:t>EN: Multispectral infrared-to-full-color upconversion expanding human vision</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515">
        <w:r>
          <w:rPr>
            <w:color w:val="1155CC"/>
            <w:u w:val="single"/>
          </w:rPr>
          <w:t>10.1126/sciadv.aed0245</w:t>
        </w:r>
      </w:hyperlink>
    </w:p>
    <w:p>
      <w:pPr>
        <w:spacing w:before="0" w:after="120"/>
      </w:pPr>
      <w:r>
        <w:rPr>
          <w:b/>
        </w:rPr>
        <w:t xml:space="preserve">Notes: </w:t>
      </w:r>
      <w:r>
        <w:t>abstract_source=crossref</w:t>
      </w:r>
    </w:p>
    <w:p>
      <w:pPr>
        <w:spacing w:before="0" w:after="80" w:lineRule="auto" w:line="276"/>
      </w:pPr>
      <w:r>
        <w:rPr>
          <w:b/>
        </w:rPr>
        <w:t xml:space="preserve">摘要（ZH）: </w:t>
      </w:r>
      <w:r>
        <w:t>由于红外光子的能量不足以触发视网膜发色团的光异构化，导致人类视觉系统对红外辐射本质上是盲的，导致超过一半的太阳光谱损失。在这里，我们报告了一种基于胶体量子点（CQD）的红外到可见光上转换器，它能够将多光谱红外光辐射超灵敏上转换为全色可见视觉。量子限制态和光子通量中的光子能量选择性激子跃迁分别使得光生载流子的数量与红外波长和强度相关。具有战略性设计的空穴注入势垒的双发射层有机结构可以将这些载流子引导到不同的颜色发射通道中，从而产生相关的波长/强度到颜色/亮度的映射。这种范式转变使得对细微红外变化的辨别灵敏度比传统单色模式高出两个数量级以上，充分利用了人眼在色度区分方面相对于亮度对比度的固有优势。由此产生的上变频器的宽带检测范围超过 2 μm，亮度超过 700 cd m</w:t>
      </w:r>
      <w:r>
        <w:t xml:space="preserve"> </w:t>
      </w:r>
      <w:r>
        <w:t>−2</w:t>
      </w:r>
      <w:r>
        <w:t xml:space="preserve"> </w:t>
      </w:r>
      <w:r>
        <w:t>，光子到光子的转换效率为3.85%。该上转换器可以用作轻质、半透明的可穿戴眼镜，将多光谱红外作为全色视觉直接投射到视网膜上。此外，上转换器与光敏蛋白结合，</w:t>
      </w:r>
    </w:p>
    <w:p>
      <w:pPr>
        <w:spacing w:before="0" w:after="200" w:lineRule="auto" w:line="276"/>
      </w:pPr>
      <w:r>
        <w:rPr>
          <w:b/>
        </w:rPr>
        <w:t xml:space="preserve">Abstract (EN): </w:t>
      </w:r>
      <w:r>
        <w:t>The human visual system is inherently blind to infrared radiation due to the insufficient energy of infrared photons to trigger the photoisomerization of the retinal chromophore, resulting in the loss of over half of the solar spectrum. Here, we report a colloidal quantum dot (CQD)-based infrared-to-visible upconverter that enables ultrasensitive upconversion of multispectral infrared light radiation as full-color visible vision. The photon-energy-selective excitonic transitions in quantum-confined states and the photon flux, respectively, enable infrared wavelength- and intensity-dependent number of photogenerated carriers. A dual-emissive-layer organic architecture with the strategically engineered hole-injection barrier could route these carriers into distinct color emission channels, resulting in correlated wavelength/intensity-to-color/luminance mapping. This paradigm shift yields a discrimination sensitivity for subtle infrared variations exceeding more than two orders of magnitude higher than conventional single-color modes, capitalizing on the human eye’s intrinsic superiority in chromatic differentiation over only brightness contrast. The resulting upconverter exhibits broadband detection extending beyond 2 μm, luminance exceeding 700 cd m</w:t>
      </w:r>
      <w:r>
        <w:t xml:space="preserve"> </w:t>
      </w:r>
      <w:r>
        <w:t>−2</w:t>
      </w:r>
      <w:r>
        <w:t xml:space="preserve"> </w:t>
      </w:r>
      <w:r>
        <w:t>, and a photon-to-photon conversion efficiency of 3.85%. The upconverter could be applied as a lightweight, semi-transparent wearable eyeglass that projects multispectral infrared as full-color vision directly onto the retina. Besides, upconverters bound to light-sensitive proteins, potentially as an implantable retinal photoreceptor, confer innate infrared vision. By surpassing the evolutionary constraints of natural vision, this work establishes a versatile foundation for next-generation visual prosthetics and human-integrated sensory expansion.</w:t>
      </w:r>
    </w:p>
    <w:p>
      <w:pPr>
        <w:spacing w:before="120" w:after="120"/>
      </w:pPr>
      <w:r>
        <w:rPr>
          <w:sz w:val="18"/>
        </w:rPr>
        <w:t>——————————————————————————————————————————————————————————————————————</w:t>
      </w:r>
    </w:p>
    <w:p>
      <w:pPr>
        <w:spacing w:before="160" w:after="40" w:line="240" w:lineRule="auto"/>
      </w:pPr>
      <w:r>
        <w:rPr>
          <w:b/>
        </w:rPr>
        <w:t xml:space="preserve">[592] </w:t>
      </w:r>
      <w:hyperlink r:id="rId1516">
        <w:r>
          <w:rPr>
            <w:color w:val="1155CC"/>
            <w:u w:val="single"/>
          </w:rPr>
          <w:t>对禽类疱疹病毒进行全基因组分析，确定了 10 个与致瘤性和疫苗逃逸相关的位点</w:t>
        </w:r>
      </w:hyperlink>
    </w:p>
    <w:p>
      <w:pPr>
        <w:spacing w:before="0" w:after="80"/>
      </w:pPr>
      <w:r>
        <w:rPr>
          <w:i/>
          <w:sz w:val="20"/>
        </w:rPr>
        <w:t>EN: Genome-wide analyses of an avian herpesvirus identify 10 loci associated with tumorigenicity and vaccine escape</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517">
        <w:r>
          <w:rPr>
            <w:color w:val="1155CC"/>
            <w:u w:val="single"/>
          </w:rPr>
          <w:t>10.1126/sciadv.aee9024</w:t>
        </w:r>
      </w:hyperlink>
    </w:p>
    <w:p>
      <w:pPr>
        <w:spacing w:before="0" w:after="120"/>
      </w:pPr>
      <w:r>
        <w:rPr>
          <w:b/>
        </w:rPr>
        <w:t xml:space="preserve">Notes: </w:t>
      </w:r>
      <w:r>
        <w:t>abstract_source=crossref</w:t>
      </w:r>
    </w:p>
    <w:p>
      <w:pPr>
        <w:spacing w:before="0" w:after="80" w:lineRule="auto" w:line="276"/>
      </w:pPr>
      <w:r>
        <w:rPr>
          <w:b/>
        </w:rPr>
        <w:t xml:space="preserve">摘要（ZH）: </w:t>
      </w:r>
      <w:r>
        <w:t>过去二十年进行的马立克氏病病毒（MDV）比较基因组研究已证明对于识别驱动毒力历史变化的基因组位点非常有效。然而，过去的努力仅限于一次比较几个毒株，缺乏对 MDV 基因组某些区域的访问，并且在表征病毒表型的能力方面受到限制。为了解决这些局限性，我们对先前使用标准化表型分析进行表征的 65 种 MDV 毒株进行了全基因组测序。除了系统发育和重组分析之外，这种方法还使我们能够对该病原体的毒力进行全基因组关联研究。总的来说，我们鉴定了 10 个与毒力相关的全基因组显着位点，包括由 132 bp 重复基序的两个替代版本产生的串联重复变异体。我们的研究结果支持了先前关于MDV毒力作为复杂性状的描述，并强调了基于重复的变异和基因间变异对疱疹病毒表型多样性的潜在贡献。</w:t>
      </w:r>
    </w:p>
    <w:p>
      <w:pPr>
        <w:spacing w:before="0" w:after="200" w:lineRule="auto" w:line="276"/>
      </w:pPr>
      <w:r>
        <w:rPr>
          <w:b/>
        </w:rPr>
        <w:t xml:space="preserve">Abstract (EN): </w:t>
      </w:r>
      <w:r>
        <w:t>Comparative genomic studies of Marek’s disease virus (MDV) conducted in the past two decades have proven powerful for identifying genomic loci driving historical shifts in virulence. However, past efforts were limited to comparing a few strains at a time, lacked access to certain regions of the MDV genome, and were restricted in their ability to characterize viral phenotypes. To address these limitations, we performed whole-genome sequencing on a collection of 65 MDV strains previously characterized using a standardized phenotyping assay. In addition to phylogenetic and recombination analyses, this approach enabled us to perform a genome-wide association study of virulence for this pathogen. In total, we identified 10 genome-wide significant loci associated with virulence, including a tandem repeat variant resulting from two alternative versions of a 132-bp repeating motif. Our findings support prior descriptions of virulence as a complex trait in MDV, and highlight the potential contribution of repeat-based and intergenic variants to the phenotypic diversity of herpesviruses.</w:t>
      </w:r>
    </w:p>
    <w:p>
      <w:pPr>
        <w:spacing w:before="120" w:after="120"/>
      </w:pPr>
      <w:r>
        <w:rPr>
          <w:sz w:val="18"/>
        </w:rPr>
        <w:t>——————————————————————————————————————————————————————————————————————</w:t>
      </w:r>
    </w:p>
    <w:p>
      <w:pPr>
        <w:spacing w:before="160" w:after="40" w:line="240" w:lineRule="auto"/>
      </w:pPr>
      <w:r>
        <w:rPr>
          <w:b/>
        </w:rPr>
        <w:t xml:space="preserve">[593] </w:t>
      </w:r>
      <w:hyperlink r:id="rId1518">
        <w:r>
          <w:rPr>
            <w:color w:val="1155CC"/>
            <w:u w:val="single"/>
          </w:rPr>
          <w:t>自噬体形成过程中 Atg2 与 ER 关联的时空控制</w:t>
        </w:r>
      </w:hyperlink>
    </w:p>
    <w:p>
      <w:pPr>
        <w:spacing w:before="0" w:after="80"/>
      </w:pPr>
      <w:r>
        <w:rPr>
          <w:i/>
          <w:sz w:val="20"/>
        </w:rPr>
        <w:t>EN: Spatiotemporal control of Atg2 association with the ER during autophagosome formation</w:t>
      </w:r>
    </w:p>
    <w:p>
      <w:pPr>
        <w:spacing w:before="0" w:after="120"/>
      </w:pPr>
      <w:r>
        <w:rPr>
          <w:b/>
        </w:rPr>
        <w:t xml:space="preserve">Source: </w:t>
      </w:r>
      <w:r>
        <w:t>Proceedings of the National Academy of Sciences: Keyword search for query</w:t>
      </w:r>
      <w:r>
        <w:t xml:space="preserve">    </w:t>
      </w:r>
      <w:r>
        <w:rPr>
          <w:b/>
        </w:rPr>
        <w:t xml:space="preserve">Pub date: </w:t>
      </w:r>
      <w:r>
        <w:t>2026-07-29 07:00:00+00:00</w:t>
      </w:r>
      <w:r>
        <w:t xml:space="preserve">    </w:t>
      </w:r>
      <w:r>
        <w:rPr>
          <w:b/>
        </w:rPr>
        <w:t xml:space="preserve">DOI: </w:t>
      </w:r>
      <w:hyperlink r:id="rId1519">
        <w:r>
          <w:rPr>
            <w:color w:val="1155CC"/>
            <w:u w:val="single"/>
          </w:rPr>
          <w:t>10.1073/pnas.2606606123</w:t>
        </w:r>
      </w:hyperlink>
    </w:p>
    <w:p>
      <w:pPr>
        <w:spacing w:before="0" w:after="120"/>
      </w:pPr>
      <w:r>
        <w:rPr>
          <w:b/>
        </w:rPr>
        <w:t xml:space="preserve">Notes: </w:t>
      </w:r>
      <w:r>
        <w:t>abstract_source=crossref</w:t>
      </w:r>
    </w:p>
    <w:p>
      <w:pPr>
        <w:spacing w:before="0" w:after="80" w:lineRule="auto" w:line="276"/>
      </w:pPr>
      <w:r>
        <w:rPr>
          <w:b/>
        </w:rPr>
        <w:t xml:space="preserve">摘要（ZH）: </w:t>
      </w:r>
      <w:r>
        <w:t>自噬通过将各种细胞内成分隔离在称为自噬体的膜囊泡内并将其递送至溶酶体或液泡来降解它们。先前的研究表明，保守的桥状脂质转移蛋白 Atg2 将自噬体前体连接到内质网 (ER)，并介导 ER 的脂质供应，以驱动其扩展到自噬体。然而，Atg2 如何与 ER 对接仍不清楚。在这里，我们展示在</w:t>
      </w:r>
      <w:r>
        <w:t xml:space="preserve"> </w:t>
      </w:r>
      <w:r>
        <w:t>酿酒酵母</w:t>
      </w:r>
      <w:r>
        <w:t xml:space="preserve"> </w:t>
      </w:r>
      <w:r>
        <w:t>Atg2 与 ER 驻留 VAP 家族蛋白 Scs2 相互作用。这种相互作用是由 Atg2 中的磷酸化 FFAT 基序和 Scs2 的主要精子蛋白结构域介导的，并通过自噬启动激酶 Atg1 对该基序的磷酸化而增强，Atg1 在自噬诱导后在自噬体形成位点被激活。这种相互作用与 Atg2 的 N 末端区域（包含弱两亲性螺旋）协同作用，介导 Atg2 与 ER 的关联。因此，Atg2-Scs2 相互作用充当控制 Atg2-ER 关联的时空开关。我们还表明，哺乳动物 ATG2 与 VAP 样蛋白 MOSPD1 和 MOSPD3 相互作用，促进自噬体形成。总的来说，这项研究揭示了自噬体形成过程中启动脂质转移的保守机制。</w:t>
      </w:r>
    </w:p>
    <w:p>
      <w:pPr>
        <w:spacing w:before="0" w:after="200" w:lineRule="auto" w:line="276"/>
      </w:pPr>
      <w:r>
        <w:rPr>
          <w:b/>
        </w:rPr>
        <w:t xml:space="preserve">Abstract (EN): </w:t>
      </w:r>
      <w:r>
        <w:t>Autophagy degrades various intracellular components by sequestering them within membrane vesicles called autophagosomes and delivering them to lysosomes or vacuoles. Previous studies have revealed that the conserved, bridge-like lipid transfer protein Atg2 tethers autophagosome precursors to the endoplasmic reticulum (ER) and mediates lipid supply from the ER to drive their expansion into autophagosomes. However, how Atg2 docks onto the ER has remained unclear. Here, we show in</w:t>
      </w:r>
      <w:r>
        <w:t xml:space="preserve"> </w:t>
      </w:r>
      <w:r>
        <w:t>Saccharomyces cerevisiae</w:t>
      </w:r>
      <w:r>
        <w:t xml:space="preserve"> </w:t>
      </w:r>
      <w:r>
        <w:t>that Atg2 interacts with the ER-resident VAP family protein Scs2. This interaction is mediated by a phospho-FFAT motif in Atg2 and the major sperm protein domain of Scs2 and enhanced by phosphorylation of the motif by the autophagy-initiating kinase Atg1, which is activated at the autophagosome formation site upon autophagy induction. This interaction cooperates with the N-terminal region of Atg2, which contains a weakly amphipathic helix, to mediate Atg2 association with the ER. Thus, the Atg2–Scs2 interaction functions as a spatiotemporal switch that controls Atg2–ER association. We also show that mammalian ATG2 interacts with the VAP-like proteins MOSPD1 and MOSPD3 to promote autophagosome formation. Collectively, this study reveals a conserved mechanism that initiates lipid transfer during autophagosome formation.</w:t>
      </w:r>
    </w:p>
    <w:p>
      <w:pPr>
        <w:spacing w:before="120" w:after="120"/>
      </w:pPr>
      <w:r>
        <w:rPr>
          <w:sz w:val="18"/>
        </w:rPr>
        <w:t>——————————————————————————————————————————————————————————————————————</w:t>
      </w:r>
    </w:p>
    <w:p>
      <w:pPr>
        <w:spacing w:before="160" w:after="40" w:line="240" w:lineRule="auto"/>
      </w:pPr>
      <w:r>
        <w:rPr>
          <w:b/>
        </w:rPr>
        <w:t xml:space="preserve">[594] </w:t>
      </w:r>
      <w:hyperlink r:id="rId1520">
        <w:r>
          <w:rPr>
            <w:color w:val="1155CC"/>
            <w:u w:val="single"/>
          </w:rPr>
          <w:t>用 DNA 设计的衍射品质、超柔性蛋白质单晶</w:t>
        </w:r>
      </w:hyperlink>
    </w:p>
    <w:p>
      <w:pPr>
        <w:spacing w:before="0" w:after="80"/>
      </w:pPr>
      <w:r>
        <w:rPr>
          <w:i/>
          <w:sz w:val="20"/>
        </w:rPr>
        <w:t>EN: Diffraction-quality, ultraflexible protein single crystals engineered with DNA</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521">
        <w:r>
          <w:rPr>
            <w:color w:val="1155CC"/>
            <w:u w:val="single"/>
          </w:rPr>
          <w:t>10.1126/sciadv.aeh2948</w:t>
        </w:r>
      </w:hyperlink>
    </w:p>
    <w:p>
      <w:pPr>
        <w:spacing w:before="0" w:after="120"/>
      </w:pPr>
      <w:r>
        <w:rPr>
          <w:b/>
        </w:rPr>
        <w:t xml:space="preserve">Notes: </w:t>
      </w:r>
      <w:r>
        <w:t>abstract_source=crossref</w:t>
      </w:r>
    </w:p>
    <w:p>
      <w:pPr>
        <w:spacing w:before="0" w:after="80" w:lineRule="auto" w:line="276"/>
      </w:pPr>
      <w:r>
        <w:rPr>
          <w:b/>
        </w:rPr>
        <w:t xml:space="preserve">摘要（ZH）: </w:t>
      </w:r>
      <w:r>
        <w:t>DNA 功能化胶体纳米粒子通过灵活的纳米级 DNA 杂交相互作用组装，限制了原子级的结构顺序。在这里，我们报告了一种以价为中心的策略，该策略使 DNA 键合的蛋白质单晶具有非常规的机械性能。八聚体酶，即戊二酸 L-2-羟化酶，通过位点和数量选择性地与 8 个自我互补的单链 DNA 缀合，产生八价分子键。由此产生的缀合物组装成设计的体心四方晶体，衍射分辨率为 1.42 至 2.61 埃，接触由跨越 17 至 25 埃的 B 型 DNA 螺旋介导。增加寡核苷酸长度会诱导各向异性晶格膨胀，同时保持原子周期性，即使部分 DNA 占据也是如此。机理研究表明，未杂交 DNA 的动态运动有利于结晶，类似于原子键合中波动的电子云。与天然蛋白质晶体相比，DNA 杂交晶体的柔软度是天然蛋白质晶体的 23 倍。这些结果挑战了灵活性与结构顺序不相容的假设，并为具有原子精度的生物分子结晶和纳米材料工程建立了可编程框架。</w:t>
      </w:r>
    </w:p>
    <w:p>
      <w:pPr>
        <w:spacing w:before="0" w:after="200" w:lineRule="auto" w:line="276"/>
      </w:pPr>
      <w:r>
        <w:rPr>
          <w:b/>
        </w:rPr>
        <w:t xml:space="preserve">Abstract (EN): </w:t>
      </w:r>
      <w:r>
        <w:t>DNA-functionalized colloidal nanoparticles assemble through flexible, nanoscale DNA hybridization interactions that limit atomic-level structural order. Here, we report a valence-centric strategy that enables DNA-bonded, protein single crystals with unconventional mechanical properties. An octameric enzyme, glutarate L-2-hydroxylase, was site- and number-selectively conjugated with eight self-complementary single-stranded DNA, yielding octavalent molecular bonds. The resulting conjugate assembled into the designed body-centered tetragonal crystals that diffracted to 1.42- to 2.61-angstrom resolution, with contacts mediated by B-form DNA helices spanning 17 to 25 angstroms. Increasing oligonucleotide length induces anisotropic lattice expansion while preserving atomic periodicity, even with partial DNA occupancy. Mechanistic studies suggest that the dynamic motion of unhybridized DNA facilitates crystallization, analogous to fluctuating electron clouds in atomic bonding. Compared with native protein crystals, DNA-hybridized crystals are 23-fold softer. These results challenge the assumption that flexibility is incompatible with structural order and establish a programmable framework for biomolecular crystallization and nanomaterials engineering with atomic precision.</w:t>
      </w:r>
    </w:p>
    <w:p>
      <w:pPr>
        <w:spacing w:before="120" w:after="120"/>
      </w:pPr>
      <w:r>
        <w:rPr>
          <w:sz w:val="18"/>
        </w:rPr>
        <w:t>——————————————————————————————————————————————————————————————————————</w:t>
      </w:r>
    </w:p>
    <w:p>
      <w:pPr>
        <w:spacing w:before="160" w:after="40" w:line="240" w:lineRule="auto"/>
      </w:pPr>
      <w:r>
        <w:rPr>
          <w:b/>
        </w:rPr>
        <w:t xml:space="preserve">[595] </w:t>
      </w:r>
      <w:hyperlink r:id="rId1522">
        <w:r>
          <w:rPr>
            <w:color w:val="1155CC"/>
            <w:u w:val="single"/>
          </w:rPr>
          <w:t>乳腺癌 EMT 和转移需要依赖 PBRM1 的 PBAF 靶向</w:t>
        </w:r>
      </w:hyperlink>
    </w:p>
    <w:p>
      <w:pPr>
        <w:spacing w:before="0" w:after="80"/>
      </w:pPr>
      <w:r>
        <w:rPr>
          <w:i/>
          <w:sz w:val="20"/>
        </w:rPr>
        <w:t>EN: PBRM1-dependent PBAF targeting is required for EMT and metastasis in breast cancer</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523">
        <w:r>
          <w:rPr>
            <w:color w:val="1155CC"/>
            <w:u w:val="single"/>
          </w:rPr>
          <w:t>10.1126/sciadv.aed8038</w:t>
        </w:r>
      </w:hyperlink>
    </w:p>
    <w:p>
      <w:pPr>
        <w:spacing w:before="0" w:after="120"/>
      </w:pPr>
      <w:r>
        <w:rPr>
          <w:b/>
        </w:rPr>
        <w:t xml:space="preserve">Notes: </w:t>
      </w:r>
      <w:r>
        <w:t>abstract_source=crossref</w:t>
      </w:r>
    </w:p>
    <w:p>
      <w:pPr>
        <w:spacing w:before="0" w:after="80" w:lineRule="auto" w:line="276"/>
      </w:pPr>
      <w:r>
        <w:rPr>
          <w:b/>
        </w:rPr>
        <w:t xml:space="preserve">摘要（ZH）: </w:t>
      </w:r>
      <w:r>
        <w:t>SWI/SNF 染色质重塑剂由三个生化上不同的子复合体代表，即丰富的 cBAF 和较少丰富的 PBAF 和 GBAF。遗传学已确定 PBAF 在发育和疾病中的重要作用；然而，将 PBAF 介导的表型与染色质调节和基因激活的生化功能联系起来一直具有挑战性。在这里，我们发现PBAF的PBRM1亚基对于完成TGFβ1介导的体外乳腺细胞上皮-间质转化（EMT）以及体内小鼠乳腺癌的转移至关重要。使用表观基因组学来分析 EMT 的不同阶段，我们发现 PBRM1 对于将 PBAF 靶向 H3K14ac 标记的诱导型启动子是必需的。我们进一步发现，PBRM1 促进 TGFβ1 诱导转录因子（例如 Atf3）结合位点的 DNA 可及性，从而诱导涉及迁移、细胞存活和炎症的基因，这提供了证据表明 PBAF 是晚期转移性癌症中的一个脆弱性。</w:t>
      </w:r>
    </w:p>
    <w:p>
      <w:pPr>
        <w:spacing w:before="0" w:after="200" w:lineRule="auto" w:line="276"/>
      </w:pPr>
      <w:r>
        <w:rPr>
          <w:b/>
        </w:rPr>
        <w:t xml:space="preserve">Abstract (EN): </w:t>
      </w:r>
      <w:r>
        <w:t>SWI/SNF chromatin remodelers are represented by three biochemically distinct subcomplexes, the abundant cBAF and the less abundant PBAF and GBAF. Genetics have identified important roles for PBAF in development and disease; however, relating PBAF-mediated phenotypes to biochemical function in chromatin regulation and gene activation has been challenging. Here, we show that the PBRM1 subunit of PBAF is critical for the completion of TGFβ1-mediated epithelial-mesenchymal transition (EMT) of mammary cells in vitro as well as the metastasis of murine breast cancers in vivo. Using epigenomics to profile different stages of EMT, we find that PBRM1 is necessary for targeting PBAF to inducible promoters marked by H3K14ac. We further find that PBRM1 facilitates DNA accessibility at sites bound by TGFβ1-inducible transcription factors, such as Atf3, for the induction of genes involved in migration, cell survival, and inflammation, providing evidence that PBAF is a vulnerability in late-stage metastatic cancers.</w:t>
      </w:r>
    </w:p>
    <w:p>
      <w:pPr>
        <w:spacing w:before="120" w:after="120"/>
      </w:pPr>
      <w:r>
        <w:rPr>
          <w:sz w:val="18"/>
        </w:rPr>
        <w:t>——————————————————————————————————————————————————————————————————————</w:t>
      </w:r>
    </w:p>
    <w:p>
      <w:pPr>
        <w:spacing w:before="160" w:after="40" w:line="240" w:lineRule="auto"/>
      </w:pPr>
      <w:r>
        <w:rPr>
          <w:b/>
        </w:rPr>
        <w:t xml:space="preserve">[596] </w:t>
      </w:r>
      <w:hyperlink r:id="rId1524">
        <w:r>
          <w:rPr>
            <w:color w:val="1155CC"/>
            <w:u w:val="single"/>
          </w:rPr>
          <w:t>具有超低亚阈值摆幅的离子电子耦合机械离子晶体管</w:t>
        </w:r>
      </w:hyperlink>
    </w:p>
    <w:p>
      <w:pPr>
        <w:spacing w:before="0" w:after="80"/>
      </w:pPr>
      <w:r>
        <w:rPr>
          <w:i/>
          <w:sz w:val="20"/>
        </w:rPr>
        <w:t>EN: Ion-electron coupling–enabled mechanical ion transistor with ultralow subthreshold swing</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525">
        <w:r>
          <w:rPr>
            <w:color w:val="1155CC"/>
            <w:u w:val="single"/>
          </w:rPr>
          <w:t>10.1126/sciadv.aed9096</w:t>
        </w:r>
      </w:hyperlink>
    </w:p>
    <w:p>
      <w:pPr>
        <w:spacing w:before="0" w:after="120"/>
      </w:pPr>
      <w:r>
        <w:rPr>
          <w:b/>
        </w:rPr>
        <w:t xml:space="preserve">Notes: </w:t>
      </w:r>
      <w:r>
        <w:t>abstract_source=crossref</w:t>
      </w:r>
    </w:p>
    <w:p>
      <w:pPr>
        <w:spacing w:before="0" w:after="80" w:lineRule="auto" w:line="276"/>
      </w:pPr>
      <w:r>
        <w:rPr>
          <w:b/>
        </w:rPr>
        <w:t xml:space="preserve">摘要（ZH）: </w:t>
      </w:r>
      <w:r>
        <w:t>生物机械敏感（BMS）离子通道可以激活超过阈值驱动力的选择性阳离子渗透，并在生命功能必需的开启和关闭状态之间急剧切换。然而，在生命科学、传感和能源应用中使用具有不同开关状态的人造结构来实验复制此类生物系统仍然是一个巨大的挑战。在这里，我们报告了一种机械离子晶体管，它通过静电门控下的石墨烯纳米通道表现出逐步的流动电流与压力响应。机械离子晶体管具有超低亚阈值摆幅（每十年约 4.8 毫巴），该摆幅由将流动电流增加 10 倍所需的最小压力定义。这样的值比当前最先进的人造结构低几个数量级，甚至比大多数 BMS 通道更锐利。我们对阈值压力和转变压力下电流振荡的实验观察证明，机械门控效应归因于离子-电子耦合引起的离子库仑阻塞。突然的阈值转换行为有助于模仿嗅球中血压脉动的超灵敏检测。这一发现不仅使人们能够更好地理解 BMS 通道的功能机制，而且还为水过滤、能量收集和神经形态传感应用中离子传输的精确控制提供了替代途径。</w:t>
      </w:r>
    </w:p>
    <w:p>
      <w:pPr>
        <w:spacing w:before="0" w:after="200" w:lineRule="auto" w:line="276"/>
      </w:pPr>
      <w:r>
        <w:rPr>
          <w:b/>
        </w:rPr>
        <w:t xml:space="preserve">Abstract (EN): </w:t>
      </w:r>
      <w:r>
        <w:t>Biological mechanosensitive (BMS) ion channels can activate selective cationic permeation beyond a threshold driving force and switch sharply between on and off states that are essential for life functions. However, it remains a grand challenge to experimentally replicate such biological systems using artificial structures with distinct on-off states for life science, sensing, and energy applications. Here, we report a mechanical ion transistor that exhibits stepwise streaming-current versus pressure response through graphene nanochannels under electrostatic gating. The mechanical ion transistor exhibits an ultralow subthreshold swing (around 4.8 millibars per decade) defined by the minimum required pressure to increase the streaming current by 10 folds. Such a value is orders of magnitude lower than the current state-of-the-art of artificial structures and even sharper than most BMS channels. Our experimental observation of the threshold pressure and the current oscillation at the transition pressure evidences that the mechanical gating effect is attributed to the ionic Coulomb blockade induced by ion-electron coupling. The abrupt threshold transition behavior facilitates the mimicking of ultrasensitive detection of blood pressure pulsation in the olfactory bulb. The discovery here not only enables a better understanding of the functional mechanisms of BMS channels but also offers alternative routes for precise control of ion transport for applications in water filtration, energy harvesting, and neuromorphic sensing.</w:t>
      </w:r>
    </w:p>
    <w:p>
      <w:pPr>
        <w:spacing w:before="120" w:after="120"/>
      </w:pPr>
      <w:r>
        <w:rPr>
          <w:sz w:val="18"/>
        </w:rPr>
        <w:t>——————————————————————————————————————————————————————————————————————</w:t>
      </w:r>
    </w:p>
    <w:p>
      <w:pPr>
        <w:spacing w:before="160" w:after="40" w:line="240" w:lineRule="auto"/>
      </w:pPr>
      <w:r>
        <w:rPr>
          <w:b/>
        </w:rPr>
        <w:t xml:space="preserve">[597] </w:t>
      </w:r>
      <w:hyperlink r:id="rId1526">
        <w:r>
          <w:rPr>
            <w:color w:val="1155CC"/>
            <w:u w:val="single"/>
          </w:rPr>
          <w:t>共享的纹状体神经元表现出针对内部和外部驱动的行为的上下文特定动态</w:t>
        </w:r>
      </w:hyperlink>
    </w:p>
    <w:p>
      <w:pPr>
        <w:spacing w:before="0" w:after="80"/>
      </w:pPr>
      <w:r>
        <w:rPr>
          <w:i/>
          <w:sz w:val="20"/>
        </w:rPr>
        <w:t>EN: Shared striatal neurons exhibit context-specific dynamics for internally and externally driven actions</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527">
        <w:r>
          <w:rPr>
            <w:color w:val="1155CC"/>
            <w:u w:val="single"/>
          </w:rPr>
          <w:t>10.1126/sciadv.aed9386</w:t>
        </w:r>
      </w:hyperlink>
    </w:p>
    <w:p>
      <w:pPr>
        <w:spacing w:before="0" w:after="120"/>
      </w:pPr>
      <w:r>
        <w:rPr>
          <w:b/>
        </w:rPr>
        <w:t xml:space="preserve">Notes: </w:t>
      </w:r>
      <w:r>
        <w:t>abstract_source=crossref</w:t>
      </w:r>
    </w:p>
    <w:p>
      <w:pPr>
        <w:spacing w:before="0" w:after="80" w:lineRule="auto" w:line="276"/>
      </w:pPr>
      <w:r>
        <w:rPr>
          <w:b/>
        </w:rPr>
        <w:t xml:space="preserve">摘要（ZH）: </w:t>
      </w:r>
      <w:r>
        <w:t>动物可以根据外部提示或内部驱动来启动运动，但大脑如何灵活地支持这两种运动仍不清楚。帕金森病等疾病以不同的方式破坏这些模式，表明了不同的潜在机制。这些差异可能源于专门的电路或共享的神经元群体，这些神经元群体在不同的环境中改变了它们的动态。为了区分这些可能性，当小鼠自发地或响应提示执行相同的杠杆按压时，我们在背外侧纹状体中进行了双光子钙成像。无监督聚类识别出在提示、运动或动作后期间受到调节的神经元。至关重要的是，相同的神经元编码跨起始环境的运动，但它们的群体动态在运动之前发生了分歧。表达 D1 和 D2 的多刺投射神经元都对这些动力学做出了贡献，其中 D1-SPN 在感觉刺激时更加活跃。这些结果表明，上下文塑造了共享运动编码群体内的神经动力学，揭示了上下文可概括的纹状体代码，该代码支持跨内部和外部驱动器的灵活运动启动。</w:t>
      </w:r>
    </w:p>
    <w:p>
      <w:pPr>
        <w:spacing w:before="0" w:after="200" w:lineRule="auto" w:line="276"/>
      </w:pPr>
      <w:r>
        <w:rPr>
          <w:b/>
        </w:rPr>
        <w:t xml:space="preserve">Abstract (EN): </w:t>
      </w:r>
      <w:r>
        <w:t>Animals can initiate movements either in response to external cues or from internal drive, yet how the brain flexibly supports both remains unclear. Disorders such as Parkinson’s disease disrupt these modes differently, suggesting distinct underlying mechanisms. These differences could arise from specialized circuits or from shared neuronal populations that shift their dynamics across contexts. To distinguish between these possibilities, we performed two-photon calcium imaging in the dorsolateral striatum as mice executed the same lever press either spontaneously or in response to a cue. Unsupervised clustering identified neurons modulated during cue, movement, or postaction periods. Critically, the same neurons encoded movement across initiation contexts, but their population dynamics diverged before movement. Both D1- and D2-expressing spiny projection neurons contributed to these dynamics, with D1-SPNs more active at the time of the sensory stimulus. These results show that context shapes neural dynamics within a shared movement-encoding population, revealing a context-generalizable striatal code that supports flexible movement initiation across internal and external drives.</w:t>
      </w:r>
    </w:p>
    <w:p>
      <w:pPr>
        <w:spacing w:before="120" w:after="120"/>
      </w:pPr>
      <w:r>
        <w:rPr>
          <w:sz w:val="18"/>
        </w:rPr>
        <w:t>——————————————————————————————————————————————————————————————————————</w:t>
      </w:r>
    </w:p>
    <w:p>
      <w:pPr>
        <w:spacing w:before="160" w:after="40" w:line="240" w:lineRule="auto"/>
      </w:pPr>
      <w:r>
        <w:rPr>
          <w:b/>
        </w:rPr>
        <w:t xml:space="preserve">[598] </w:t>
      </w:r>
      <w:hyperlink r:id="rId1528">
        <w:r>
          <w:rPr>
            <w:color w:val="1155CC"/>
            <w:u w:val="single"/>
          </w:rPr>
          <w:t>星尘作为太阳系中最早固体的成核种子</w:t>
        </w:r>
      </w:hyperlink>
    </w:p>
    <w:p>
      <w:pPr>
        <w:spacing w:before="0" w:after="80"/>
      </w:pPr>
      <w:r>
        <w:rPr>
          <w:i/>
          <w:sz w:val="20"/>
        </w:rPr>
        <w:t>EN: Stardust as nucleation seeds for the earliest solids in the Solar System</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529">
        <w:r>
          <w:rPr>
            <w:color w:val="1155CC"/>
            <w:u w:val="single"/>
          </w:rPr>
          <w:t>10.1126/sciadv.ady2311</w:t>
        </w:r>
      </w:hyperlink>
    </w:p>
    <w:p>
      <w:pPr>
        <w:spacing w:before="0" w:after="120"/>
      </w:pPr>
      <w:r>
        <w:rPr>
          <w:b/>
        </w:rPr>
        <w:t xml:space="preserve">Notes: </w:t>
      </w:r>
      <w:r>
        <w:t>abstract_source=crossref</w:t>
      </w:r>
    </w:p>
    <w:p>
      <w:pPr>
        <w:spacing w:before="0" w:after="80" w:lineRule="auto" w:line="276"/>
      </w:pPr>
      <w:r>
        <w:rPr>
          <w:b/>
        </w:rPr>
        <w:t xml:space="preserve">摘要（ZH）: </w:t>
      </w:r>
      <w:r>
        <w:t>最近关于原始太阳系凝聚物（称为细粒钙铝富集内含物（fg-CAI））中锶 84 极度过量的报道表明，太阳系前星尘可能保存在难熔陨石成分中。这与太阳前粒子在 CAI 形成区域完全蒸发的先入之见不一致。在这里，我们通过从初级 fg-CAI 相中分离出锶，重新评估了太阳前物质在早期凝结和整体盘异质性中的作用。我们证明极端的锶 84 异常可能存在于 CAI 氧化物的亚群中。原始非载流子相的异常被证明是减弱的，但与太阳前兆的丰度相关，这表明载流子对随后的凝聚态成分发挥了影响力。我们认为难熔 CAI 成分中同位素异常之间的这种关系源于星尘充当太阳系中形成的最早固体的成核种子。</w:t>
      </w:r>
    </w:p>
    <w:p>
      <w:pPr>
        <w:spacing w:before="0" w:after="200" w:lineRule="auto" w:line="276"/>
      </w:pPr>
      <w:r>
        <w:rPr>
          <w:b/>
        </w:rPr>
        <w:t xml:space="preserve">Abstract (EN): </w:t>
      </w:r>
      <w:r>
        <w:t>Recent reports of extreme strontium-84 excesses in primitive Solar System condensates, known as fine-grained calcium-aluminum–rich inclusions (fg-CAIs), suggest that presolar stardust may be preserved in refractory meteoritic components. This is at odds with preconceptions that presolar grains were completely vaporized in the CAI-forming region. Here, we reappraise the role of presolar materials in early condensation and overall disk heterogeneity by isolating strontium from primary fg-CAI phases. We demonstrate that extreme strontium-84 anomalies are likely hosted in a subpopulation of CAI oxides. The anomalies of primitive noncarrier phases are shown to be attenuated but correlated with the abundance of presolar precursors, which suggests that carriers exert leverage on ensuing condensate compositions. We propose that this relationship between isotope anomalies in refractory CAI components stems from stardust acting as nucleation seeds for the earliest solids formed in the Solar System.</w:t>
      </w:r>
    </w:p>
    <w:p>
      <w:pPr>
        <w:spacing w:before="120" w:after="120"/>
      </w:pPr>
      <w:r>
        <w:rPr>
          <w:sz w:val="18"/>
        </w:rPr>
        <w:t>——————————————————————————————————————————————————————————————————————</w:t>
      </w:r>
    </w:p>
    <w:p>
      <w:pPr>
        <w:spacing w:before="160" w:after="40" w:line="240" w:lineRule="auto"/>
      </w:pPr>
      <w:r>
        <w:rPr>
          <w:b/>
        </w:rPr>
        <w:t xml:space="preserve">[599] </w:t>
      </w:r>
      <w:hyperlink r:id="rId1530">
        <w:r>
          <w:rPr>
            <w:color w:val="1155CC"/>
            <w:u w:val="single"/>
          </w:rPr>
          <w:t>对比板片脱碳模式控制热俯冲带和冷俯冲带的深层碳循环效率</w:t>
        </w:r>
      </w:hyperlink>
    </w:p>
    <w:p>
      <w:pPr>
        <w:spacing w:before="0" w:after="80"/>
      </w:pPr>
      <w:r>
        <w:rPr>
          <w:i/>
          <w:sz w:val="20"/>
        </w:rPr>
        <w:t>EN: Contrasting slab decarbonation patterns control deep carbon cycling efficiency in hot vs. cold subduction zones</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531">
        <w:r>
          <w:rPr>
            <w:color w:val="1155CC"/>
            <w:u w:val="single"/>
          </w:rPr>
          <w:t>10.1126/sciadv.aee3217</w:t>
        </w:r>
      </w:hyperlink>
    </w:p>
    <w:p>
      <w:pPr>
        <w:spacing w:before="0" w:after="120"/>
      </w:pPr>
      <w:r>
        <w:rPr>
          <w:b/>
        </w:rPr>
        <w:t xml:space="preserve">Notes: </w:t>
      </w:r>
      <w:r>
        <w:t>abstract_source=crossref</w:t>
      </w:r>
    </w:p>
    <w:p>
      <w:pPr>
        <w:spacing w:before="0" w:after="80" w:lineRule="auto" w:line="276"/>
      </w:pPr>
      <w:r>
        <w:rPr>
          <w:b/>
        </w:rPr>
        <w:t xml:space="preserve">摘要（ZH）: </w:t>
      </w:r>
      <w:r>
        <w:t>俯冲板片在地球深部碳循环中发挥着至关重要的作用，但不同俯冲带的碳循环效率仍然存在争议。在这里，我们利用观测约束的热岩石学模型，结合火山脱气和弧地球化学，系统地比较了极冷的汤加和热的哥伦比亚俯冲带的脱碳特征。确定了两种对比鲜明的板片脱碳模式：热俯冲带中高效的“集中”脱碳与冷俯冲带中缓慢的“扩散”脱碳。热哥伦比亚表现出&gt; 15%的高脱碳效率，以约75-115公里的狭窄深度范围内的变质碳释放为主，并辅以部分熔融引起的脱碳。相比之下，寒冷的汤加在约 75-310 公里的深度范围内通过溶解为主的碳去除，显示出低得多的脱碳效率，约 1%。这些发现表明，在当今和古代俯冲系统中，不同俯冲板片对于深层碳循环和火山脱气的效率存在差异。</w:t>
      </w:r>
    </w:p>
    <w:p>
      <w:pPr>
        <w:spacing w:before="0" w:after="200" w:lineRule="auto" w:line="276"/>
      </w:pPr>
      <w:r>
        <w:rPr>
          <w:b/>
        </w:rPr>
        <w:t xml:space="preserve">Abstract (EN): </w:t>
      </w:r>
      <w:r>
        <w:t>Subducting slabs play a crucial role in deep Earth carbon cycling, yet the carbon-cycling efficiency of different subduction zones remains debated. Here, we systematically compare decarbonation characteristics in the extremely cold Tonga and hot Colombia subduction zones using observation-constrained thermo-petrological modeling, integrated with volcanic degassing and arc geochemistry. Two contrasting slab decarbonation patterns are identified: efficient “focused” decarbonation in hot subduction zones versus sluggish “diffuse” decarbonation in cold subduction zones. Hot Colombia exhibits a high decarbonation efficiency &amp;gt;15%, dominated by metamorphic carbon release within a narrow depth range of ∼75–115 km and supplemented by partial melting-induced decarbonation. In contrast, cold Tonga shows a much lower decarbonation efficiency of ∼1% by dissolution-dominated carbon removal over a broad depth range of ∼75–310 km. These findings suggest a contrasting efficiency of different subducting slabs for deep carbon cycling and volcanic degassing in present-day and ancient subduction systems.</w:t>
      </w:r>
    </w:p>
    <w:p>
      <w:pPr>
        <w:spacing w:before="120" w:after="120"/>
      </w:pPr>
      <w:r>
        <w:rPr>
          <w:sz w:val="18"/>
        </w:rPr>
        <w:t>——————————————————————————————————————————————————————————————————————</w:t>
      </w:r>
    </w:p>
    <w:p>
      <w:pPr>
        <w:spacing w:before="160" w:after="40" w:line="240" w:lineRule="auto"/>
      </w:pPr>
      <w:r>
        <w:rPr>
          <w:b/>
        </w:rPr>
        <w:t xml:space="preserve">[600] </w:t>
      </w:r>
      <w:hyperlink r:id="rId1532">
        <w:r>
          <w:rPr>
            <w:color w:val="1155CC"/>
            <w:u w:val="single"/>
          </w:rPr>
          <w:t>支持物联网的无线神经植入物，用于慢性、可编程神经药理学和光遗传学</w:t>
        </w:r>
      </w:hyperlink>
    </w:p>
    <w:p>
      <w:pPr>
        <w:spacing w:before="0" w:after="80"/>
      </w:pPr>
      <w:r>
        <w:rPr>
          <w:i/>
          <w:sz w:val="20"/>
        </w:rPr>
        <w:t>EN: IoT-enabled wireless neural implant for chronic, programmable neuropharmacology and optogenetics</w:t>
      </w:r>
    </w:p>
    <w:p>
      <w:pPr>
        <w:spacing w:before="0" w:after="120"/>
      </w:pPr>
      <w:r>
        <w:rPr>
          <w:b/>
        </w:rPr>
        <w:t xml:space="preserve">Source: </w:t>
      </w:r>
      <w:r>
        <w:t>AAAS: Science Advances: Table of Contents</w:t>
      </w:r>
      <w:r>
        <w:t xml:space="preserve">    </w:t>
      </w:r>
      <w:r>
        <w:rPr>
          <w:b/>
        </w:rPr>
        <w:t xml:space="preserve">Pub date: </w:t>
      </w:r>
      <w:r>
        <w:t>2026-07-29 07:00:00+00:00</w:t>
      </w:r>
      <w:r>
        <w:t xml:space="preserve">    </w:t>
      </w:r>
      <w:r>
        <w:rPr>
          <w:b/>
        </w:rPr>
        <w:t xml:space="preserve">DOI: </w:t>
      </w:r>
      <w:hyperlink r:id="rId1533">
        <w:r>
          <w:rPr>
            <w:color w:val="1155CC"/>
            <w:u w:val="single"/>
          </w:rPr>
          <w:t>10.1126/sciadv.aee8648</w:t>
        </w:r>
      </w:hyperlink>
    </w:p>
    <w:p>
      <w:pPr>
        <w:spacing w:before="0" w:after="120"/>
      </w:pPr>
      <w:r>
        <w:rPr>
          <w:b/>
        </w:rPr>
        <w:t xml:space="preserve">Notes: </w:t>
      </w:r>
      <w:r>
        <w:t>abstract_source=crossref</w:t>
      </w:r>
    </w:p>
    <w:p>
      <w:pPr>
        <w:spacing w:before="0" w:after="80" w:lineRule="auto" w:line="276"/>
      </w:pPr>
      <w:r>
        <w:rPr>
          <w:b/>
        </w:rPr>
        <w:t xml:space="preserve">摘要（ZH）: </w:t>
      </w:r>
      <w:r>
        <w:t>无线体内神经药理学和光遗传学提供了一种强大的方法来连接分子信号传导、定义的神经群体和自由移动的动物的行为。然而，为此目的开发的现有植入式无线系统经常遭受剂量不精确、回流污染和不可再填充的储存器的困扰，并且它们对实验者存在的依赖本身就会改变神经活动和行为。在这里，我们介绍了一种用于药物输送和光刺激的远程驱动和可编程植入物（RAPIDO），它将可再填充、可更换和无回流的流体模块与微型无机发光二极管探针集成在单个微型植入物中。带有集成单向阀的可更换药筒可实现快速再填充，无污染剂量，而可编程电化学泵提供多级流速控制和线性剂量调制。双无线模式将用于现场交互式实验的智能手机控制与用于远程安排、无观察员操作的互联网连接相结合。在自由行为的啮齿类动物中，RAPIDO 能够在可卡因调节过程中对运动行为进行重复的无线药理学调节，并对细胞内信号传导进行独立的光遗传学操作。该平台为慢性多模式神经调节奠定了基础，支持跨分布式实验室的长期回路研究。</w:t>
      </w:r>
    </w:p>
    <w:p>
      <w:pPr>
        <w:spacing w:before="0" w:after="200" w:lineRule="auto" w:line="276"/>
      </w:pPr>
      <w:r>
        <w:rPr>
          <w:b/>
        </w:rPr>
        <w:t xml:space="preserve">Abstract (EN): </w:t>
      </w:r>
      <w:r>
        <w:t>Wireless in vivo neuropharmacology and optogenetics offer a powerful way to link molecular signaling, defined neural populations, and behavior in freely moving animals. However, existing implantable wireless systems developed for this purpose often suffer from imprecise dosing, backflow contamination, and nonrefillable reservoirs, and their reliance on experimenter presence can itself alter neural activity and behavior. Here, we introduce a remotely actuated and programmable implant for drug delivery and optical stimulation (RAPIDO), which integrates a refillable, replaceable, and backflow-free fluidic module with a microscale inorganic light-emitting diode probe in a single miniaturized implant. A replaceable cartridge with an integrated unidirectional valve enables rapid refilling with contamination-free dosing, while a programmable electrochemical pump provides multilevel flow-rate control and linear dose modulation. Dual wireless modes combine smartphone control for on-site interactive experiments with internet connectivity for remotely scheduled, observer-free operation. In freely behaving rodents, RAPIDO enabled repeated wireless pharmacological modulation of locomotor behavior and independent optogenetic manipulation of intracellular signaling during cocaine conditioning. This platform establishes a foundation for chronic multimodal neuromodulation, supporting long-term circuit studies across distributed laboratories.</w:t>
      </w:r>
    </w:p>
    <w:p>
      <w:pPr>
        <w:spacing w:before="120" w:after="120"/>
      </w:pPr>
      <w:r>
        <w:rPr>
          <w:sz w:val="18"/>
        </w:rPr>
        <w:t>——————————————————————————————————————————————————————————————————————</w:t>
      </w:r>
    </w:p>
    <w:p>
      <w:pPr>
        <w:spacing w:before="160" w:after="40" w:line="240" w:lineRule="auto"/>
      </w:pPr>
      <w:r>
        <w:rPr>
          <w:b/>
        </w:rPr>
        <w:t xml:space="preserve">[601] </w:t>
      </w:r>
      <w:hyperlink r:id="rId1534">
        <w:r>
          <w:rPr>
            <w:color w:val="1155CC"/>
            <w:u w:val="single"/>
          </w:rPr>
          <w:t>生物矿化希瓦氏菌通过生物纳米线利用肿瘤乳酸代谢进行放射治疗-协同生物电消融和系统免疫</w:t>
        </w:r>
      </w:hyperlink>
    </w:p>
    <w:p>
      <w:pPr>
        <w:spacing w:before="0" w:after="80"/>
      </w:pPr>
      <w:r>
        <w:rPr>
          <w:i/>
          <w:sz w:val="20"/>
        </w:rPr>
        <w:t>EN: Biomineralized Shewanella Exploits Tumor Lactate Metabolism via Biological Nanowires for Radiotherapy‐Synergized Bioelectric Ablation and Systemic Immunity</w:t>
      </w:r>
    </w:p>
    <w:p>
      <w:pPr>
        <w:spacing w:before="0" w:after="120"/>
      </w:pPr>
      <w:r>
        <w:rPr>
          <w:b/>
        </w:rPr>
        <w:t xml:space="preserve">Source: </w:t>
      </w:r>
      <w:r>
        <w:t>Wiley: Advanced Materials: Table of Contents</w:t>
      </w:r>
      <w:r>
        <w:t xml:space="preserve">    </w:t>
      </w:r>
      <w:r>
        <w:rPr>
          <w:b/>
        </w:rPr>
        <w:t xml:space="preserve">Pub date: </w:t>
      </w:r>
      <w:r>
        <w:t>2026-07-29 07:00:13+00:00</w:t>
      </w:r>
      <w:r>
        <w:t xml:space="preserve">    </w:t>
      </w:r>
      <w:r>
        <w:rPr>
          <w:b/>
        </w:rPr>
        <w:t xml:space="preserve">DOI: </w:t>
      </w:r>
      <w:hyperlink r:id="rId1535">
        <w:r>
          <w:rPr>
            <w:color w:val="1155CC"/>
            <w:u w:val="single"/>
          </w:rPr>
          <w:t>10.1002/adma.74300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生物电子疗法是一种通过电信号消融肿瘤细胞的新兴策略。然而，实现精确可控的生物电子消融仍然具有挑战性。在这里，我们报告了一个称为 PSDT 的活体生物电子平台，用于放射治疗（RT）激活的肿瘤干预和免疫激活。 PSDT 由 Pd/Pt 修饰的</w:t>
      </w:r>
      <w:r>
        <w:t xml:space="preserve"> </w:t>
      </w:r>
      <w:r>
        <w:t>希瓦氏菌属</w:t>
      </w:r>
      <w:r>
        <w:t xml:space="preserve"> </w:t>
      </w:r>
      <w:r>
        <w:t>核心（SDT）封装在ROS响应性聚合物壳（PEI-Se-Se-PEG）内。 ROS响应外壳使平台保持系统惰性，并将其活性限制在受辐射的肿瘤中，从而实现时空控制。 RT激活后，释放的SDT核心利用肿瘤微环境的厌氧特性，特异性地构建与肿瘤细胞的纳米线连接，从而建立用于电流传输的电子突触。同时，Pd/Pt 生物合金增强了</w:t>
      </w:r>
      <w:r>
        <w:t xml:space="preserve"> </w:t>
      </w:r>
      <w:r>
        <w:t>希瓦氏菌属</w:t>
      </w:r>
      <w:r>
        <w:t xml:space="preserve"> </w:t>
      </w:r>
      <w:r>
        <w:t>的乳酸代谢和电子转移。这种增强功能使该平台能够产生由肿瘤乳酸驱动的连续生物电流。 RT 还诱导 Pd/Pt 生物合金释放高能电子，然后通过纳米线与放大的生物电流一起传递到肿瘤细胞。这种双通道电子传递增强了肿瘤细胞的消融，并对原发性肿瘤生长产生显着的抑制作用。该治疗还诱导全身抗肿瘤作用，因为电消融释放肿瘤抗原和细菌抗原</w:t>
      </w:r>
    </w:p>
    <w:p>
      <w:pPr>
        <w:spacing w:before="0" w:after="200" w:lineRule="auto" w:line="276"/>
      </w:pPr>
      <w:r>
        <w:rPr>
          <w:b/>
        </w:rPr>
        <w:t xml:space="preserve">Abstract (EN): </w:t>
      </w:r>
      <w:r>
        <w:t>Bioelectronic therapy is an emerging strategy that ablates tumor cells via electrical signals. However, achieving precisely controllable bioelectronic ablation remains challenging. Here, we report a living bioelectronic platform, termed PSDT, for radiotherapy (RT)‐activated tumor intervention and immune activation. PSDT consists of a Pd/Pt‐modified</w:t>
      </w:r>
      <w:r>
        <w:t xml:space="preserve"> </w:t>
      </w:r>
      <w:r>
        <w:t>Shewanella</w:t>
      </w:r>
      <w:r>
        <w:t xml:space="preserve"> </w:t>
      </w:r>
      <w:r>
        <w:t>core (SDT) encapsulated within a ROS‐responsive polymeric shell (PEI‐Se‐Se‐PEG). The ROS‐responsive shell keeps the platform inert systemically and confines its activity to irradiated tumors, achieving spatiotemporal control. Upon RT activation, the released SDT core utilizes the anaerobic characteristics of the tumor microenvironment to specifically construct nanowire connections with tumor cells, thereby establishing the electronic synapse for current delivery. Simultaneously, the Pd/Pt bio‐alloy enhances</w:t>
      </w:r>
      <w:r>
        <w:t xml:space="preserve"> </w:t>
      </w:r>
      <w:r>
        <w:t>Shewanella</w:t>
      </w:r>
      <w:r>
        <w:t xml:space="preserve"> </w:t>
      </w:r>
      <w:r>
        <w:t>'s lactate metabolism and electron transfer. This enhancement enables the platform to generate a continuous bioelectric current fueled by tumor lactate. RT also induces the Pd/Pt bio‐alloy to release high‐energy electrons, which are then delivered to the tumor cells alongside the amplified bioelectric current through the nanowire. This dual‐pathway electron delivery enhances tumor cell ablation and yields prominent inhibition of primary tumor growth. The treatment also induces systemic antitumor effects, as the release of tumor antigens from electro‐ablation and bacterial antigens from RT‐mediated bacterial disruption triggeres local immune activation and an abscopal effect. Moreover, the combination with anti‐PD‐1 treatment further enhances these effects, resulting in nearly complete tumor eradication and durable tumor control. This work demonstrates a bioelectronic therapy that integrates tumor metabolic intervention with systemic immune activation for the treatment of immunologically cold solid tumors.</w:t>
      </w:r>
    </w:p>
    <w:p>
      <w:pPr>
        <w:spacing w:before="120" w:after="120"/>
      </w:pPr>
      <w:r>
        <w:rPr>
          <w:sz w:val="18"/>
        </w:rPr>
        <w:t>——————————————————————————————————————————————————————————————————————</w:t>
      </w:r>
    </w:p>
    <w:p>
      <w:pPr>
        <w:spacing w:before="160" w:after="40" w:line="240" w:lineRule="auto"/>
      </w:pPr>
      <w:r>
        <w:rPr>
          <w:b/>
        </w:rPr>
        <w:t xml:space="preserve">[602] </w:t>
      </w:r>
      <w:hyperlink r:id="rId1536">
        <w:r>
          <w:rPr>
            <w:color w:val="1155CC"/>
            <w:u w:val="single"/>
          </w:rPr>
          <w:t>在含有挥发性元素的扭曲氧化物膜中建立原子相干性</w:t>
        </w:r>
      </w:hyperlink>
    </w:p>
    <w:p>
      <w:pPr>
        <w:spacing w:before="0" w:after="80"/>
      </w:pPr>
      <w:r>
        <w:rPr>
          <w:i/>
          <w:sz w:val="20"/>
        </w:rPr>
        <w:t>EN: Establishing Atomic Coherence in Twisted Oxide Membranes Containing Volatile Elements</w:t>
      </w:r>
    </w:p>
    <w:p>
      <w:pPr>
        <w:spacing w:before="0" w:after="120"/>
      </w:pPr>
      <w:r>
        <w:rPr>
          <w:b/>
        </w:rPr>
        <w:t xml:space="preserve">Source: </w:t>
      </w:r>
      <w:r>
        <w:t>Wiley: Advanced Materials: Table of Contents</w:t>
      </w:r>
      <w:r>
        <w:t xml:space="preserve">    </w:t>
      </w:r>
      <w:r>
        <w:rPr>
          <w:b/>
        </w:rPr>
        <w:t xml:space="preserve">Pub date: </w:t>
      </w:r>
      <w:r>
        <w:t>2026-07-29 07:33:55+00:00</w:t>
      </w:r>
      <w:r>
        <w:t xml:space="preserve">    </w:t>
      </w:r>
      <w:r>
        <w:rPr>
          <w:b/>
        </w:rPr>
        <w:t xml:space="preserve">DOI: </w:t>
      </w:r>
      <w:hyperlink r:id="rId1537">
        <w:r>
          <w:rPr>
            <w:color w:val="1155CC"/>
            <w:u w:val="single"/>
          </w:rPr>
          <w:t>10.1002/adma.74365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扭曲氧化物膜代表了探索莫尔物理和涌现量子现象的有前途的平台。然而，传统氧化物异质结构中非晶界面“死”层的存在阻碍了相干耦合并抑制了莫尔条纹引起的相互作用。虽然高温热处理可以促进界面粘合，但对于含有挥发性元素的材料需要额外小心，因为高温可能会导致元素损失。这项研究证明了扭曲 NaNbO 中原子相干、化学键合界面的实现</w:t>
      </w:r>
      <w:r>
        <w:rPr>
          <w:vertAlign w:val="subscript"/>
        </w:rPr>
        <w:t>3</w:t>
      </w:r>
      <w:r>
        <w:t>膜通过受控氧退火处理。原子分辨率成像和光谱揭示了有序的钙钛矿登记，伴随着系统的晶格收缩和扭曲界面处的电子结构的改变，提供了化学重建的特征，而不是物理粘附的特征。这种重建的界面介导高度不对称的应变传播，其中底部膜保持几乎松弛，而顶部膜容纳大量剪切应变。通过解决重建界面的性质，这些发现建立了一条实现相干且应变可调的氧化物莫尔超晶格的途径。</w:t>
      </w:r>
    </w:p>
    <w:p>
      <w:pPr>
        <w:spacing w:before="0" w:after="200" w:lineRule="auto" w:line="276"/>
      </w:pPr>
      <w:r>
        <w:rPr>
          <w:b/>
        </w:rPr>
        <w:t xml:space="preserve">Abstract (EN): </w:t>
      </w:r>
      <w:r>
        <w:t>Twisted oxide membranes represent a promising platform for exploring moiré physics and emergent quantum phenomena. However, the presence of amorphous interfacial “dead” layers in conventional oxide heterostructures impedes coherent coupling and suppresses moiré‐induced interactions. While high‐temperature thermal treatments can facilitate interfacial bonding, additional care is needed for materials containing volatile elements, where elevated temperatures may cause elemental loss. This study demonstrates the realization of an atomically coherent, chemically bonded interface in twisted NaNbO</w:t>
      </w:r>
      <w:r>
        <w:rPr>
          <w:vertAlign w:val="subscript"/>
        </w:rPr>
        <w:t>3</w:t>
      </w:r>
      <w:r>
        <w:t>membranes through controlled oxygen‐annealing treatment. Atomic‐resolution imaging and spectroscopy reveal ordered perovskite registry accompanied by systematic lattice contraction and modified electronic structure at the twisted interface, providing signatures of chemical reconstruction rather than physical adhesion. This reconstructed interface mediates highly asymmetric strain propagation in which the bottom membrane remains nearly relaxed while the top membrane accommodates substantial shear strain. By resolving the nature of the reconstructed interface, these findings establish a pathway for achieving coherent and strain‐tunable oxide moiré superlattices.</w:t>
      </w:r>
    </w:p>
    <w:p>
      <w:pPr>
        <w:spacing w:before="120" w:after="120"/>
      </w:pPr>
      <w:r>
        <w:rPr>
          <w:sz w:val="18"/>
        </w:rPr>
        <w:t>——————————————————————————————————————————————————————————————————————</w:t>
      </w:r>
    </w:p>
    <w:p>
      <w:pPr>
        <w:spacing w:before="160" w:after="40" w:line="240" w:lineRule="auto"/>
      </w:pPr>
      <w:r>
        <w:rPr>
          <w:b/>
        </w:rPr>
        <w:t xml:space="preserve">[603] </w:t>
      </w:r>
      <w:hyperlink r:id="rId1538">
        <w:r>
          <w:rPr>
            <w:color w:val="1155CC"/>
            <w:u w:val="single"/>
          </w:rPr>
          <w:t>用于通用抗菌治疗的双功能人工抗体</w:t>
        </w:r>
      </w:hyperlink>
    </w:p>
    <w:p>
      <w:pPr>
        <w:spacing w:before="0" w:after="80"/>
      </w:pPr>
      <w:r>
        <w:rPr>
          <w:i/>
          <w:sz w:val="20"/>
        </w:rPr>
        <w:t>EN: A Bifunctional Artificial Antibody for Universal Antimicrobial Therapy</w:t>
      </w:r>
    </w:p>
    <w:p>
      <w:pPr>
        <w:spacing w:before="0" w:after="120"/>
      </w:pPr>
      <w:r>
        <w:rPr>
          <w:b/>
        </w:rPr>
        <w:t xml:space="preserve">Source: </w:t>
      </w:r>
      <w:r>
        <w:t>Wiley: Advanced Materials: Table of Contents</w:t>
      </w:r>
      <w:r>
        <w:t xml:space="preserve">    </w:t>
      </w:r>
      <w:r>
        <w:rPr>
          <w:b/>
        </w:rPr>
        <w:t xml:space="preserve">Pub date: </w:t>
      </w:r>
      <w:r>
        <w:t>2026-07-29 08:14:27+00:00</w:t>
      </w:r>
      <w:r>
        <w:t xml:space="preserve">    </w:t>
      </w:r>
      <w:r>
        <w:rPr>
          <w:b/>
        </w:rPr>
        <w:t xml:space="preserve">DOI: </w:t>
      </w:r>
      <w:hyperlink r:id="rId1539">
        <w:r>
          <w:rPr>
            <w:color w:val="1155CC"/>
            <w:u w:val="single"/>
          </w:rPr>
          <w:t>10.1002/adma.74355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抗菌素耐药性 (AMR) 是一场全球健康危机，多重耐药 ESKAPE 病原体对当前的治疗方法构成重大威胁。抗体疗法是一种很有前景的对抗AMR的抗菌策略，但生物抗菌抗体固有的不稳定性和有限的功能多样性阻碍了通用疗法的发展。在这里，我们报告了化学工程金基双功能抗体仿生体（AuriFAB），它实现了针对所有多重耐药 ESKAPE 病原体的通用抗菌治疗。通过利用二硫代氨基甲酸盐连接，AuriFAB 在恶劣的生物条件下获得了出色的胶体稳定性，并且在溶液中的长期储存稳定性超过一年。化学表位筛选鉴定出双硫仑工程设计的 AuriFAB，其具有双特异性 Fab 模拟识别机制，靶向革兰氏阳性菌中的 FtsZ 和革兰氏阴性菌中的脂多糖，解锁皮摩尔结合亲和力并实现纳克每毫升的抗菌功效。 AuriFAB 表现出低毒性、高选择性、良好的药代动力学和体内代谢清除率。这种化学策略解决了生物抗菌抗体的稳定性和功能限制，并提供了对抗抗菌素耐药性的通用解决方案，展示了化学驱动的生物模拟物的治疗潜力。</w:t>
      </w:r>
    </w:p>
    <w:p>
      <w:pPr>
        <w:spacing w:before="0" w:after="200" w:lineRule="auto" w:line="276"/>
      </w:pPr>
      <w:r>
        <w:rPr>
          <w:b/>
        </w:rPr>
        <w:t xml:space="preserve">Abstract (EN): </w:t>
      </w:r>
      <w:r>
        <w:t>Antimicrobial resistance (AMR) is a global health crisis, and multidrug‐resistant ESKAPE pathogens pose a significant threat to current treatments. Antibody therapy is a promising antibacterial strategy to combat AMR, but the inherent instability and limited functional diversity of biological antibacterial antibodies hinder the development of universal therapies. Here, we report the chemically engineered gold‐based bifunctional antibody biomimetic (AuriFAB), which achieves universal antimicrobial therapy against all multidrug‐resistant ESKAPE pathogens. By utilizing dithiocarbamate ligation, AuriFAB attains exceptional colloidal stability under harsh biological conditions and long‐term storage stability exceeding one year in solution. Chemical epitope screening identifies a disulfiram‐engineered AuriFAB that features a bispecific Fab‐mimicking recognition mechanism, targeting FtsZ in Gram‐positive bacteria and lipopolysaccharide in Gram‐negative bacteria, unlocking picomolar binding affinity and enabling nanogram‐per‐milliliter antibacterial efficacy. AuriFAB demonstrates low toxicity, high selectivity, favorable pharmacokinetics, and in vivo metabolizable clearance. This chemical strategy addresses the stability and functionality limitations of biological antibacterial antibodies and provides a universal solution to combat AMR, demonstrating the therapeutic potential of chemistry‐driven biologic mimics.</w:t>
      </w:r>
    </w:p>
    <w:p>
      <w:pPr>
        <w:spacing w:before="120" w:after="120"/>
      </w:pPr>
      <w:r>
        <w:rPr>
          <w:sz w:val="18"/>
        </w:rPr>
        <w:t>——————————————————————————————————————————————————————————————————————</w:t>
      </w:r>
    </w:p>
    <w:p>
      <w:pPr>
        <w:spacing w:before="160" w:after="40" w:line="240" w:lineRule="auto"/>
      </w:pPr>
      <w:r>
        <w:rPr>
          <w:b/>
        </w:rPr>
        <w:t xml:space="preserve">[604] </w:t>
      </w:r>
      <w:hyperlink r:id="rId1540">
        <w:r>
          <w:rPr>
            <w:color w:val="1155CC"/>
            <w:u w:val="single"/>
          </w:rPr>
          <w:t>控制范德华铁电 NbOI2 中的辐射声子</w:t>
        </w:r>
      </w:hyperlink>
    </w:p>
    <w:p>
      <w:pPr>
        <w:spacing w:before="0" w:after="80"/>
      </w:pPr>
      <w:r>
        <w:rPr>
          <w:i/>
          <w:sz w:val="20"/>
        </w:rPr>
        <w:t>EN: Controlling Radiative Phonons in the van der Waals Ferroelectric NbOI2</w:t>
      </w:r>
    </w:p>
    <w:p>
      <w:pPr>
        <w:spacing w:before="0" w:after="120"/>
      </w:pPr>
      <w:r>
        <w:rPr>
          <w:b/>
        </w:rPr>
        <w:t xml:space="preserve">Source: </w:t>
      </w:r>
      <w:r>
        <w:t>Wiley: Advanced Materials: Table of Contents</w:t>
      </w:r>
      <w:r>
        <w:t xml:space="preserve">    </w:t>
      </w:r>
      <w:r>
        <w:rPr>
          <w:b/>
        </w:rPr>
        <w:t xml:space="preserve">Pub date: </w:t>
      </w:r>
      <w:r>
        <w:t>2026-07-29 08:16:59+00:00</w:t>
      </w:r>
      <w:r>
        <w:t xml:space="preserve">    </w:t>
      </w:r>
      <w:r>
        <w:rPr>
          <w:b/>
        </w:rPr>
        <w:t xml:space="preserve">DOI: </w:t>
      </w:r>
      <w:hyperlink r:id="rId1541">
        <w:r>
          <w:rPr>
            <w:color w:val="1155CC"/>
            <w:u w:val="single"/>
          </w:rPr>
          <w:t>10.1002/adma.74337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量子系统的光学特性从根本上由其电磁环境通过局部光态密度 (LDOS) 控制，从而能够对原子、激子和电子跃迁进行强有力的控制。然而，在环境工程的框架内，声子的辐射特性在很大程度上仍未得到探索。在这里，我们演示了 LDOS 对范德华铁电 NbOI 中太赫兹 (THz) 声子发射的控制</w:t>
      </w:r>
      <w:r>
        <w:rPr>
          <w:vertAlign w:val="subscript"/>
        </w:rPr>
        <w:t>2</w:t>
      </w:r>
      <w:r>
        <w:t>使用简单的镜子几何形状。通过改变光子环境，我们实现了声子的显着且可逆的调谐</w:t>
      </w:r>
      <w:r>
        <w:t xml:space="preserve"> </w:t>
      </w:r>
      <w:r>
        <w:t>问</w:t>
      </w:r>
      <w:r>
        <w:t xml:space="preserve"> </w:t>
      </w:r>
      <w:r>
        <w:t>‐因子、峰值频率、线宽和发射强度，调制接近一个数量级。观察到的行为源于声子辐射率的类 Purcell 增强和抑制，揭示了 NbOI 的近乎一致的辐射量子效率</w:t>
      </w:r>
      <w:r>
        <w:rPr>
          <w:vertAlign w:val="subscript"/>
        </w:rPr>
        <w:t>2</w:t>
      </w:r>
      <w:r>
        <w:t>。我们的研究结果将辐射声子确立为受光子边界条件控制的可调谐准粒子，将 LDOS 工程从电子激发扩展到晶格激发。该框架能够对声子寿命和发射光谱进行确定性控制，为紧凑型可调谐太赫兹源和基于声子的量子和光子技术带来新的机遇。</w:t>
      </w:r>
    </w:p>
    <w:p>
      <w:pPr>
        <w:spacing w:before="0" w:after="200" w:lineRule="auto" w:line="276"/>
      </w:pPr>
      <w:r>
        <w:rPr>
          <w:b/>
        </w:rPr>
        <w:t xml:space="preserve">Abstract (EN): </w:t>
      </w:r>
      <w:r>
        <w:t>The optical properties of quantum systems are fundamentally governed by their electromagnetic environment through the local density of optical states (LDOS), enabling powerful control over atomic, excitonic, and electronic transitions. However, the radiative properties of phonons have remained largely unexplored within this framework of environmental engineering. Here we demonstrate LDOS control of terahertz (THz) phonon emission in the van der Waals ferroelectric NbOI</w:t>
      </w:r>
      <w:r>
        <w:rPr>
          <w:vertAlign w:val="subscript"/>
        </w:rPr>
        <w:t>2</w:t>
      </w:r>
      <w:r>
        <w:t>using a simple mirror geometry. By modifying the photonic environment, we achieve pronounced and reversible tuning of the phonon</w:t>
      </w:r>
      <w:r>
        <w:t xml:space="preserve"> </w:t>
      </w:r>
      <w:r>
        <w:t>Q</w:t>
      </w:r>
      <w:r>
        <w:t xml:space="preserve"> </w:t>
      </w:r>
      <w:r>
        <w:t>‐factor, peak frequency, linewidth, and emission intensity, with modulation approaching an order of magnitude. The observed behavior arises from Purcell‐like enhancement and suppression of the phonon radiative rate, revealing a near‐unity radiative quantum efficiency in NbOI</w:t>
      </w:r>
      <w:r>
        <w:rPr>
          <w:vertAlign w:val="subscript"/>
        </w:rPr>
        <w:t>2</w:t>
      </w:r>
      <w:r>
        <w:t>. Our results establish radiative phonons as tunable quasiparticles governed by photonic boundary conditions, extending LDOS engineering from electronic to lattice excitations. This framework enables deterministic control of phonon lifetimes and emission spectra, opening new opportunities for compact tunable THz sources and phonon‐based quantum and photonic technologies.</w:t>
      </w:r>
    </w:p>
    <w:p>
      <w:pPr>
        <w:spacing w:before="120" w:after="120"/>
      </w:pPr>
      <w:r>
        <w:rPr>
          <w:sz w:val="18"/>
        </w:rPr>
        <w:t>——————————————————————————————————————————————————————————————————————</w:t>
      </w:r>
    </w:p>
    <w:p>
      <w:pPr>
        <w:spacing w:before="160" w:after="40" w:line="240" w:lineRule="auto"/>
      </w:pPr>
      <w:r>
        <w:rPr>
          <w:b/>
        </w:rPr>
        <w:t xml:space="preserve">[605] </w:t>
      </w:r>
      <w:hyperlink r:id="rId1542">
        <w:r>
          <w:rPr>
            <w:color w:val="1155CC"/>
            <w:u w:val="single"/>
          </w:rPr>
          <w:t>研究$^{57}\mathrm{Ni}(p,γ)^{58}\mathrm{Cu}$共振以了解超新星中$^{44}\mathrm{Ti}$核合成</w:t>
        </w:r>
      </w:hyperlink>
    </w:p>
    <w:p>
      <w:pPr>
        <w:spacing w:before="0" w:after="80"/>
      </w:pPr>
      <w:r>
        <w:rPr>
          <w:i/>
          <w:sz w:val="20"/>
        </w:rPr>
        <w:t>EN: Study of Key $^{57}\mathrm{Ni}(p,γ)^{58}\mathrm{Cu}$ Resonances to Understand $^{44}\mathrm{Ti}$ Nucleosynthesis in Supernovae</w:t>
      </w:r>
    </w:p>
    <w:p>
      <w:pPr>
        <w:spacing w:before="0" w:after="120"/>
      </w:pPr>
      <w:r>
        <w:rPr>
          <w:b/>
        </w:rPr>
        <w:t xml:space="preserve">Source: </w:t>
      </w:r>
      <w:r>
        <w:t>Recent Articles in Phys. Rev. Lett.</w:t>
      </w:r>
      <w:r>
        <w:t xml:space="preserve">    </w:t>
      </w:r>
      <w:r>
        <w:rPr>
          <w:b/>
        </w:rPr>
        <w:t xml:space="preserve">Pub date: </w:t>
      </w:r>
      <w:r>
        <w:t>2026-07-29 10:00:00+00:00</w:t>
      </w:r>
      <w:r>
        <w:t xml:space="preserve">    </w:t>
      </w:r>
      <w:r>
        <w:rPr>
          <w:b/>
        </w:rPr>
        <w:t xml:space="preserve">DOI: </w:t>
      </w:r>
      <w:hyperlink r:id="rId1543">
        <w:r>
          <w:rPr>
            <w:color w:val="1155CC"/>
            <w:u w:val="single"/>
          </w:rPr>
          <w:t>10.1103/1848-pwf5</w:t>
        </w:r>
      </w:hyperlink>
    </w:p>
    <w:p>
      <w:pPr>
        <w:spacing w:before="0" w:after="120"/>
      </w:pPr>
      <w:r>
        <w:rPr>
          <w:b/>
        </w:rPr>
        <w:t xml:space="preserve">Notes: </w:t>
      </w:r>
      <w:r>
        <w:t>abstract_source=rss_description</w:t>
      </w:r>
    </w:p>
    <w:p>
      <w:pPr>
        <w:spacing w:before="0" w:after="80" w:lineRule="auto" w:line="276"/>
      </w:pPr>
      <w:r>
        <w:rPr>
          <w:b/>
        </w:rPr>
        <w:t xml:space="preserve">摘要（ZH）: </w:t>
      </w:r>
      <w:r>
        <w:t>作者：S. R. Carmichael 等人。核心塌缩超新星核合成模型的一个重要验证是将放射性同位素预测与根据遗迹中发射的 $γ$ 射线观测推断出的丰度进行比较。其中一种同位素 $^{44}\mathrm{Ti}$ 对 $^{57}\mathrm{Ni}(p,γ)^{58}\mathr…[Phys.莱特牧师。 137, 052702] 2026 年 7 月 29 日星期三发布</w:t>
      </w:r>
    </w:p>
    <w:p>
      <w:pPr>
        <w:spacing w:before="0" w:after="200" w:lineRule="auto" w:line="276"/>
      </w:pPr>
      <w:r>
        <w:rPr>
          <w:b/>
        </w:rPr>
        <w:t xml:space="preserve">Abstract (EN): </w:t>
      </w:r>
      <w:r>
        <w:t>Author(s): S. R. Carmichael et al.An important validation of nucleosynthesis models of core-collapse supernovae is the comparison of radioisotope predictions to abundances inferred from observations of $γ$ rays emitted in remnants. One such isotope, $^{44}\mathrm{Ti}$, is especially sensitive to the $^{57}\mathrm{Ni}(p,γ)^{58}\mathr…[Phys. Rev. Lett. 137, 052702] Published Wed Jul 29, 2026</w:t>
      </w:r>
    </w:p>
    <w:p>
      <w:pPr>
        <w:spacing w:before="120" w:after="120"/>
      </w:pPr>
      <w:r>
        <w:rPr>
          <w:sz w:val="18"/>
        </w:rPr>
        <w:t>——————————————————————————————————————————————————————————————————————</w:t>
      </w:r>
    </w:p>
    <w:p>
      <w:pPr>
        <w:spacing w:before="160" w:after="40" w:line="240" w:lineRule="auto"/>
      </w:pPr>
      <w:r>
        <w:rPr>
          <w:b/>
        </w:rPr>
        <w:t xml:space="preserve">[606] </w:t>
      </w:r>
      <w:hyperlink r:id="rId1544">
        <w:r>
          <w:rPr>
            <w:color w:val="1155CC"/>
            <w:u w:val="single"/>
          </w:rPr>
          <w:t>二维超均匀介质中的扩散</w:t>
        </w:r>
      </w:hyperlink>
    </w:p>
    <w:p>
      <w:pPr>
        <w:spacing w:before="0" w:after="80"/>
      </w:pPr>
      <w:r>
        <w:rPr>
          <w:i/>
          <w:sz w:val="20"/>
        </w:rPr>
        <w:t>EN: Diffusion in Two-Dimensional Hyperuniform Media</w:t>
      </w:r>
    </w:p>
    <w:p>
      <w:pPr>
        <w:spacing w:before="0" w:after="120"/>
      </w:pPr>
      <w:r>
        <w:rPr>
          <w:b/>
        </w:rPr>
        <w:t xml:space="preserve">Source: </w:t>
      </w:r>
      <w:r>
        <w:t>Recent Articles in Phys. Rev. Lett.</w:t>
      </w:r>
      <w:r>
        <w:t xml:space="preserve">    </w:t>
      </w:r>
      <w:r>
        <w:rPr>
          <w:b/>
        </w:rPr>
        <w:t xml:space="preserve">Pub date: </w:t>
      </w:r>
      <w:r>
        <w:t>2026-07-29 10:00:00+00:00</w:t>
      </w:r>
      <w:r>
        <w:t xml:space="preserve">    </w:t>
      </w:r>
      <w:r>
        <w:rPr>
          <w:b/>
        </w:rPr>
        <w:t xml:space="preserve">DOI: </w:t>
      </w:r>
      <w:hyperlink r:id="rId1545">
        <w:r>
          <w:rPr>
            <w:color w:val="1155CC"/>
            <w:u w:val="single"/>
          </w:rPr>
          <w:t>10.1103/ncm8-3fmh</w:t>
        </w:r>
      </w:hyperlink>
    </w:p>
    <w:p>
      <w:pPr>
        <w:spacing w:before="0" w:after="120"/>
      </w:pPr>
      <w:r>
        <w:rPr>
          <w:b/>
        </w:rPr>
        <w:t xml:space="preserve">Notes: </w:t>
      </w:r>
      <w:r>
        <w:t>abstract_source=rss_description</w:t>
      </w:r>
    </w:p>
    <w:p>
      <w:pPr>
        <w:spacing w:before="0" w:after="80" w:lineRule="auto" w:line="276"/>
      </w:pPr>
      <w:r>
        <w:rPr>
          <w:b/>
        </w:rPr>
        <w:t xml:space="preserve">摘要（ZH）: </w:t>
      </w:r>
      <w:r>
        <w:t>作者：张静、赵胜达、岳荣欣、于嘉欣和张兴华理解由障碍粒子组成的无序系统中的扩散对于阐明从生物组织到工程多孔材料的输运现象至关重要。现有的研究主要采用随机顺序吸附方法，并仅通过 d 来表征介质......[Phys。莱特牧师。 137, 057101] 2026 年 7 月 29 日星期三发布</w:t>
      </w:r>
    </w:p>
    <w:p>
      <w:pPr>
        <w:spacing w:before="0" w:after="200" w:lineRule="auto" w:line="276"/>
      </w:pPr>
      <w:r>
        <w:rPr>
          <w:b/>
        </w:rPr>
        <w:t xml:space="preserve">Abstract (EN): </w:t>
      </w:r>
      <w:r>
        <w:t>Author(s): Jing Zhang, Shengda Zhao, Rongxin Yue, Jiaxin Yu, and Xinghua ZhangUnderstanding diffusion in disordered systems composed of obstacle particles is crucial for elucidating transport phenomena ranging from biological tissues to engineered porous materials. Existing studies predominantly employ the random sequential adsorption method and characterize media solely by d…[Phys. Rev. Lett. 137, 057101] Published Wed Jul 29, 2026</w:t>
      </w:r>
    </w:p>
    <w:p>
      <w:pPr>
        <w:spacing w:before="120" w:after="120"/>
      </w:pPr>
      <w:r>
        <w:rPr>
          <w:sz w:val="18"/>
        </w:rPr>
        <w:t>——————————————————————————————————————————————————————————————————————</w:t>
      </w:r>
    </w:p>
    <w:p>
      <w:pPr>
        <w:spacing w:before="160" w:after="40" w:line="240" w:lineRule="auto"/>
      </w:pPr>
      <w:r>
        <w:rPr>
          <w:b/>
        </w:rPr>
        <w:t xml:space="preserve">[607] </w:t>
      </w:r>
      <w:hyperlink r:id="rId1546">
        <w:r>
          <w:rPr>
            <w:color w:val="1155CC"/>
            <w:u w:val="single"/>
          </w:rPr>
          <w:t>非相干光核生产中 $J/ψ$ 抑制的证据</w:t>
        </w:r>
      </w:hyperlink>
    </w:p>
    <w:p>
      <w:pPr>
        <w:spacing w:before="0" w:after="80"/>
      </w:pPr>
      <w:r>
        <w:rPr>
          <w:i/>
          <w:sz w:val="20"/>
        </w:rPr>
        <w:t>EN: Evidence for $J/ψ$ Suppression in Incoherent Photonuclear Production</w:t>
      </w:r>
    </w:p>
    <w:p>
      <w:pPr>
        <w:spacing w:before="0" w:after="120"/>
      </w:pPr>
      <w:r>
        <w:rPr>
          <w:b/>
        </w:rPr>
        <w:t xml:space="preserve">Source: </w:t>
      </w:r>
      <w:r>
        <w:t>Recent Articles in Phys. Rev. Lett.</w:t>
      </w:r>
      <w:r>
        <w:t xml:space="preserve">    </w:t>
      </w:r>
      <w:r>
        <w:rPr>
          <w:b/>
        </w:rPr>
        <w:t xml:space="preserve">Pub date: </w:t>
      </w:r>
      <w:r>
        <w:t>2026-07-29 10:00:00+00:00</w:t>
      </w:r>
      <w:r>
        <w:t xml:space="preserve">    </w:t>
      </w:r>
      <w:r>
        <w:rPr>
          <w:b/>
        </w:rPr>
        <w:t xml:space="preserve">DOI: </w:t>
      </w:r>
      <w:hyperlink r:id="rId1547">
        <w:r>
          <w:rPr>
            <w:color w:val="1155CC"/>
            <w:u w:val="single"/>
          </w:rPr>
          <w:t>10.1103/jmwb-75m7</w:t>
        </w:r>
      </w:hyperlink>
    </w:p>
    <w:p>
      <w:pPr>
        <w:spacing w:before="0" w:after="120"/>
      </w:pPr>
      <w:r>
        <w:rPr>
          <w:b/>
        </w:rPr>
        <w:t xml:space="preserve">Notes: </w:t>
      </w:r>
      <w:r>
        <w:t>abstract_source=rss_description</w:t>
      </w:r>
    </w:p>
    <w:p>
      <w:pPr>
        <w:spacing w:before="0" w:after="80" w:lineRule="auto" w:line="276"/>
      </w:pPr>
      <w:r>
        <w:rPr>
          <w:b/>
        </w:rPr>
        <w:t xml:space="preserve">摘要（ZH）: </w:t>
      </w:r>
      <w:r>
        <w:t>作者：S. Acharya 等人。 （ALICE 合作）根据量子色动力学，在足够高的能量下，强子的结构揭示了胶子分裂和胶子重组之间的动态平衡，这种现象称为饱和。 $J/ψ$ 矢量介子的衍射光核产生过程提供了直接的内部…[Phys。莱特牧师。 137, 052301] 2026 年 7 月 29 日星期三发布</w:t>
      </w:r>
    </w:p>
    <w:p>
      <w:pPr>
        <w:spacing w:before="0" w:after="200" w:lineRule="auto" w:line="276"/>
      </w:pPr>
      <w:r>
        <w:rPr>
          <w:b/>
        </w:rPr>
        <w:t xml:space="preserve">Abstract (EN): </w:t>
      </w:r>
      <w:r>
        <w:t>Author(s): S. Acharya et al. (ALICE Collaboration)According to quantum chromodynamics, at sufficiently high energy, the structure of hadrons reveals a dynamic equilibrium between gluon splitting and gluon recombination—a phenomenon known as saturation. The process of diffractive photonuclear production of a $J/ψ$ vector meson provides a direct insi…[Phys. Rev. Lett. 137, 052301] Published Wed Jul 29, 2026</w:t>
      </w:r>
    </w:p>
    <w:p>
      <w:pPr>
        <w:spacing w:before="120" w:after="120"/>
      </w:pPr>
      <w:r>
        <w:rPr>
          <w:sz w:val="18"/>
        </w:rPr>
        <w:t>——————————————————————————————————————————————————————————————————————</w:t>
      </w:r>
    </w:p>
    <w:p>
      <w:pPr>
        <w:spacing w:before="160" w:after="40" w:line="240" w:lineRule="auto"/>
      </w:pPr>
      <w:r>
        <w:rPr>
          <w:b/>
        </w:rPr>
        <w:t xml:space="preserve">[608] </w:t>
      </w:r>
      <w:hyperlink r:id="rId1548">
        <w:r>
          <w:rPr>
            <w:color w:val="1155CC"/>
            <w:u w:val="single"/>
          </w:rPr>
          <w:t>通过光捕获策略在碲超掺杂硅光电探测器中实现短波长红外量子效率的突破</w:t>
        </w:r>
      </w:hyperlink>
    </w:p>
    <w:p>
      <w:pPr>
        <w:spacing w:before="0" w:after="80"/>
      </w:pPr>
      <w:r>
        <w:rPr>
          <w:i/>
          <w:sz w:val="20"/>
        </w:rPr>
        <w:t>EN: Breakthrough in Short-Wavelength Infrared Quantum Efficiency in Te-Hyperdoped Silicon Photodetectors via Light-Trapping Strategies</w:t>
      </w:r>
    </w:p>
    <w:p>
      <w:pPr>
        <w:spacing w:before="0" w:after="120"/>
      </w:pPr>
      <w:r>
        <w:rPr>
          <w:b/>
        </w:rPr>
        <w:t xml:space="preserve">Source: </w:t>
      </w:r>
      <w:r>
        <w:t>Recent Articles in Phys. Rev. Lett.</w:t>
      </w:r>
      <w:r>
        <w:t xml:space="preserve">    </w:t>
      </w:r>
      <w:r>
        <w:rPr>
          <w:b/>
        </w:rPr>
        <w:t xml:space="preserve">Pub date: </w:t>
      </w:r>
      <w:r>
        <w:t>2026-07-29 10:00:00+00:00</w:t>
      </w:r>
      <w:r>
        <w:t xml:space="preserve">    </w:t>
      </w:r>
      <w:r>
        <w:rPr>
          <w:b/>
        </w:rPr>
        <w:t xml:space="preserve">DOI: </w:t>
      </w:r>
      <w:hyperlink r:id="rId1549">
        <w:r>
          <w:rPr>
            <w:color w:val="1155CC"/>
            <w:u w:val="single"/>
          </w:rPr>
          <w:t>10.1103/96rx-zx6l</w:t>
        </w:r>
      </w:hyperlink>
    </w:p>
    <w:p>
      <w:pPr>
        <w:spacing w:before="0" w:after="120"/>
      </w:pPr>
      <w:r>
        <w:rPr>
          <w:b/>
        </w:rPr>
        <w:t xml:space="preserve">Notes: </w:t>
      </w:r>
      <w:r>
        <w:t>abstract_source=rss_description</w:t>
      </w:r>
    </w:p>
    <w:p>
      <w:pPr>
        <w:spacing w:before="0" w:after="80" w:lineRule="auto" w:line="276"/>
      </w:pPr>
      <w:r>
        <w:rPr>
          <w:b/>
        </w:rPr>
        <w:t xml:space="preserve">摘要（ZH）: </w:t>
      </w:r>
      <w:r>
        <w:t>作者：E. García-Hemme、R. Benítez-Fernández、S. Duarte-Cano、F. Pérez-Zenteno、S. Algaidy、C. Mata-Alonso、S. de Castro-Romero、R. García-Hernansanz、J. Olea、A. del Prado、E. San Andrés、I. Mártil 和 D. Pastor用于兼容 CMOS 的夜视技术。[Phys.莱特牧师。 137, 057002] 2026 年 7 月 29 日星期三发布</w:t>
      </w:r>
    </w:p>
    <w:p>
      <w:pPr>
        <w:spacing w:before="0" w:after="200" w:lineRule="auto" w:line="276"/>
      </w:pPr>
      <w:r>
        <w:rPr>
          <w:b/>
        </w:rPr>
        <w:t xml:space="preserve">Abstract (EN): </w:t>
      </w:r>
      <w:r>
        <w:t>Author(s): E. García-Hemme, R. Benítez-Fernández, S. Duarte-Cano, F. Pérez-Zenteno, S. Algaidy, C. Mata-Alonso, S. de Castro-Romero, R. García-Hernansanz, J. Olea, A. del Prado, E. San Andrés, I. Mártil, and D. PastorA new light-trapping architecture could lead to CMOS-compatible night-vision technology.[Phys. Rev. Lett. 137, 057002] Published Wed Jul 29, 2026</w:t>
      </w:r>
    </w:p>
    <w:p>
      <w:pPr>
        <w:spacing w:before="120" w:after="120"/>
      </w:pPr>
      <w:r>
        <w:rPr>
          <w:sz w:val="18"/>
        </w:rPr>
        <w:t>——————————————————————————————————————————————————————————————————————</w:t>
      </w:r>
    </w:p>
    <w:p>
      <w:pPr>
        <w:spacing w:before="160" w:after="40" w:line="240" w:lineRule="auto"/>
      </w:pPr>
      <w:r>
        <w:rPr>
          <w:b/>
        </w:rPr>
        <w:t xml:space="preserve">[609] </w:t>
      </w:r>
      <w:hyperlink r:id="rId1550">
        <w:r>
          <w:rPr>
            <w:color w:val="1155CC"/>
            <w:u w:val="single"/>
          </w:rPr>
          <w:t>富同位素六方氮化硼中的 Fröhlich 型极化子</w:t>
        </w:r>
      </w:hyperlink>
    </w:p>
    <w:p>
      <w:pPr>
        <w:spacing w:before="0" w:after="80"/>
      </w:pPr>
      <w:r>
        <w:rPr>
          <w:i/>
          <w:sz w:val="20"/>
        </w:rPr>
        <w:t>EN: Fröhlich-Type Polarons in Isotopically Enriched Hexagonal Boron Nitride</w:t>
      </w:r>
    </w:p>
    <w:p>
      <w:pPr>
        <w:spacing w:before="0" w:after="120"/>
      </w:pPr>
      <w:r>
        <w:rPr>
          <w:b/>
        </w:rPr>
        <w:t xml:space="preserve">Source: </w:t>
      </w:r>
      <w:r>
        <w:t>Recent Articles in Phys. Rev. Lett.</w:t>
      </w:r>
      <w:r>
        <w:t xml:space="preserve">    </w:t>
      </w:r>
      <w:r>
        <w:rPr>
          <w:b/>
        </w:rPr>
        <w:t xml:space="preserve">Pub date: </w:t>
      </w:r>
      <w:r>
        <w:t>2026-07-29 10:00:00+00:00</w:t>
      </w:r>
      <w:r>
        <w:t xml:space="preserve">    </w:t>
      </w:r>
      <w:r>
        <w:rPr>
          <w:b/>
        </w:rPr>
        <w:t xml:space="preserve">DOI: </w:t>
      </w:r>
      <w:hyperlink r:id="rId1551">
        <w:r>
          <w:rPr>
            <w:color w:val="1155CC"/>
            <w:u w:val="single"/>
          </w:rPr>
          <w:t>10.1103/b8n2-tl4n</w:t>
        </w:r>
      </w:hyperlink>
    </w:p>
    <w:p>
      <w:pPr>
        <w:spacing w:before="0" w:after="120"/>
      </w:pPr>
      <w:r>
        <w:rPr>
          <w:b/>
        </w:rPr>
        <w:t xml:space="preserve">Notes: </w:t>
      </w:r>
      <w:r>
        <w:t>abstract_source=rss_description</w:t>
      </w:r>
    </w:p>
    <w:p>
      <w:pPr>
        <w:spacing w:before="0" w:after="80" w:lineRule="auto" w:line="276"/>
      </w:pPr>
      <w:r>
        <w:rPr>
          <w:b/>
        </w:rPr>
        <w:t xml:space="preserve">摘要（ZH）: </w:t>
      </w:r>
      <w:r>
        <w:t>作者：Ioannis Chatzakis、Timur Abdilov、Elliott Walker、Jaime Freitas、Song Liu 和 James H. Edgar 激子-声子相互作用在定义六方氮化硼 (hBN) 的光学响应方面发挥着核心作用，但其定量测定仍然不完整。在这里，我们利用低温阴极发光揭示了富硼 10 六方氮化硼中的 Fröhlich 型激子-声子耦合……[Phys.莱特牧师。 137, 056904] 2026 年 7 月 29 日星期三发布</w:t>
      </w:r>
    </w:p>
    <w:p>
      <w:pPr>
        <w:spacing w:before="0" w:after="200" w:lineRule="auto" w:line="276"/>
      </w:pPr>
      <w:r>
        <w:rPr>
          <w:b/>
        </w:rPr>
        <w:t xml:space="preserve">Abstract (EN): </w:t>
      </w:r>
      <w:r>
        <w:t>Author(s): Ioannis Chatzakis, Timur Abdilov, Elliott Walker, Jaime Freitas, Song Liu, and James H. EdgarExciton-phonon interactions play a central role in defining the optical response of hexagonal boron nitride (hBN), yet their quantitative determination has remained incomplete. Here, we reveal the Fröhlich-type exciton-phonon coupling in boron-10-enriched hBN using low-temperature cathodoluminescenc…[Phys. Rev. Lett. 137, 056904] Published Wed Jul 29, 2026</w:t>
      </w:r>
    </w:p>
    <w:p>
      <w:pPr>
        <w:spacing w:before="120" w:after="120"/>
      </w:pPr>
      <w:r>
        <w:rPr>
          <w:sz w:val="18"/>
        </w:rPr>
        <w:t>——————————————————————————————————————————————————————————————————————</w:t>
      </w:r>
    </w:p>
    <w:p>
      <w:pPr>
        <w:spacing w:before="160" w:after="40" w:line="240" w:lineRule="auto"/>
      </w:pPr>
      <w:r>
        <w:rPr>
          <w:b/>
        </w:rPr>
        <w:t xml:space="preserve">[610] </w:t>
      </w:r>
      <w:hyperlink r:id="rId1552">
        <w:r>
          <w:rPr>
            <w:color w:val="1155CC"/>
            <w:u w:val="single"/>
          </w:rPr>
          <w:t>轴向多极级双圆拉曼光学活性</w:t>
        </w:r>
      </w:hyperlink>
    </w:p>
    <w:p>
      <w:pPr>
        <w:spacing w:before="0" w:after="80"/>
      </w:pPr>
      <w:r>
        <w:rPr>
          <w:i/>
          <w:sz w:val="20"/>
        </w:rPr>
        <w:t>EN: Dual-Circular Raman Optical Activity of Axial Multipolar Order</w:t>
      </w:r>
    </w:p>
    <w:p>
      <w:pPr>
        <w:spacing w:before="0" w:after="120"/>
      </w:pPr>
      <w:r>
        <w:rPr>
          <w:b/>
        </w:rPr>
        <w:t xml:space="preserve">Source: </w:t>
      </w:r>
      <w:r>
        <w:t>Recent Articles in Phys. Rev. Lett.</w:t>
      </w:r>
      <w:r>
        <w:t xml:space="preserve">    </w:t>
      </w:r>
      <w:r>
        <w:rPr>
          <w:b/>
        </w:rPr>
        <w:t xml:space="preserve">Pub date: </w:t>
      </w:r>
      <w:r>
        <w:t>2026-07-29 10:00:00+00:00</w:t>
      </w:r>
      <w:r>
        <w:t xml:space="preserve">    </w:t>
      </w:r>
      <w:r>
        <w:rPr>
          <w:b/>
        </w:rPr>
        <w:t xml:space="preserve">DOI: </w:t>
      </w:r>
      <w:hyperlink r:id="rId1553">
        <w:r>
          <w:rPr>
            <w:color w:val="1155CC"/>
            <w:u w:val="single"/>
          </w:rPr>
          <w:t>10.1103/m2dl-ghbf</w:t>
        </w:r>
      </w:hyperlink>
    </w:p>
    <w:p>
      <w:pPr>
        <w:spacing w:before="0" w:after="120"/>
      </w:pPr>
      <w:r>
        <w:rPr>
          <w:b/>
        </w:rPr>
        <w:t xml:space="preserve">Notes: </w:t>
      </w:r>
      <w:r>
        <w:t>abstract_source=rss_description</w:t>
      </w:r>
    </w:p>
    <w:p>
      <w:pPr>
        <w:spacing w:before="0" w:after="80" w:lineRule="auto" w:line="276"/>
      </w:pPr>
      <w:r>
        <w:rPr>
          <w:b/>
        </w:rPr>
        <w:t xml:space="preserve">摘要（ZH）: </w:t>
      </w:r>
      <w:r>
        <w:t>作者：Hikaru Watanabe、Rikuto Oiwa、Hitoshi Mori 和 Ryotaro Arita 多极序（例如八极序）是凝聚态物理中的一个关键概念，特别是考虑到难以捉摸的隐藏序。然而，由于缺乏与传统外部刺激的直接耦合，其实验识别仍然具有挑战性。在这封信中，我们建议……[物理。莱特牧师。 137, 056903] 2026 年 7 月 29 日星期三发布</w:t>
      </w:r>
    </w:p>
    <w:p>
      <w:pPr>
        <w:spacing w:before="0" w:after="200" w:lineRule="auto" w:line="276"/>
      </w:pPr>
      <w:r>
        <w:rPr>
          <w:b/>
        </w:rPr>
        <w:t xml:space="preserve">Abstract (EN): </w:t>
      </w:r>
      <w:r>
        <w:t>Author(s): Hikaru Watanabe, Rikuto Oiwa, Hitoshi Mori, and Ryotaro AritaMultipolar order, such as octupolar order, is a key concept in condensed matter physics, particularly in light of elusive hidden orders. However, its experimental identification remains challenging due to the absence of direct coupling to conventional external stimuli. In this Letter, we propose tha…[Phys. Rev. Lett. 137, 056903] Published Wed Jul 29, 2026</w:t>
      </w:r>
    </w:p>
    <w:p>
      <w:pPr>
        <w:spacing w:before="120" w:after="120"/>
      </w:pPr>
      <w:r>
        <w:rPr>
          <w:sz w:val="18"/>
        </w:rPr>
        <w:t>——————————————————————————————————————————————————————————————————————</w:t>
      </w:r>
    </w:p>
    <w:p>
      <w:pPr>
        <w:spacing w:before="160" w:after="40" w:line="240" w:lineRule="auto"/>
      </w:pPr>
      <w:r>
        <w:rPr>
          <w:b/>
        </w:rPr>
        <w:t xml:space="preserve">[611] </w:t>
      </w:r>
      <w:hyperlink r:id="rId1554">
        <w:r>
          <w:rPr>
            <w:color w:val="1155CC"/>
            <w:u w:val="single"/>
          </w:rPr>
          <w:t>操纵拓扑边界态：从角界到任意位置的扩展态</w:t>
        </w:r>
      </w:hyperlink>
    </w:p>
    <w:p>
      <w:pPr>
        <w:spacing w:before="0" w:after="80"/>
      </w:pPr>
      <w:r>
        <w:rPr>
          <w:i/>
          <w:sz w:val="20"/>
        </w:rPr>
        <w:t>EN: Manipulating Topological Boundary States: From Corner-Bound to Arbitrarily Positioned Extended States</w:t>
      </w:r>
    </w:p>
    <w:p>
      <w:pPr>
        <w:spacing w:before="0" w:after="120"/>
      </w:pPr>
      <w:r>
        <w:rPr>
          <w:b/>
        </w:rPr>
        <w:t xml:space="preserve">Source: </w:t>
      </w:r>
      <w:r>
        <w:t>Recent Articles in Phys. Rev. Lett.</w:t>
      </w:r>
      <w:r>
        <w:t xml:space="preserve">    </w:t>
      </w:r>
      <w:r>
        <w:rPr>
          <w:b/>
        </w:rPr>
        <w:t xml:space="preserve">Pub date: </w:t>
      </w:r>
      <w:r>
        <w:t>2026-07-29 10:00:00+00:00</w:t>
      </w:r>
      <w:r>
        <w:t xml:space="preserve">    </w:t>
      </w:r>
      <w:r>
        <w:rPr>
          <w:b/>
        </w:rPr>
        <w:t xml:space="preserve">DOI: </w:t>
      </w:r>
      <w:hyperlink r:id="rId1555">
        <w:r>
          <w:rPr>
            <w:color w:val="1155CC"/>
            <w:u w:val="single"/>
          </w:rPr>
          <w:t>10.1103/cpzv-qc5v</w:t>
        </w:r>
      </w:hyperlink>
    </w:p>
    <w:p>
      <w:pPr>
        <w:spacing w:before="0" w:after="120"/>
      </w:pPr>
      <w:r>
        <w:rPr>
          <w:b/>
        </w:rPr>
        <w:t xml:space="preserve">Notes: </w:t>
      </w:r>
      <w:r>
        <w:t>abstract_source=rss_description</w:t>
      </w:r>
    </w:p>
    <w:p>
      <w:pPr>
        <w:spacing w:before="0" w:after="80" w:lineRule="auto" w:line="276"/>
      </w:pPr>
      <w:r>
        <w:rPr>
          <w:b/>
        </w:rPr>
        <w:t xml:space="preserve">摘要（ZH）: </w:t>
      </w:r>
      <w:r>
        <w:t>作者：Yating Yang、Di Zhu、Jien Wu、Yuzhen Yang、Han Jia、Zhongbo Yan、Weiyin Deng 和 Zengyou Liu 具有体边界对应的拓扑绝缘体已在凝聚态、光子和声子系统中得到了广泛的探索。二维二阶拓扑绝缘体的典型特征是位于尖角处的零维边界态。虽然这些角落...[物理。莱特牧师。 137, 056604] 2026 年 7 月 29 日星期三发布</w:t>
      </w:r>
    </w:p>
    <w:p>
      <w:pPr>
        <w:spacing w:before="0" w:after="200" w:lineRule="auto" w:line="276"/>
      </w:pPr>
      <w:r>
        <w:rPr>
          <w:b/>
        </w:rPr>
        <w:t xml:space="preserve">Abstract (EN): </w:t>
      </w:r>
      <w:r>
        <w:t>Author(s): Yating Yang, Di Zhu, Jien Wu, Yuzhen Yang, Han Jia, Zhongbo Yan, Weiyin Deng, and Zhengyou LiuTopological insulators with bulk-boundary correspondence have been widely explored in condensed-matter, photonic, and phononic systems. Two-dimensional second-order topological insulators are typically characterized by zero-dimensional boundary states localized at sharp corners. While these corner b…[Phys. Rev. Lett. 137, 056604] Published Wed Jul 29, 2026</w:t>
      </w:r>
    </w:p>
    <w:p>
      <w:pPr>
        <w:spacing w:before="120" w:after="120"/>
      </w:pPr>
      <w:r>
        <w:rPr>
          <w:sz w:val="18"/>
        </w:rPr>
        <w:t>——————————————————————————————————————————————————————————————————————</w:t>
      </w:r>
    </w:p>
    <w:p>
      <w:pPr>
        <w:spacing w:before="160" w:after="40" w:line="240" w:lineRule="auto"/>
      </w:pPr>
      <w:r>
        <w:rPr>
          <w:b/>
        </w:rPr>
        <w:t xml:space="preserve">[612] </w:t>
      </w:r>
      <w:hyperlink r:id="rId1556">
        <w:r>
          <w:rPr>
            <w:color w:val="1155CC"/>
            <w:u w:val="single"/>
          </w:rPr>
          <w:t>光反馈引起的玻色-爱因斯坦凝聚体中的非互易和长程三体相互作用</w:t>
        </w:r>
      </w:hyperlink>
    </w:p>
    <w:p>
      <w:pPr>
        <w:spacing w:before="0" w:after="80"/>
      </w:pPr>
      <w:r>
        <w:rPr>
          <w:i/>
          <w:sz w:val="20"/>
        </w:rPr>
        <w:t>EN: Nonreciprocal and Long-Range Three-Body Interactions in Bose-Einstein Condensates Induced by Optical Feedback</w:t>
      </w:r>
    </w:p>
    <w:p>
      <w:pPr>
        <w:spacing w:before="0" w:after="120"/>
      </w:pPr>
      <w:r>
        <w:rPr>
          <w:b/>
        </w:rPr>
        <w:t xml:space="preserve">Source: </w:t>
      </w:r>
      <w:r>
        <w:t>Recent Articles in Phys. Rev. Lett.</w:t>
      </w:r>
      <w:r>
        <w:t xml:space="preserve">    </w:t>
      </w:r>
      <w:r>
        <w:rPr>
          <w:b/>
        </w:rPr>
        <w:t xml:space="preserve">Pub date: </w:t>
      </w:r>
      <w:r>
        <w:t>2026-07-29 10:00:00+00:00</w:t>
      </w:r>
      <w:r>
        <w:t xml:space="preserve">    </w:t>
      </w:r>
      <w:r>
        <w:rPr>
          <w:b/>
        </w:rPr>
        <w:t xml:space="preserve">DOI: </w:t>
      </w:r>
      <w:hyperlink r:id="rId1557">
        <w:r>
          <w:rPr>
            <w:color w:val="1155CC"/>
            <w:u w:val="single"/>
          </w:rPr>
          <w:t>10.1103/bt6x-bjq9</w:t>
        </w:r>
      </w:hyperlink>
    </w:p>
    <w:p>
      <w:pPr>
        <w:spacing w:before="0" w:after="120"/>
      </w:pPr>
      <w:r>
        <w:rPr>
          <w:b/>
        </w:rPr>
        <w:t xml:space="preserve">Notes: </w:t>
      </w:r>
      <w:r>
        <w:t>abstract_source=rss_description</w:t>
      </w:r>
    </w:p>
    <w:p>
      <w:pPr>
        <w:spacing w:before="0" w:after="80" w:lineRule="auto" w:line="276"/>
      </w:pPr>
      <w:r>
        <w:rPr>
          <w:b/>
        </w:rPr>
        <w:t xml:space="preserve">摘要（ZH）: </w:t>
      </w:r>
      <w:r>
        <w:t>作者：张一清、何良军、浦瀚、周正伟和张永昌我们提出通过将准二维玻色-爱因斯坦凝聚体放置在两个反射镜前面并用二色激光束照射它来在量子气体中产生原子-原子三体相互作用。这些泵浦场两次穿过凝结水，从而产生反馈效应……[物理。莱特牧师。 137, 053201] 2026 年 7 月 29 日星期三发布</w:t>
      </w:r>
    </w:p>
    <w:p>
      <w:pPr>
        <w:spacing w:before="0" w:after="200" w:lineRule="auto" w:line="276"/>
      </w:pPr>
      <w:r>
        <w:rPr>
          <w:b/>
        </w:rPr>
        <w:t xml:space="preserve">Abstract (EN): </w:t>
      </w:r>
      <w:r>
        <w:t>Author(s): Yi-Qing Zhang, Liang-Jun He, Han Pu, Zheng-Wei Zhou, and Yong-Chang ZhangWe propose generating atom-atom three-body interactions in quantum gases by placing a quasi-two-dimensional Bose-Einstein condensate in front of two reflecting mirrors and illuminating it with dichromatic laser beams. These pumping fields traverse the condensate twice, thereby inducing a feedback ef…[Phys. Rev. Lett. 137, 053201] Published Wed Jul 29, 2026</w:t>
      </w:r>
    </w:p>
    <w:p>
      <w:pPr>
        <w:spacing w:before="120" w:after="120"/>
      </w:pPr>
      <w:r>
        <w:rPr>
          <w:sz w:val="18"/>
        </w:rPr>
        <w:t>——————————————————————————————————————————————————————————————————————</w:t>
      </w:r>
    </w:p>
    <w:p>
      <w:pPr>
        <w:spacing w:before="160" w:after="40" w:line="240" w:lineRule="auto"/>
      </w:pPr>
      <w:r>
        <w:rPr>
          <w:b/>
        </w:rPr>
        <w:t xml:space="preserve">[613] </w:t>
      </w:r>
      <w:hyperlink r:id="rId1558">
        <w:r>
          <w:rPr>
            <w:color w:val="1155CC"/>
            <w:u w:val="single"/>
          </w:rPr>
          <w:t>超选择规则的非高斯性</w:t>
        </w:r>
      </w:hyperlink>
    </w:p>
    <w:p>
      <w:pPr>
        <w:spacing w:before="0" w:after="80"/>
      </w:pPr>
      <w:r>
        <w:rPr>
          <w:i/>
          <w:sz w:val="20"/>
        </w:rPr>
        <w:t>EN: Non-Gaussianity from Superselection Rules</w:t>
      </w:r>
    </w:p>
    <w:p>
      <w:pPr>
        <w:spacing w:before="0" w:after="120"/>
      </w:pPr>
      <w:r>
        <w:rPr>
          <w:b/>
        </w:rPr>
        <w:t xml:space="preserve">Source: </w:t>
      </w:r>
      <w:r>
        <w:t>Recent Articles in Phys. Rev. Lett.</w:t>
      </w:r>
      <w:r>
        <w:t xml:space="preserve">    </w:t>
      </w:r>
      <w:r>
        <w:rPr>
          <w:b/>
        </w:rPr>
        <w:t xml:space="preserve">Pub date: </w:t>
      </w:r>
      <w:r>
        <w:t>2026-07-29 10:00:00+00:00</w:t>
      </w:r>
      <w:r>
        <w:t xml:space="preserve">    </w:t>
      </w:r>
      <w:r>
        <w:rPr>
          <w:b/>
        </w:rPr>
        <w:t xml:space="preserve">DOI: </w:t>
      </w:r>
      <w:hyperlink r:id="rId1559">
        <w:r>
          <w:rPr>
            <w:color w:val="1155CC"/>
            <w:u w:val="single"/>
          </w:rPr>
          <w:t>10.1103/5fl9-89j4</w:t>
        </w:r>
      </w:hyperlink>
    </w:p>
    <w:p>
      <w:pPr>
        <w:spacing w:before="0" w:after="120"/>
      </w:pPr>
      <w:r>
        <w:rPr>
          <w:b/>
        </w:rPr>
        <w:t xml:space="preserve">Notes: </w:t>
      </w:r>
      <w:r>
        <w:t>abstract_source=rss_description</w:t>
      </w:r>
    </w:p>
    <w:p>
      <w:pPr>
        <w:spacing w:before="0" w:after="80" w:lineRule="auto" w:line="276"/>
      </w:pPr>
      <w:r>
        <w:rPr>
          <w:b/>
        </w:rPr>
        <w:t xml:space="preserve">摘要（ZH）: </w:t>
      </w:r>
      <w:r>
        <w:t>作者：Nicolas Moulonguet、Eloi Descamps、José Lorgeré、Astghik Saharyan、Arne Keller 和 Pérola Milman 恒星等级在物理上是从超选择规则中产生的，并从内在多模纠缠的角度提供了对非高斯性的解释。莱特牧师。 137, 050203] 2026 年 7 月 29 日星期三发布</w:t>
      </w:r>
    </w:p>
    <w:p>
      <w:pPr>
        <w:spacing w:before="0" w:after="200" w:lineRule="auto" w:line="276"/>
      </w:pPr>
      <w:r>
        <w:rPr>
          <w:b/>
        </w:rPr>
        <w:t xml:space="preserve">Abstract (EN): </w:t>
      </w:r>
      <w:r>
        <w:t>Author(s): Nicolas Moulonguet, Eloi Descamps, José Lorgeré, Astghik Saharyan, Arne Keller, and Pérola MilmanStellar rank physically emerges from superselection rules and provides an interpretation to non-Gaussianity in terms of intrinsic multimode entanglement.[Phys. Rev. Lett. 137, 050203] Published Wed Jul 29, 2026</w:t>
      </w:r>
    </w:p>
    <w:p>
      <w:pPr>
        <w:spacing w:before="120" w:after="120"/>
      </w:pPr>
      <w:r>
        <w:rPr>
          <w:sz w:val="18"/>
        </w:rPr>
        <w:t>——————————————————————————————————————————————————————————————————————</w:t>
      </w:r>
    </w:p>
    <w:p>
      <w:pPr>
        <w:spacing w:before="160" w:after="40" w:line="240" w:lineRule="auto"/>
      </w:pPr>
      <w:r>
        <w:rPr>
          <w:b/>
        </w:rPr>
        <w:t xml:space="preserve">[614] </w:t>
      </w:r>
      <w:hyperlink r:id="rId1560">
        <w:r>
          <w:rPr>
            <w:color w:val="1155CC"/>
            <w:u w:val="single"/>
          </w:rPr>
          <w:t>重正化群中的紧自测试多部分量子贝尔不等式</w:t>
        </w:r>
      </w:hyperlink>
    </w:p>
    <w:p>
      <w:pPr>
        <w:spacing w:before="0" w:after="80"/>
      </w:pPr>
      <w:r>
        <w:rPr>
          <w:i/>
          <w:sz w:val="20"/>
        </w:rPr>
        <w:t>EN: Tight and Self-Testing Multipartite Quantum Bell Inequalities from the Renormalization Group</w:t>
      </w:r>
    </w:p>
    <w:p>
      <w:pPr>
        <w:spacing w:before="0" w:after="120"/>
      </w:pPr>
      <w:r>
        <w:rPr>
          <w:b/>
        </w:rPr>
        <w:t xml:space="preserve">Source: </w:t>
      </w:r>
      <w:r>
        <w:t>Recent Articles in Phys. Rev. Lett.</w:t>
      </w:r>
      <w:r>
        <w:t xml:space="preserve">    </w:t>
      </w:r>
      <w:r>
        <w:rPr>
          <w:b/>
        </w:rPr>
        <w:t xml:space="preserve">Pub date: </w:t>
      </w:r>
      <w:r>
        <w:t>2026-07-29 10:00:00+00:00</w:t>
      </w:r>
      <w:r>
        <w:t xml:space="preserve">    </w:t>
      </w:r>
      <w:r>
        <w:rPr>
          <w:b/>
        </w:rPr>
        <w:t xml:space="preserve">DOI: </w:t>
      </w:r>
      <w:hyperlink r:id="rId1561">
        <w:r>
          <w:rPr>
            <w:color w:val="1155CC"/>
            <w:u w:val="single"/>
          </w:rPr>
          <w:t>10.1103/993r-lzzm</w:t>
        </w:r>
      </w:hyperlink>
    </w:p>
    <w:p>
      <w:pPr>
        <w:spacing w:before="0" w:after="120"/>
      </w:pPr>
      <w:r>
        <w:rPr>
          <w:b/>
        </w:rPr>
        <w:t xml:space="preserve">Notes: </w:t>
      </w:r>
      <w:r>
        <w:t>abstract_source=rss_description</w:t>
      </w:r>
    </w:p>
    <w:p>
      <w:pPr>
        <w:spacing w:before="0" w:after="80" w:lineRule="auto" w:line="276"/>
      </w:pPr>
      <w:r>
        <w:rPr>
          <w:b/>
        </w:rPr>
        <w:t xml:space="preserve">摘要（ZH）: </w:t>
      </w:r>
      <w:r>
        <w:t>作者：保罗·阿比索 (Paolo Abiuso)、朱利安·费舍尔 (Julian Fischer) 和米格尔·纳瓦斯库埃 (Miguel Navascués) 为由多个独立方组成的系统设计量子贝尔不等式 (QBI) 的困难阻碍了理解多方量子非定域性的尝试。在这封信中，我们介绍了紧连接器的概念，这是一类张量，如果根据……[物理。莱特牧师。 137, 050204] 2026 年 7 月 29 日星期三发布</w:t>
      </w:r>
    </w:p>
    <w:p>
      <w:pPr>
        <w:spacing w:before="0" w:after="200" w:lineRule="auto" w:line="276"/>
      </w:pPr>
      <w:r>
        <w:rPr>
          <w:b/>
        </w:rPr>
        <w:t xml:space="preserve">Abstract (EN): </w:t>
      </w:r>
      <w:r>
        <w:t>Author(s): Paolo Abiuso, Julian Fischer, and Miguel NavascuésAttempts to understand multipartite quantum nonlocality are thwarted by the difficulty of devising quantum Bell inequalities (QBI) for systems composed of more than a few separate parties. In this Letter, we introduce the notion of tight connectors, a class of tensors which, if contracted according …[Phys. Rev. Lett. 137, 050204] Published Wed Jul 29, 2026</w:t>
      </w:r>
    </w:p>
    <w:p>
      <w:pPr>
        <w:spacing w:before="120" w:after="120"/>
      </w:pPr>
      <w:r>
        <w:rPr>
          <w:sz w:val="18"/>
        </w:rPr>
        <w:t>——————————————————————————————————————————————————————————————————————</w:t>
      </w:r>
    </w:p>
    <w:p>
      <w:pPr>
        <w:spacing w:before="160" w:after="40" w:line="240" w:lineRule="auto"/>
      </w:pPr>
      <w:r>
        <w:rPr>
          <w:b/>
        </w:rPr>
        <w:t xml:space="preserve">[615] </w:t>
      </w:r>
      <w:hyperlink r:id="rId1562">
        <w:r>
          <w:rPr>
            <w:color w:val="1155CC"/>
            <w:u w:val="single"/>
          </w:rPr>
          <w:t>普遍性中出现的普遍性：随机量子散射中埃里克森跃迁的推导和实验验证</w:t>
        </w:r>
      </w:hyperlink>
    </w:p>
    <w:p>
      <w:pPr>
        <w:spacing w:before="0" w:after="80"/>
      </w:pPr>
      <w:r>
        <w:rPr>
          <w:i/>
          <w:sz w:val="20"/>
        </w:rPr>
        <w:t>EN: Universality Emerging in a Universality: Derivation of the Ericson Transition in Stochastic Quantum Scattering and Experimental Validation</w:t>
      </w:r>
    </w:p>
    <w:p>
      <w:pPr>
        <w:spacing w:before="0" w:after="120"/>
      </w:pPr>
      <w:r>
        <w:rPr>
          <w:b/>
        </w:rPr>
        <w:t xml:space="preserve">Source: </w:t>
      </w:r>
      <w:r>
        <w:t>Recent Articles in Phys. Rev. Lett.</w:t>
      </w:r>
      <w:r>
        <w:t xml:space="preserve">    </w:t>
      </w:r>
      <w:r>
        <w:rPr>
          <w:b/>
        </w:rPr>
        <w:t xml:space="preserve">Pub date: </w:t>
      </w:r>
      <w:r>
        <w:t>2026-07-29 10:00:00+00:00</w:t>
      </w:r>
      <w:r>
        <w:t xml:space="preserve">    </w:t>
      </w:r>
      <w:r>
        <w:rPr>
          <w:b/>
        </w:rPr>
        <w:t xml:space="preserve">DOI: </w:t>
      </w:r>
      <w:hyperlink r:id="rId1563">
        <w:r>
          <w:rPr>
            <w:color w:val="1155CC"/>
            <w:u w:val="single"/>
          </w:rPr>
          <w:t>10.1103/3gvv-2hq6</w:t>
        </w:r>
      </w:hyperlink>
    </w:p>
    <w:p>
      <w:pPr>
        <w:spacing w:before="0" w:after="120"/>
      </w:pPr>
      <w:r>
        <w:rPr>
          <w:b/>
        </w:rPr>
        <w:t xml:space="preserve">Notes: </w:t>
      </w:r>
      <w:r>
        <w:t>abstract_source=rss_description</w:t>
      </w:r>
    </w:p>
    <w:p>
      <w:pPr>
        <w:spacing w:before="0" w:after="80" w:lineRule="auto" w:line="276"/>
      </w:pPr>
      <w:r>
        <w:rPr>
          <w:b/>
        </w:rPr>
        <w:t xml:space="preserve">摘要（ZH）: </w:t>
      </w:r>
      <w:r>
        <w:t>作者：Simon Köhnes、Jiongning Che、Barbara Dietz 和 Thomas Guhr 在较低能量下，散射实验中的共振通常是孤立的。在量子混沌多体、无序或一般随机系统中，共振在较大能量处重叠。最终，达到了埃里克森状态，其中横截面表现得像一个随机函数。……[物理。莱特牧师。 137, 050403] 2026 年 7 月 29 日星期三发布</w:t>
      </w:r>
    </w:p>
    <w:p>
      <w:pPr>
        <w:spacing w:before="0" w:after="200" w:lineRule="auto" w:line="276"/>
      </w:pPr>
      <w:r>
        <w:rPr>
          <w:b/>
        </w:rPr>
        <w:t xml:space="preserve">Abstract (EN): </w:t>
      </w:r>
      <w:r>
        <w:t>Author(s): Simon Köhnes, Jiongning Che, Barbara Dietz, and Thomas GuhrAt lower energies, the resonances in scattering experiments are often isolated. In quantum chaotic many-body, disordered, or generically stochastic systems, the resonances overlap at larger energies. Eventually, the Ericson regime is reached in which the cross section behaves like a random function.…[Phys. Rev. Lett. 137, 050403] Published Wed Jul 29, 2026</w:t>
      </w:r>
    </w:p>
    <w:p>
      <w:pPr>
        <w:spacing w:before="120" w:after="120"/>
      </w:pPr>
      <w:r>
        <w:rPr>
          <w:sz w:val="18"/>
        </w:rPr>
        <w:t>——————————————————————————————————————————————————————————————————————</w:t>
      </w:r>
    </w:p>
    <w:p>
      <w:pPr>
        <w:spacing w:before="160" w:after="40" w:line="240" w:lineRule="auto"/>
      </w:pPr>
      <w:r>
        <w:rPr>
          <w:b/>
        </w:rPr>
        <w:t xml:space="preserve">[616] </w:t>
      </w:r>
      <w:hyperlink r:id="rId1564">
        <w:r>
          <w:rPr>
            <w:color w:val="1155CC"/>
            <w:u w:val="single"/>
          </w:rPr>
          <w:t>高温限制惩罚高频量子涨落</w:t>
        </w:r>
      </w:hyperlink>
    </w:p>
    <w:p>
      <w:pPr>
        <w:spacing w:before="0" w:after="80"/>
      </w:pPr>
      <w:r>
        <w:rPr>
          <w:i/>
          <w:sz w:val="20"/>
        </w:rPr>
        <w:t>EN: High-Temperature Limit Penalizing High-Frequency Quantum Fluctuations</w:t>
      </w:r>
    </w:p>
    <w:p>
      <w:pPr>
        <w:spacing w:before="0" w:after="120"/>
      </w:pPr>
      <w:r>
        <w:rPr>
          <w:b/>
        </w:rPr>
        <w:t xml:space="preserve">Source: </w:t>
      </w:r>
      <w:r>
        <w:t>Recent Articles in Phys. Rev. Lett.</w:t>
      </w:r>
      <w:r>
        <w:t xml:space="preserve">    </w:t>
      </w:r>
      <w:r>
        <w:rPr>
          <w:b/>
        </w:rPr>
        <w:t xml:space="preserve">Pub date: </w:t>
      </w:r>
      <w:r>
        <w:t>2026-07-29 10:00:00+00:00</w:t>
      </w:r>
      <w:r>
        <w:t xml:space="preserve">    </w:t>
      </w:r>
      <w:r>
        <w:rPr>
          <w:b/>
        </w:rPr>
        <w:t xml:space="preserve">DOI: </w:t>
      </w:r>
      <w:hyperlink r:id="rId1565">
        <w:r>
          <w:rPr>
            <w:color w:val="1155CC"/>
            <w:u w:val="single"/>
          </w:rPr>
          <w:t>10.1103/kp9j-v4ss</w:t>
        </w:r>
      </w:hyperlink>
    </w:p>
    <w:p>
      <w:pPr>
        <w:spacing w:before="0" w:after="120"/>
      </w:pPr>
      <w:r>
        <w:rPr>
          <w:b/>
        </w:rPr>
        <w:t xml:space="preserve">Notes: </w:t>
      </w:r>
      <w:r>
        <w:t>abstract_source=rss_description</w:t>
      </w:r>
    </w:p>
    <w:p>
      <w:pPr>
        <w:spacing w:before="0" w:after="80" w:lineRule="auto" w:line="276"/>
      </w:pPr>
      <w:r>
        <w:rPr>
          <w:b/>
        </w:rPr>
        <w:t xml:space="preserve">摘要（ZH）: </w:t>
      </w:r>
      <w:r>
        <w:t>作者：Graeme Pleasance、Erik Aurell 和 Francesco Petruccione 我们重新审视具有欧姆谱密度的量子布朗运动 Caldeira-Leggett 模型，并在任意大截止频率下的新高温极限下得出对退相干内核的额外贡献。这一贡献揭示了一种新的经典化机制……[物理。莱特牧师。 137, 050405] 2026 年 7 月 29 日星期三发布</w:t>
      </w:r>
    </w:p>
    <w:p>
      <w:pPr>
        <w:spacing w:before="0" w:after="200" w:lineRule="auto" w:line="276"/>
      </w:pPr>
      <w:r>
        <w:rPr>
          <w:b/>
        </w:rPr>
        <w:t xml:space="preserve">Abstract (EN): </w:t>
      </w:r>
      <w:r>
        <w:t>Author(s): Graeme Pleasance, Erik Aurell, and Francesco PetruccioneWe revisit the Caldeira-Leggett model of quantum Brownian motion with Ohmic spectral density, and derive an additional contribution to the decoherence kernel in a new high-temperature limit at arbitrarily large cutoff frequency. This contribution reveals a novel mechanism for the classicalization of…[Phys. Rev. Lett. 137, 050405] Published Wed Jul 29, 2026</w:t>
      </w:r>
    </w:p>
    <w:p>
      <w:pPr>
        <w:spacing w:before="120" w:after="120"/>
      </w:pPr>
      <w:r>
        <w:rPr>
          <w:sz w:val="18"/>
        </w:rPr>
        <w:t>——————————————————————————————————————————————————————————————————————</w:t>
      </w:r>
    </w:p>
    <w:p>
      <w:pPr>
        <w:spacing w:before="160" w:after="40" w:line="240" w:lineRule="auto"/>
      </w:pPr>
      <w:r>
        <w:rPr>
          <w:b/>
        </w:rPr>
        <w:t xml:space="preserve">[617] </w:t>
      </w:r>
      <w:hyperlink r:id="rId1566">
        <w:r>
          <w:rPr>
            <w:color w:val="1155CC"/>
            <w:u w:val="single"/>
          </w:rPr>
          <w:t>搜索 ${K}_{L}→{π}^{0}{π}^{0}γγ$ 和 ${K}_{L}→{π}^{0}{π}^{0}X$，其中 KOTO 实验中 $X→γγ$</w:t>
        </w:r>
      </w:hyperlink>
    </w:p>
    <w:p>
      <w:pPr>
        <w:spacing w:before="0" w:after="80"/>
      </w:pPr>
      <w:r>
        <w:rPr>
          <w:i/>
          <w:sz w:val="20"/>
        </w:rPr>
        <w:t>EN: Search for ${K}_{L}→{π}^{0}{π}^{0}γγ$ and ${K}_{L}→{π}^{0}{π}^{0}X$ Where $X→γγ$ at the KOTO Experiment</w:t>
      </w:r>
    </w:p>
    <w:p>
      <w:pPr>
        <w:spacing w:before="0" w:after="120"/>
      </w:pPr>
      <w:r>
        <w:rPr>
          <w:b/>
        </w:rPr>
        <w:t xml:space="preserve">Source: </w:t>
      </w:r>
      <w:r>
        <w:t>Recent Articles in Phys. Rev. Lett.</w:t>
      </w:r>
      <w:r>
        <w:t xml:space="preserve">    </w:t>
      </w:r>
      <w:r>
        <w:rPr>
          <w:b/>
        </w:rPr>
        <w:t xml:space="preserve">Pub date: </w:t>
      </w:r>
      <w:r>
        <w:t>2026-07-29 10:00:00+00:00</w:t>
      </w:r>
      <w:r>
        <w:t xml:space="preserve">    </w:t>
      </w:r>
      <w:r>
        <w:rPr>
          <w:b/>
        </w:rPr>
        <w:t xml:space="preserve">DOI: </w:t>
      </w:r>
      <w:hyperlink r:id="rId1567">
        <w:r>
          <w:rPr>
            <w:color w:val="1155CC"/>
            <w:u w:val="single"/>
          </w:rPr>
          <w:t>10.1103/pt2h-99by</w:t>
        </w:r>
      </w:hyperlink>
    </w:p>
    <w:p>
      <w:pPr>
        <w:spacing w:before="0" w:after="120"/>
      </w:pPr>
      <w:r>
        <w:rPr>
          <w:b/>
        </w:rPr>
        <w:t xml:space="preserve">Notes: </w:t>
      </w:r>
      <w:r>
        <w:t>abstract_source=rss_description</w:t>
      </w:r>
    </w:p>
    <w:p>
      <w:pPr>
        <w:spacing w:before="0" w:after="80" w:lineRule="auto" w:line="276"/>
      </w:pPr>
      <w:r>
        <w:rPr>
          <w:b/>
        </w:rPr>
        <w:t xml:space="preserve">摘要（ZH）: </w:t>
      </w:r>
      <w:r>
        <w:t>作者：J. Redeker 等人。我们对 ${K}_{L}→{π}^{0}{π}^{0}X$ 进行了搜索，其中 $X$ 可能是一种迅速衰变为两个光子的轴子粒子，并且在 KOTO 实验中使用 2021 年采集的数据首次搜索 ${K}_{L}→{π}^{0}{π}^{0}γγ$。搜索是针对 $X$ 质量进行的在 $160–220\text{ }\t…[物理。莱特牧师。 137, 051804] 2026 年 7 月 29 日星期三发布</w:t>
      </w:r>
    </w:p>
    <w:p>
      <w:pPr>
        <w:spacing w:before="0" w:after="200" w:lineRule="auto" w:line="276"/>
      </w:pPr>
      <w:r>
        <w:rPr>
          <w:b/>
        </w:rPr>
        <w:t xml:space="preserve">Abstract (EN): </w:t>
      </w:r>
      <w:r>
        <w:t>Author(s): J. Redeker et al.We performed searches for ${K}_{L}→{π}^{0}{π}^{0}X$ where $X$ may be an axionlike particle that promptly decays to two photons, and the first search for ${K}_{L}→{π}^{0}{π}^{0}γγ$ at the KOTO experiment using data taken in 2021. The search is performed for $X$ mass in the range of $160–220\text{ }\t…[Phys. Rev. Lett. 137, 051804] Published Wed Jul 29, 2026</w:t>
      </w:r>
    </w:p>
    <w:p>
      <w:pPr>
        <w:spacing w:before="120" w:after="120"/>
      </w:pPr>
      <w:r>
        <w:rPr>
          <w:sz w:val="18"/>
        </w:rPr>
        <w:t>——————————————————————————————————————————————————————————————————————</w:t>
      </w:r>
    </w:p>
    <w:p>
      <w:pPr>
        <w:spacing w:before="160" w:after="40" w:line="240" w:lineRule="auto"/>
      </w:pPr>
      <w:r>
        <w:rPr>
          <w:b/>
        </w:rPr>
        <w:t xml:space="preserve">[618] </w:t>
      </w:r>
      <w:hyperlink r:id="rId1568">
        <w:r>
          <w:rPr>
            <w:color w:val="1155CC"/>
            <w:u w:val="single"/>
          </w:rPr>
          <w:t>渗透二维超导体中的三阶非线性输运</w:t>
        </w:r>
      </w:hyperlink>
    </w:p>
    <w:p>
      <w:pPr>
        <w:spacing w:before="0" w:after="80"/>
      </w:pPr>
      <w:r>
        <w:rPr>
          <w:i/>
          <w:sz w:val="20"/>
        </w:rPr>
        <w:t>EN: Third-Order Nonlinear Transport in a Percolative Two-Dimensional Superconductor</w:t>
      </w:r>
    </w:p>
    <w:p>
      <w:pPr>
        <w:spacing w:before="0" w:after="120"/>
      </w:pPr>
      <w:r>
        <w:rPr>
          <w:b/>
        </w:rPr>
        <w:t xml:space="preserve">Source: </w:t>
      </w:r>
      <w:r>
        <w:t>Recent Articles in Phys. Rev. Lett.</w:t>
      </w:r>
      <w:r>
        <w:t xml:space="preserve">    </w:t>
      </w:r>
      <w:r>
        <w:rPr>
          <w:b/>
        </w:rPr>
        <w:t xml:space="preserve">Pub date: </w:t>
      </w:r>
      <w:r>
        <w:t>2026-07-29 10:00:00+00:00</w:t>
      </w:r>
      <w:r>
        <w:t xml:space="preserve">    </w:t>
      </w:r>
      <w:r>
        <w:rPr>
          <w:b/>
        </w:rPr>
        <w:t xml:space="preserve">DOI: </w:t>
      </w:r>
      <w:hyperlink r:id="rId1569">
        <w:r>
          <w:rPr>
            <w:color w:val="1155CC"/>
            <w:u w:val="single"/>
          </w:rPr>
          <w:t>10.1103/jcrm-953w</w:t>
        </w:r>
      </w:hyperlink>
    </w:p>
    <w:p>
      <w:pPr>
        <w:spacing w:before="0" w:after="120"/>
      </w:pPr>
      <w:r>
        <w:rPr>
          <w:b/>
        </w:rPr>
        <w:t xml:space="preserve">Notes: </w:t>
      </w:r>
      <w:r>
        <w:t>abstract_source=rss_description</w:t>
      </w:r>
    </w:p>
    <w:p>
      <w:pPr>
        <w:spacing w:before="0" w:after="80" w:lineRule="auto" w:line="276"/>
      </w:pPr>
      <w:r>
        <w:rPr>
          <w:b/>
        </w:rPr>
        <w:t xml:space="preserve">摘要（ZH）: </w:t>
      </w:r>
      <w:r>
        <w:t>作者：刘文军、王成和、李秀彬、渡边健二、谷口隆、张涛、张晓晓和李静由于维数降低、量子涨落增强和复杂的电子声子相互作用，渗流超导经常出现在二维范德华材料中，为正常电子与库珀对共存提供了一个独特的平台。我们报告了……[物理。莱特牧师。 137, 056201] 2026 年 7 月 29 日星期三发布</w:t>
      </w:r>
    </w:p>
    <w:p>
      <w:pPr>
        <w:spacing w:before="0" w:after="200" w:lineRule="auto" w:line="276"/>
      </w:pPr>
      <w:r>
        <w:rPr>
          <w:b/>
        </w:rPr>
        <w:t xml:space="preserve">Abstract (EN): </w:t>
      </w:r>
      <w:r>
        <w:t>Author(s): Wenjun Liu, Chenghe Wang, Xiubin Li, Kenji Watanabe, Takashi Taniguchi, Tao Zhang, Xiao-Xiao Zhang, and Jing LiPercolative superconductivity frequently arises in two-dimensional van der Waals materials due to reduced dimensionality, enhanced quantum fluctuations, and complex electron-phonon interactions, providing a unique platform where normal electrons coexist with Cooper pairs. We report the observation o…[Phys. Rev. Lett. 137, 056201] Published Wed Jul 29, 2026</w:t>
      </w:r>
    </w:p>
    <w:p>
      <w:pPr>
        <w:spacing w:before="120" w:after="120"/>
      </w:pPr>
      <w:r>
        <w:rPr>
          <w:sz w:val="18"/>
        </w:rPr>
        <w:t>——————————————————————————————————————————————————————————————————————</w:t>
      </w:r>
    </w:p>
    <w:p>
      <w:pPr>
        <w:spacing w:before="160" w:after="40" w:line="240" w:lineRule="auto"/>
      </w:pPr>
      <w:r>
        <w:rPr>
          <w:b/>
        </w:rPr>
        <w:t xml:space="preserve">[619] </w:t>
      </w:r>
      <w:hyperlink r:id="rId1570">
        <w:r>
          <w:rPr>
            <w:color w:val="1155CC"/>
            <w:u w:val="single"/>
          </w:rPr>
          <w:t>通过稀土增强荧光快速识别二维晶体中的纳米级点缺陷</w:t>
        </w:r>
      </w:hyperlink>
    </w:p>
    <w:p>
      <w:pPr>
        <w:spacing w:before="0" w:after="80"/>
      </w:pPr>
      <w:r>
        <w:rPr>
          <w:i/>
          <w:sz w:val="20"/>
        </w:rPr>
        <w:t>EN: Rapid Identification of Nanoscale Point Defects in Two‐Dimensional Crystals by Rare‐Earth‐Enhanced Fluorescence</w:t>
      </w:r>
    </w:p>
    <w:p>
      <w:pPr>
        <w:spacing w:before="0" w:after="120"/>
      </w:pPr>
      <w:r>
        <w:rPr>
          <w:b/>
        </w:rPr>
        <w:t xml:space="preserve">Source: </w:t>
      </w:r>
      <w:r>
        <w:t>Wiley: Advanced Materials: Table of Contents</w:t>
      </w:r>
      <w:r>
        <w:t xml:space="preserve">    </w:t>
      </w:r>
      <w:r>
        <w:rPr>
          <w:b/>
        </w:rPr>
        <w:t xml:space="preserve">Pub date: </w:t>
      </w:r>
      <w:r>
        <w:t>2026-07-29 10:49:43+00:00</w:t>
      </w:r>
      <w:r>
        <w:t xml:space="preserve">    </w:t>
      </w:r>
      <w:r>
        <w:rPr>
          <w:b/>
        </w:rPr>
        <w:t xml:space="preserve">DOI: </w:t>
      </w:r>
      <w:hyperlink r:id="rId1571">
        <w:r>
          <w:rPr>
            <w:color w:val="1155CC"/>
            <w:u w:val="single"/>
          </w:rPr>
          <w:t>10.1002/adma.74351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识别纳米级点缺陷 (NPD) 对于生产高质量二维 (2D) 晶体并将其转向可扩展的设备集成至关重要。然而，现有方法面临空间分辨率和检测吞吐量之间的根本折衷：原子分辨率技术提供有限的测试区域或采样率，而传统光学方法通常缺乏低密度 NPD 所需的足够灵敏度。在这里，我们提出了一种高度灵敏、非破坏性的策略，采用氯化铒 (ErCl</w:t>
      </w:r>
      <w:r>
        <w:rPr>
          <w:vertAlign w:val="subscript"/>
        </w:rPr>
        <w:t>3</w:t>
      </w:r>
      <w:r>
        <w:t>）在二维晶体表面的 NPD 位点上形成富铒纳米颗粒（Er-NP）作为荧光标记，从而能够快速、精确地绘制大面积样品中的 NPD。理论模型和实验观察都表明，Er-NPs 优先在缺陷位点积累，大大增强了局部光致发光 (PL) 信号，并能够直接可视化 NPD 位置和分布。这种方法通过提供大面积样品中低密度纳米级缺陷的更高对比度和更有效的定位，补充了包括拉曼光谱在内的现有光学技术。重要的是，Er-NPs可以通过超高真空（UHV）下的退火完全去除，确保该方法的非破坏性。这项工作为二维材料的质量控制提供了强大的工具，支持其从实验室合成向大规模工业应用的转变。</w:t>
      </w:r>
    </w:p>
    <w:p>
      <w:pPr>
        <w:spacing w:before="0" w:after="200" w:lineRule="auto" w:line="276"/>
      </w:pPr>
      <w:r>
        <w:rPr>
          <w:b/>
        </w:rPr>
        <w:t xml:space="preserve">Abstract (EN): </w:t>
      </w:r>
      <w:r>
        <w:t>Identifying nanoscale point defects (NPDs) is essential for producing high‐quality two‐dimensional (2D) crystals and moving them towards scalable device integration. However, existing methods face a fundamental compromise between spatial resolution and detection throughput: atomic‐resolution techniques provide limited testing area or sampling rates, whereas conventional optical methods often lack sufficient sensitivity required for low‐density NPDs. Here, we present a highly sensitive, non‐destructive strategy that employs erbium chloride (ErCl</w:t>
      </w:r>
      <w:r>
        <w:rPr>
          <w:vertAlign w:val="subscript"/>
        </w:rPr>
        <w:t>3</w:t>
      </w:r>
      <w:r>
        <w:t>) to form erbium‐rich nanoparticles (Er‐NPs) as fluorescent markers at NPD sites on 2D crystal surfaces, enabling rapid and precise mapping of NPDs in large‐area samples. Both theoretical modeling and experimental observations demonstrate that Er‐NPs preferentially accumulate at defect sites, substantially enhancing localized photoluminescence (PL) signals and enabling direct visualization of NPD locations and distributions. This approach complements established optical techniques, including Raman spectroscopy, by providing higher‐contrast and more efficient localization of low‐density nanoscale defects across large‐area samples. Importantly, Er‐NPs can be fully removed through annealing under ultrahigh vacuum (UHV), ensuring the non‐destructive nature of the method. This work provides a powerful tool for quality control of 2D materials, supporting their transition from laboratory synthesis to large‐scale industrial applications.</w:t>
      </w:r>
    </w:p>
    <w:p>
      <w:pPr>
        <w:spacing w:before="120" w:after="120"/>
      </w:pPr>
      <w:r>
        <w:rPr>
          <w:sz w:val="18"/>
        </w:rPr>
        <w:t>——————————————————————————————————————————————————————————————————————</w:t>
      </w:r>
    </w:p>
    <w:p>
      <w:pPr>
        <w:spacing w:before="160" w:after="40" w:line="240" w:lineRule="auto"/>
      </w:pPr>
      <w:r>
        <w:rPr>
          <w:b/>
        </w:rPr>
        <w:t xml:space="preserve">[620] </w:t>
      </w:r>
      <w:hyperlink r:id="rId1572">
        <w:r>
          <w:rPr>
            <w:color w:val="1155CC"/>
            <w:u w:val="single"/>
          </w:rPr>
          <w:t>纳米材料可实现时空控制的超声触发细胞焦亡用于癌症免疫治疗</w:t>
        </w:r>
      </w:hyperlink>
    </w:p>
    <w:p>
      <w:pPr>
        <w:spacing w:before="0" w:after="80"/>
      </w:pPr>
      <w:r>
        <w:rPr>
          <w:i/>
          <w:sz w:val="20"/>
        </w:rPr>
        <w:t>EN: Nanomaterials Enable Spatiotemporally Controlled Ultrasound‐Triggered Pyroptosis for Cancer Immunotherapy</w:t>
      </w:r>
    </w:p>
    <w:p>
      <w:pPr>
        <w:spacing w:before="0" w:after="120"/>
      </w:pPr>
      <w:r>
        <w:rPr>
          <w:b/>
        </w:rPr>
        <w:t xml:space="preserve">Source: </w:t>
      </w:r>
      <w:r>
        <w:t>Wiley: Advanced Materials: Table of Contents</w:t>
      </w:r>
      <w:r>
        <w:t xml:space="preserve">    </w:t>
      </w:r>
      <w:r>
        <w:rPr>
          <w:b/>
        </w:rPr>
        <w:t xml:space="preserve">Pub date: </w:t>
      </w:r>
      <w:r>
        <w:t>2026-07-29 11:44:10+00:00</w:t>
      </w:r>
      <w:r>
        <w:t xml:space="preserve">    </w:t>
      </w:r>
      <w:r>
        <w:rPr>
          <w:b/>
        </w:rPr>
        <w:t xml:space="preserve">DOI: </w:t>
      </w:r>
      <w:hyperlink r:id="rId1573">
        <w:r>
          <w:rPr>
            <w:color w:val="1155CC"/>
            <w:u w:val="single"/>
          </w:rPr>
          <w:t>10.1002/adma.74250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细胞焦亡是一种高度炎症形式的程序性细胞死亡（PCD），在激活抗肿瘤免疫方面具有特殊的前景。然而，在保持正常组织完整性的同时实现精确的肿瘤选择性焦亡诱导仍然是主要的转化障碍。超声波因其无创性、深层组织穿透性和精确的时空控制而成为实现此目的的理想外源刺激。通过与定制的纳米材料整合，超声能量可以在肿瘤部位特异性转化为局部生化信号，从而引发细胞焦亡，有效刺激抗肿瘤免疫。这篇综述系统地阐明了合理的纳米材料设计如何通过不同的机制（包括声动力、声压电催化、酶模拟和多模式协同途径）实现超声触发焦亡（声焦亡）。它进一步描述了随后的免疫级联反应，从先天免疫激活和适应性 T 细胞反应到免疫抑制肿瘤微环境 (TME) 的重塑，并评估了这种方法与免疫检查点阻断 (ICB) 和 cGAS-STING 通路激活等新兴免疫疗法的协同潜力。最后，概述了临床转化中的关键挑战，并提出了加速纳米材料介导的超声触发癌症免疫治疗焦亡的发展的未来前景。</w:t>
      </w:r>
    </w:p>
    <w:p>
      <w:pPr>
        <w:spacing w:before="0" w:after="200" w:lineRule="auto" w:line="276"/>
      </w:pPr>
      <w:r>
        <w:rPr>
          <w:b/>
        </w:rPr>
        <w:t xml:space="preserve">Abstract (EN): </w:t>
      </w:r>
      <w:r>
        <w:t>Pyroptosis, a highly inflammatory form of programmed cell death (PCD), holds exceptional promise for activating antitumor immunity. However, achieving precise and tumor‐selective pyroptosis induction while preserving normal tissue integrity remains a major translational hurdle. Ultrasound has emerged as an ideal exogenous stimulus for this purpose, owing to its noninvasiveness, deep tissue penetration, and precise spatiotemporal control. Through integration with tailored nanomaterials, ultrasound energy can be specifically converted into localized biochemical signals at the tumor site, thereby triggering pyroptosis that potently stimulates antitumor immunity. This review systematically elucidates how rational nanomaterial design enables ultrasound‐triggered pyroptosis (sonopyroptosis) through distinct mechanisms, including sonodynamic, sonopiezocatalytic, enzyme‐mimetic, and multimodal synergistic pathways. It further delineates the ensuing immune cascade, from innate immune activation and adaptive T cell responses to the remodeling of the immunosuppressive tumor microenvironment (TME), and evaluates the synergistic potential of this approach with emerging immunotherapies such as immune checkpoint blockade (ICB) and cGAS‐STING pathway activation. Finally, key challenges in clinical translation are outlined, and future perspectives are proposed to accelerate the development of nanomaterial‐mediated ultrasound‐triggered pyroptosis for cancer immunotherapy.</w:t>
      </w:r>
    </w:p>
    <w:p>
      <w:pPr>
        <w:spacing w:before="120" w:after="120"/>
      </w:pPr>
      <w:r>
        <w:rPr>
          <w:sz w:val="18"/>
        </w:rPr>
        <w:t>——————————————————————————————————————————————————————————————————————</w:t>
      </w:r>
    </w:p>
    <w:p>
      <w:pPr>
        <w:spacing w:before="160" w:after="40" w:line="240" w:lineRule="auto"/>
      </w:pPr>
      <w:r>
        <w:rPr>
          <w:b/>
        </w:rPr>
        <w:t xml:space="preserve">[621] </w:t>
      </w:r>
      <w:hyperlink r:id="rId1574">
        <w:r>
          <w:rPr>
            <w:color w:val="1155CC"/>
            <w:u w:val="single"/>
          </w:rPr>
          <w:t>氧自由基捕获镍催化的两种亲核试剂的碳(sp2)-杂原子偶联</w:t>
        </w:r>
      </w:hyperlink>
    </w:p>
    <w:p>
      <w:pPr>
        <w:spacing w:before="0" w:after="80"/>
      </w:pPr>
      <w:r>
        <w:rPr>
          <w:i/>
          <w:sz w:val="20"/>
        </w:rPr>
        <w:t>EN: Oxygen‐Radical Capture Enabled Nickel‐Catalyzed Carbon(sp2)‐Heteroatom Coupling of Two Nucleophiles</w:t>
      </w:r>
    </w:p>
    <w:p>
      <w:pPr>
        <w:spacing w:before="0" w:after="120"/>
      </w:pPr>
      <w:r>
        <w:rPr>
          <w:b/>
        </w:rPr>
        <w:t xml:space="preserve">Source: </w:t>
      </w:r>
      <w:r>
        <w:t>Wiley: Angewandte Chemie International Edition: Table of Contents</w:t>
      </w:r>
      <w:r>
        <w:t xml:space="preserve">    </w:t>
      </w:r>
      <w:r>
        <w:rPr>
          <w:b/>
        </w:rPr>
        <w:t xml:space="preserve">Pub date: </w:t>
      </w:r>
      <w:r>
        <w:t>2026-07-29 11:45:57+00:00</w:t>
      </w:r>
      <w:r>
        <w:t xml:space="preserve">    </w:t>
      </w:r>
      <w:r>
        <w:rPr>
          <w:b/>
        </w:rPr>
        <w:t xml:space="preserve">DOI: </w:t>
      </w:r>
      <w:hyperlink r:id="rId1575">
        <w:r>
          <w:rPr>
            <w:color w:val="1155CC"/>
            <w:u w:val="single"/>
          </w:rPr>
          <w:t>10.1002/anie.8724182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高价过渡金属配合物作为关键中间体，能够还原消除碳-杂原子键的形成。重要的工作集中在镍催化的芳基（拟）卤化物与亲核试剂的偶联上，例如利用光或电化学策略来获取高价 Ni(III) 物质。然而，尽管此类亲核试剂（例如硼酸）在交叉偶联化学中发挥着核心作用，但用于碳-杂原子键构建的两个亲核伙伴的类似 Ni(III) 介导的氧化交叉偶联仍然难以捉摸。在此，我们报告了一种通用的氧自由基捕获策略，该策略可加速 Ni(II) 的单电子氧化和随后的还原消除，从而能够与芳基硼酸形成多种碳-杂原子键。我们证明了芳基硼酸与醇的氧化偶联，这是镍催化从未实现过的转化，可能是由于相应金属醇盐容易被β-氢化物消除所致。机理研究和 DFT 计算表明了</w:t>
      </w:r>
      <w:r>
        <w:t xml:space="preserve"> </w:t>
      </w:r>
      <w:r>
        <w:t>叔</w:t>
      </w:r>
      <w:r>
        <w:t xml:space="preserve"> </w:t>
      </w:r>
      <w:r>
        <w:t>‐丁氧基自由基参与 Ni(II) 向 Ni(III) 的转化，从而能够轻松还原消除，绕过其他可能的副途径。此外，我们表明，使用这种方法可以使用多种亲核试剂来构建 C-O、C-S、C-N 和 C-P 键。</w:t>
      </w:r>
    </w:p>
    <w:p>
      <w:pPr>
        <w:spacing w:before="0" w:after="200" w:lineRule="auto" w:line="276"/>
      </w:pPr>
      <w:r>
        <w:rPr>
          <w:b/>
        </w:rPr>
        <w:t xml:space="preserve">Abstract (EN): </w:t>
      </w:r>
      <w:r>
        <w:t>Hypervalent transition‐metal complexes serve as pivotal intermediates enabling reductive elimination for carbon–heteroatom bond formation. Significant efforts have focused on nickel‐catalyzed couplings of aryl (pseudo)halides with nucleophiles, utilizing, for example, photo‐ or electrochemical strategies to access high‐valent Ni(III) species. Nevertheless, the analogous Ni(III)‐mediated oxidative cross‐coupling of two nucleophilic partners for carbon–heteroatom bond construction remains elusive, despite the central role of such nucleophiles, for example, boronic acids, in cross‐coupling chemistry. Herein, we report a general oxygen‐radical capture strategy that accelerates the single‐electron oxidation of Ni(II) and subsequent reductive elimination, enabling diverse carbon–heteroatom bond formations with aryl boronic acids. We demonstrate the oxidative coupling of aryl boronic acids with alcohols, a transformation that has never been realized by nickel catalysis, likely due to the facile β‐hydride elimination of the corresponding metal alkoxides. Mechanistic investigations and DFT calculations suggest the crucial role of the</w:t>
      </w:r>
      <w:r>
        <w:t xml:space="preserve"> </w:t>
      </w:r>
      <w:r>
        <w:t>tert</w:t>
      </w:r>
      <w:r>
        <w:t xml:space="preserve"> </w:t>
      </w:r>
      <w:r>
        <w:t>‐butoxyl radical in the transformation of Ni(II) to Ni(III), enabling facile reductive elimination that bypass other possible side pathways. Furthermore, we show that a broad range of nucleophiles can be employed for the construction of C–O, C–S, C–N, and C–P bonds using this method.</w:t>
      </w:r>
    </w:p>
    <w:p>
      <w:pPr>
        <w:spacing w:before="120" w:after="120"/>
      </w:pPr>
      <w:r>
        <w:rPr>
          <w:sz w:val="18"/>
        </w:rPr>
        <w:t>——————————————————————————————————————————————————————————————————————</w:t>
      </w:r>
    </w:p>
    <w:p>
      <w:pPr>
        <w:spacing w:before="160" w:after="40" w:line="240" w:lineRule="auto"/>
      </w:pPr>
      <w:r>
        <w:rPr>
          <w:b/>
        </w:rPr>
        <w:t xml:space="preserve">[622] </w:t>
      </w:r>
      <w:hyperlink r:id="rId1576">
        <w:r>
          <w:rPr>
            <w:color w:val="1155CC"/>
            <w:u w:val="single"/>
          </w:rPr>
          <w:t>溶剂氢键决定均苯三酸在 Cu 上的吸附几何形状</w:t>
        </w:r>
      </w:hyperlink>
    </w:p>
    <w:p>
      <w:pPr>
        <w:spacing w:before="0" w:after="80"/>
      </w:pPr>
      <w:r>
        <w:rPr>
          <w:i/>
          <w:sz w:val="20"/>
        </w:rPr>
        <w:t>EN: Solvent Hydrogen Bonding Determines Adsorption Geometry of Trimesic Acid on Cu</w:t>
      </w:r>
    </w:p>
    <w:p>
      <w:pPr>
        <w:spacing w:before="0" w:after="120"/>
      </w:pPr>
      <w:r>
        <w:rPr>
          <w:b/>
        </w:rPr>
        <w:t xml:space="preserve">Source: </w:t>
      </w:r>
      <w:r>
        <w:t>Wiley: Angewandte Chemie International Edition: Table of Contents</w:t>
      </w:r>
      <w:r>
        <w:t xml:space="preserve">    </w:t>
      </w:r>
      <w:r>
        <w:rPr>
          <w:b/>
        </w:rPr>
        <w:t xml:space="preserve">Pub date: </w:t>
      </w:r>
      <w:r>
        <w:t>2026-07-29 11:50:01+00:00</w:t>
      </w:r>
      <w:r>
        <w:t xml:space="preserve">    </w:t>
      </w:r>
      <w:r>
        <w:rPr>
          <w:b/>
        </w:rPr>
        <w:t xml:space="preserve">DOI: </w:t>
      </w:r>
      <w:hyperlink r:id="rId1577">
        <w:r>
          <w:rPr>
            <w:color w:val="1155CC"/>
            <w:u w:val="single"/>
          </w:rPr>
          <w:t>10.1002/anie.3523377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功能分子的吸附几何形状很大程度上决定了催化、光伏和分子电子等各种应用中的界面行为。由于缺乏合适的原位方法，了解吸附物的方向仍然是一个挑战，从而阻碍了受控设备的行为。在这里，结合尖端增强拉曼光谱、密度泛函理论和分子动力学模拟方法阐明了关于均苯三酸（最广泛使用的功能有机连接剂之一）在铜上的吸附几何结构的普遍争议。我们发现，吸附质 - 基质 - 溶剂相互作用中 0.25 eV 范围内的细微能量差异对于固/液与固/气界面的分子取向具有决定性作用，强调了理论和实验定量原位纳米级表征相结合对于功能分子界面合理设计的力量。</w:t>
      </w:r>
    </w:p>
    <w:p>
      <w:pPr>
        <w:spacing w:before="0" w:after="200" w:lineRule="auto" w:line="276"/>
      </w:pPr>
      <w:r>
        <w:rPr>
          <w:b/>
        </w:rPr>
        <w:t xml:space="preserve">Abstract (EN): </w:t>
      </w:r>
      <w:r>
        <w:t>The adsorption geometry of functional molecules largely determines the interfacial behaviour in various applications like catalysis, photovoltaics and molecular electronics. Understanding adsorbate orientation has remained a challenge due to lack of suitable in situ methods, thus hindering controlled device behaviour. Here, a combined tip‐enhanced Raman spectroscopy, density functional theory and molecular dynamics simulation approach elucidates the prevailing controversy about the adsorption geometry of showcase trimesic acid, one of the most widely used functional organic linkers, on Cu. We find that subtle energy differences in adsorbate–substrate–solvent interactions on the scale of 0.25 eV are decisive for the molecular orientation at solid/liquid versus solid/gas interfaces, emphasising the strength of combined theoretical and experimental quantitative in situ nanoscale characterisation for the rational design of functional molecular interfaces.</w:t>
      </w:r>
    </w:p>
    <w:p>
      <w:pPr>
        <w:spacing w:before="120" w:after="120"/>
      </w:pPr>
      <w:r>
        <w:rPr>
          <w:sz w:val="18"/>
        </w:rPr>
        <w:t>——————————————————————————————————————————————————————————————————————</w:t>
      </w:r>
    </w:p>
    <w:p>
      <w:pPr>
        <w:spacing w:before="160" w:after="40" w:line="240" w:lineRule="auto"/>
      </w:pPr>
      <w:r>
        <w:rPr>
          <w:b/>
        </w:rPr>
        <w:t xml:space="preserve">[623] </w:t>
      </w:r>
      <w:hyperlink r:id="rId1578">
        <w:r>
          <w:rPr>
            <w:color w:val="1155CC"/>
            <w:u w:val="single"/>
          </w:rPr>
          <w:t>预组织多重非共价相互作用实现光诱导铜催化立体选择性 C(sp3)-H 胺化</w:t>
        </w:r>
      </w:hyperlink>
    </w:p>
    <w:p>
      <w:pPr>
        <w:spacing w:before="0" w:after="80"/>
      </w:pPr>
      <w:r>
        <w:rPr>
          <w:i/>
          <w:sz w:val="20"/>
        </w:rPr>
        <w:t>EN: Photoinduced Copper‐Catalyzed Stereoselective C(sp3)‐H Amination Enabled by Preorganized Multiple Noncovalent Interactions</w:t>
      </w:r>
    </w:p>
    <w:p>
      <w:pPr>
        <w:spacing w:before="0" w:after="120"/>
      </w:pPr>
      <w:r>
        <w:rPr>
          <w:b/>
        </w:rPr>
        <w:t xml:space="preserve">Source: </w:t>
      </w:r>
      <w:r>
        <w:t>Wiley: Angewandte Chemie International Edition: Table of Contents</w:t>
      </w:r>
      <w:r>
        <w:t xml:space="preserve">    </w:t>
      </w:r>
      <w:r>
        <w:rPr>
          <w:b/>
        </w:rPr>
        <w:t xml:space="preserve">Pub date: </w:t>
      </w:r>
      <w:r>
        <w:t>2026-07-29 11:51:06+00:00</w:t>
      </w:r>
      <w:r>
        <w:t xml:space="preserve">    </w:t>
      </w:r>
      <w:r>
        <w:rPr>
          <w:b/>
        </w:rPr>
        <w:t xml:space="preserve">DOI: </w:t>
      </w:r>
      <w:hyperlink r:id="rId1579">
        <w:r>
          <w:rPr>
            <w:color w:val="1155CC"/>
            <w:u w:val="single"/>
          </w:rPr>
          <w:t>10.1002/anie.6908076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手性</w:t>
      </w:r>
      <w:r>
        <w:t xml:space="preserve"> </w:t>
      </w:r>
      <w:r>
        <w:t>α</w:t>
      </w:r>
      <w:r>
        <w:t xml:space="preserve"> </w:t>
      </w:r>
      <w:r>
        <w:t>‐氨基环胺是重要的生物活性分子骨架，在调节不同分子的生物功能中发挥着至关重要的作用。尽管其意义重大，但使用容易获得的氮源对饱和环胺进行不对称 C─H 胺化尚未实现。在这项工作中，光诱导铜催化的高度对映选择性</w:t>
      </w:r>
      <w:r>
        <w:t xml:space="preserve"> </w:t>
      </w:r>
      <w:r>
        <w:t>α</w:t>
      </w:r>
      <w:r>
        <w:t xml:space="preserve"> </w:t>
      </w:r>
      <w:r>
        <w:t>‐C(sp</w:t>
      </w:r>
      <w:r>
        <w:rPr>
          <w:vertAlign w:val="subscript"/>
        </w:rPr>
        <w:t>3</w:t>
      </w:r>
      <w:r>
        <w:t>)-H 环胺与具有药用价值的芳香族化合物的胺化</w:t>
      </w:r>
      <w:r>
        <w:t xml:space="preserve"> </w:t>
      </w:r>
      <w:r>
        <w:t>α</w:t>
      </w:r>
      <w:r>
        <w:t xml:space="preserve"> </w:t>
      </w:r>
      <w:r>
        <w:t>,</w:t>
      </w:r>
      <w:r>
        <w:t xml:space="preserve"> </w:t>
      </w:r>
      <w:r>
        <w:t>β</w:t>
      </w:r>
      <w:r>
        <w:t xml:space="preserve"> </w:t>
      </w:r>
      <w:r>
        <w:t>‐开发了不饱和酰胺。除酰胺外，还有多种芳香族化合物</w:t>
      </w:r>
      <w:r>
        <w:t xml:space="preserve"> </w:t>
      </w:r>
      <w:r>
        <w:t>氮</w:t>
      </w:r>
      <w:r>
        <w:t xml:space="preserve"> </w:t>
      </w:r>
      <w:r>
        <w:t>‐杂环以及不稳定且具有挑战性的亚胺也可以参与反应，提供各种功能化的</w:t>
      </w:r>
      <w:r>
        <w:t xml:space="preserve"> </w:t>
      </w:r>
      <w:r>
        <w:t>α</w:t>
      </w:r>
      <w:r>
        <w:t xml:space="preserve"> </w:t>
      </w:r>
      <w:r>
        <w:t>具有高非对映选择性的-氨基环胺。机理研究和DFT计算表明C─N键是通过自由基加成形成的</w:t>
      </w:r>
      <w:r>
        <w:t xml:space="preserve"> </w:t>
      </w:r>
      <w:r>
        <w:t>α</w:t>
      </w:r>
      <w:r>
        <w:t xml:space="preserve"> </w:t>
      </w:r>
      <w:r>
        <w:t>‐氨基自由基生成 Cu(II)-酰胺物质，然后进行内球还原消除。预装配 (</w:t>
      </w:r>
      <w:r>
        <w:t xml:space="preserve"> </w:t>
      </w:r>
      <w:r>
        <w:t>右</w:t>
      </w:r>
      <w:r>
        <w:t xml:space="preserve"> </w:t>
      </w:r>
      <w:r>
        <w:t>)-BINOL 与 BOPA-copper(II) 苯甲酰胺通过氢键和 CH·π 相互作用可以通过 (</w:t>
      </w:r>
      <w:r>
        <w:t xml:space="preserve"> </w:t>
      </w:r>
      <w:r>
        <w:t>右</w:t>
      </w:r>
      <w:r>
        <w:t xml:space="preserve"> </w:t>
      </w:r>
      <w:r>
        <w:t>)-途径。联合国</w:t>
      </w:r>
    </w:p>
    <w:p>
      <w:pPr>
        <w:spacing w:before="0" w:after="200" w:lineRule="auto" w:line="276"/>
      </w:pPr>
      <w:r>
        <w:rPr>
          <w:b/>
        </w:rPr>
        <w:t xml:space="preserve">Abstract (EN): </w:t>
      </w:r>
      <w:r>
        <w:t>Chiral</w:t>
      </w:r>
      <w:r>
        <w:t xml:space="preserve"> </w:t>
      </w:r>
      <w:r>
        <w:t>α</w:t>
      </w:r>
      <w:r>
        <w:t xml:space="preserve"> </w:t>
      </w:r>
      <w:r>
        <w:t>‐amino cyclic amines are essential bioactive molecular skeletons that play a crucial role in regulating the biological functions of diverse molecules. Despite their significance, the asymmetric C─H amination of saturated cyclic amines using readily available nitrogen sources has not been accomplished. In this work, a photoinduced copper‐catalyzed highly enantioselective</w:t>
      </w:r>
      <w:r>
        <w:t xml:space="preserve"> </w:t>
      </w:r>
      <w:r>
        <w:t>α</w:t>
      </w:r>
      <w:r>
        <w:t xml:space="preserve"> </w:t>
      </w:r>
      <w:r>
        <w:t>‐C(sp</w:t>
      </w:r>
      <w:r>
        <w:rPr>
          <w:vertAlign w:val="subscript"/>
        </w:rPr>
        <w:t>3</w:t>
      </w:r>
      <w:r>
        <w:t>)‐H amination of cyclic amines with pharmaceutically valuable aromatic and</w:t>
      </w:r>
      <w:r>
        <w:t xml:space="preserve"> </w:t>
      </w:r>
      <w:r>
        <w:t>α</w:t>
      </w:r>
      <w:r>
        <w:t xml:space="preserve"> </w:t>
      </w:r>
      <w:r>
        <w:t>,</w:t>
      </w:r>
      <w:r>
        <w:t xml:space="preserve"> </w:t>
      </w:r>
      <w:r>
        <w:t>β</w:t>
      </w:r>
      <w:r>
        <w:t xml:space="preserve"> </w:t>
      </w:r>
      <w:r>
        <w:t>‐unsaturated amides is developed. In addition to amides, diverse aromatic</w:t>
      </w:r>
      <w:r>
        <w:t xml:space="preserve"> </w:t>
      </w:r>
      <w:r>
        <w:t>N</w:t>
      </w:r>
      <w:r>
        <w:t xml:space="preserve"> </w:t>
      </w:r>
      <w:r>
        <w:t>‐heterocycles, as well as the unstable and challenging imine, can also participate in the reaction, delivering various functionalized</w:t>
      </w:r>
      <w:r>
        <w:t xml:space="preserve"> </w:t>
      </w:r>
      <w:r>
        <w:t>α</w:t>
      </w:r>
      <w:r>
        <w:t xml:space="preserve"> </w:t>
      </w:r>
      <w:r>
        <w:t>‐amino cyclic amines with high diastereoselectivity. Mechanistic study and DFT calculation indicate that the C─N bond is formed through the radical addition of</w:t>
      </w:r>
      <w:r>
        <w:t xml:space="preserve"> </w:t>
      </w:r>
      <w:r>
        <w:t>α</w:t>
      </w:r>
      <w:r>
        <w:t xml:space="preserve"> </w:t>
      </w:r>
      <w:r>
        <w:t>‐amino radical to Cu(II)‐amide species followed by the inner‐sphere reductive elimination. The preassembly of (</w:t>
      </w:r>
      <w:r>
        <w:t xml:space="preserve"> </w:t>
      </w:r>
      <w:r>
        <w:t>R</w:t>
      </w:r>
      <w:r>
        <w:t xml:space="preserve"> </w:t>
      </w:r>
      <w:r>
        <w:t>)‐BINOL with the BOPA‐copper(II) benzamide via hydrogen bonding and CH···π interactions can enhance the stereoselectivity through exclusive π···π stacking interaction in (</w:t>
      </w:r>
      <w:r>
        <w:t xml:space="preserve"> </w:t>
      </w:r>
      <w:r>
        <w:t>R</w:t>
      </w:r>
      <w:r>
        <w:t xml:space="preserve"> </w:t>
      </w:r>
      <w:r>
        <w:t>)‐pathway. The unique reaction model featuring photoredox transition‐metal catalysis, radical cross‐coupling, and multiple noncovalent interactions is the key to success of this chemistry.</w:t>
      </w:r>
    </w:p>
    <w:p>
      <w:pPr>
        <w:spacing w:before="120" w:after="120"/>
      </w:pPr>
      <w:r>
        <w:rPr>
          <w:sz w:val="18"/>
        </w:rPr>
        <w:t>——————————————————————————————————————————————————————————————————————</w:t>
      </w:r>
    </w:p>
    <w:p>
      <w:pPr>
        <w:spacing w:before="160" w:after="40" w:line="240" w:lineRule="auto"/>
      </w:pPr>
      <w:r>
        <w:rPr>
          <w:b/>
        </w:rPr>
        <w:t xml:space="preserve">[624] </w:t>
      </w:r>
      <w:hyperlink r:id="rId1580">
        <w:r>
          <w:rPr>
            <w:color w:val="1155CC"/>
            <w:u w:val="single"/>
          </w:rPr>
          <w:t>再现性危机：在光诱导过程描述不足的地方发出光芒</w:t>
        </w:r>
      </w:hyperlink>
    </w:p>
    <w:p>
      <w:pPr>
        <w:spacing w:before="0" w:after="80"/>
      </w:pPr>
      <w:r>
        <w:rPr>
          <w:i/>
          <w:sz w:val="20"/>
        </w:rPr>
        <w:t>EN: The Reproducibility Crisis: Shining a Light Where Photo‐Induced Process Descriptions Fall Short</w:t>
      </w:r>
    </w:p>
    <w:p>
      <w:pPr>
        <w:spacing w:before="0" w:after="120"/>
      </w:pPr>
      <w:r>
        <w:rPr>
          <w:b/>
        </w:rPr>
        <w:t xml:space="preserve">Source: </w:t>
      </w:r>
      <w:r>
        <w:t>Wiley: Angewandte Chemie International Edition: Table of Contents</w:t>
      </w:r>
      <w:r>
        <w:t xml:space="preserve">    </w:t>
      </w:r>
      <w:r>
        <w:rPr>
          <w:b/>
        </w:rPr>
        <w:t xml:space="preserve">Pub date: </w:t>
      </w:r>
      <w:r>
        <w:t>2026-07-29 12:00:00+00:00</w:t>
      </w:r>
      <w:r>
        <w:t xml:space="preserve">    </w:t>
      </w:r>
      <w:r>
        <w:rPr>
          <w:b/>
        </w:rPr>
        <w:t xml:space="preserve">DOI: </w:t>
      </w:r>
      <w:hyperlink r:id="rId1581">
        <w:r>
          <w:rPr>
            <w:color w:val="1155CC"/>
            <w:u w:val="single"/>
          </w:rPr>
          <w:t>10.1002/anie.5910350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确保可重复性应该是作者、编辑和审稿人在整个稿件准备和评估过程中的首要任务。光介导过程的报告特别容易受到再现性挑战的影响，因为它们表面上的简单性往往掩盖了结果的可靠性如何依赖于仔细控制和彻底报告的实验条件。为了评估当前的实践，我们从 Web of Science 类别“聚合物科学”、“化学”和“物理学”的高影响力期刊中随机挑选了 150 篇描述光介导过程的文章。每个样品都经过评估，以获得再现光诱导过程所需的最少信息：曝光条件（光源发射光谱、入射辐照度和照射持续时间）、样品几何形状（边界条件和厚度）以及样品成分（活性发色团和任何其他吸收物质的特性和数量）。只有 8% 的高分子科学论文、4% 的化学论文和 10% 的物理论文提供了足够的细节以进行复制。最显着的缺陷涉及光源；只有 25% 的报告足以重现发射光谱和辐照度。这项工作解释了为什么每个元素在不同的光诱导过程中都是必不可少的，并提出了建模和代表性案例研究，说明了当条件不明确时出现的变异性，使用光聚合作为敏感基准。</w:t>
      </w:r>
    </w:p>
    <w:p>
      <w:pPr>
        <w:spacing w:before="0" w:after="200" w:lineRule="auto" w:line="276"/>
      </w:pPr>
      <w:r>
        <w:rPr>
          <w:b/>
        </w:rPr>
        <w:t xml:space="preserve">Abstract (EN): </w:t>
      </w:r>
      <w:r>
        <w:t>Ensuring reproducibility should be a central priority for authors, editors, and reviewers throughout manuscript preparation and evaluation. Reports of photo‐mediated processes are particularly susceptible to reproducibility challenges because their apparent simplicity often obscures how strongly reliable outcomes depend on carefully controlled and thoroughly reported experimental conditions. To assess current practice, 150 articles describing photo‐mediated processes were randomly selected from high‐impact journals in the Web of Science categories of “polymer science,” “chemistry,” and “physics.” Each was evaluated for the minimum information necessary to reproduce a photo‐induced process: exposure conditions (light source emission spectrum, incident irradiance, and irradiation duration), sample geometry (boundary conditions and thickness), and sample composition (identity and amount of the active chromophore and any other absorbing species). Only 8% of polymer science, 4% of chemistry, and 10% of physics papers provided sufficient detail to enable reproduction. The most significant deficiencies involved the light source; just 25% reported enough to reproduce both emission spectrum and irradiance. This work explains why each element is essential across diverse photo‐induced processes and presents modeling and representative case studies illustrating the variability that arises when conditions are under‐specified, using photopolymerization as a sensitive benchmark.</w:t>
      </w:r>
    </w:p>
    <w:p>
      <w:pPr>
        <w:spacing w:before="120" w:after="120"/>
      </w:pPr>
      <w:r>
        <w:rPr>
          <w:sz w:val="18"/>
        </w:rPr>
        <w:t>——————————————————————————————————————————————————————————————————————</w:t>
      </w:r>
    </w:p>
    <w:p>
      <w:pPr>
        <w:spacing w:before="160" w:after="40" w:line="240" w:lineRule="auto"/>
      </w:pPr>
      <w:r>
        <w:rPr>
          <w:b/>
        </w:rPr>
        <w:t xml:space="preserve">[625] </w:t>
      </w:r>
      <w:hyperlink r:id="rId1582">
        <w:r>
          <w:rPr>
            <w:color w:val="1155CC"/>
            <w:u w:val="single"/>
          </w:rPr>
          <w:t>具有高稳定性和高电荷迁移率的n型恶嗪稠合高级并苯类似物</w:t>
        </w:r>
      </w:hyperlink>
    </w:p>
    <w:p>
      <w:pPr>
        <w:spacing w:before="0" w:after="80"/>
      </w:pPr>
      <w:r>
        <w:rPr>
          <w:i/>
          <w:sz w:val="20"/>
        </w:rPr>
        <w:t>EN: n‐Type Oxazine‐Fused Higher‐Acene Analogues With High Stability and High Charge Mobility</w:t>
      </w:r>
    </w:p>
    <w:p>
      <w:pPr>
        <w:spacing w:before="0" w:after="120"/>
      </w:pPr>
      <w:r>
        <w:rPr>
          <w:b/>
        </w:rPr>
        <w:t xml:space="preserve">Source: </w:t>
      </w:r>
      <w:r>
        <w:t>Wiley: Angewandte Chemie International Edition: Table of Contents</w:t>
      </w:r>
      <w:r>
        <w:t xml:space="preserve">    </w:t>
      </w:r>
      <w:r>
        <w:rPr>
          <w:b/>
        </w:rPr>
        <w:t xml:space="preserve">Pub date: </w:t>
      </w:r>
      <w:r>
        <w:t>2026-07-29 12:02:34+00:00</w:t>
      </w:r>
      <w:r>
        <w:t xml:space="preserve">    </w:t>
      </w:r>
      <w:r>
        <w:rPr>
          <w:b/>
        </w:rPr>
        <w:t xml:space="preserve">DOI: </w:t>
      </w:r>
      <w:hyperlink r:id="rId1583">
        <w:r>
          <w:rPr>
            <w:color w:val="1155CC"/>
            <w:u w:val="single"/>
          </w:rPr>
          <w:t>10.1002/anie.8366566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并苯是一类令人着迷的分子。具有大而美丽结构的高级并苯（&gt;7环）更有可能被持续追求。然而，高级并苯的不稳定性、溶解性差以及合成的挑战性极大地阻碍了它们的基础研究。更令人担忧的是，迄今为止尚未获得稳定的n型高级并苯类似物。在这里，使用恶嗪和苯单元作为结构单元，一系列新型的高级并苯类似物（9 个环）被命名为五苯并四恶嗪（</w:t>
      </w:r>
      <w:r>
        <w:t xml:space="preserve"> </w:t>
      </w:r>
      <w:r>
        <w:t>PPTO）</w:t>
      </w:r>
      <w:r>
        <w:t xml:space="preserve"> </w:t>
      </w:r>
      <w:r>
        <w:t>，采用化学溶液法合成。这些化合物在常见有机溶剂中表现出高溶解度，在环境条件下具有高稳定性，低于-4.1 eV的深最低未占据分子轨道能级，强近红外吸光度和窄光学带隙（&lt;1.4 eV）。在溶液处理的有机场效应晶体管 (OFET) 中，这些器件的电子迁移率超过 0.1 cm</w:t>
      </w:r>
      <w:r>
        <w:rPr>
          <w:vertAlign w:val="subscript"/>
        </w:rPr>
        <w:t>2</w:t>
      </w:r>
      <w:r>
        <w:t>V</w:t>
      </w:r>
      <w:r>
        <w:t xml:space="preserve"> </w:t>
      </w:r>
      <w:r>
        <w:t>−1</w:t>
      </w:r>
      <w:r>
        <w:t xml:space="preserve"> </w:t>
      </w:r>
      <w:r>
        <w:t>s</w:t>
      </w:r>
      <w:r>
        <w:t xml:space="preserve"> </w:t>
      </w:r>
      <w:r>
        <w:t>−1</w:t>
      </w:r>
      <w:r>
        <w:t xml:space="preserve"> </w:t>
      </w:r>
      <w:r>
        <w:t>，比先前报道的高级并苯类似物和同源 5 环衍生物 - 苯并二恶嗪 (triphenodioxazine) 高两个和三个数量级 (</w:t>
      </w:r>
      <w:r>
        <w:t xml:space="preserve"> </w:t>
      </w:r>
      <w:r>
        <w:t>TPDO</w:t>
      </w:r>
      <w:r>
        <w:t xml:space="preserve"> </w:t>
      </w:r>
      <w:r>
        <w:t>）分别。此外，这些 n 型 OFET 在无需封装的环境条件下表现出出色的稳定性。这些结果凸显了恶嗪的高稳定性和出色的n型半导体性能</w:t>
      </w:r>
    </w:p>
    <w:p>
      <w:pPr>
        <w:spacing w:before="0" w:after="200" w:lineRule="auto" w:line="276"/>
      </w:pPr>
      <w:r>
        <w:rPr>
          <w:b/>
        </w:rPr>
        <w:t xml:space="preserve">Abstract (EN): </w:t>
      </w:r>
      <w:r>
        <w:t>Acenes are a fascinating class of molecules. And higher‐acenes (&amp;gt;7 rings) with big beautiful structures are more likely to be continuously pursued. However, the instability, poor solubility, and challenging synthesis of higher‐acenes significantly hinder their fundamental investigation. Of greater concern is that no stable n‐type higher‐acene analogues have been obtained to date. Here, using oxazine and benzene units as the building blocks, a novel series of higher‐acene analogues (9 rings) named pentaphenotetraoxazines (</w:t>
      </w:r>
      <w:r>
        <w:t xml:space="preserve"> </w:t>
      </w:r>
      <w:r>
        <w:t>PPTOs)</w:t>
      </w:r>
      <w:r>
        <w:t xml:space="preserve"> </w:t>
      </w:r>
      <w:r>
        <w:t>, is synthesized by chemical solution method. These compounds exhibit high solubility in common organic solvents, high stability under ambient conditions, deep lowest unoccupied molecular orbital levels below −4.1 eV, strong NIR absorbance, and narrow optical bandgap (&amp;lt;1.4 eV). In solution‐processed organic field‐effect transistors (OFETs), the devices demonstrate electron mobilities exceeding 0.1 cm</w:t>
      </w:r>
      <w:r>
        <w:rPr>
          <w:vertAlign w:val="subscript"/>
        </w:rPr>
        <w:t>2</w:t>
      </w:r>
      <w:r>
        <w:t>V</w:t>
      </w:r>
      <w:r>
        <w:t xml:space="preserve"> </w:t>
      </w:r>
      <w:r>
        <w:t>−1</w:t>
      </w:r>
      <w:r>
        <w:t xml:space="preserve"> </w:t>
      </w:r>
      <w:r>
        <w:t>s</w:t>
      </w:r>
      <w:r>
        <w:t xml:space="preserve"> </w:t>
      </w:r>
      <w:r>
        <w:t>−1</w:t>
      </w:r>
      <w:r>
        <w:t xml:space="preserve"> </w:t>
      </w:r>
      <w:r>
        <w:t>, which are two and three orders of magnitude higher than those of prior reported higher‐acene analogues and the homologous 5‐ring derivative—triphenodioxazine (</w:t>
      </w:r>
      <w:r>
        <w:t xml:space="preserve"> </w:t>
      </w:r>
      <w:r>
        <w:t>TPDO</w:t>
      </w:r>
      <w:r>
        <w:t xml:space="preserve"> </w:t>
      </w:r>
      <w:r>
        <w:t>), respectively. Moreover, these n‐type OFETs demonstrate excellent stability under ambient conditions without encapsulation. These results highlight the high stability and outstanding n‐type semiconductor performance of oxazine‐fused higher‐acene analogues and demonstrate the potential of this strategy to develop even larger acene systems.</w:t>
      </w:r>
    </w:p>
    <w:p>
      <w:pPr>
        <w:spacing w:before="120" w:after="120"/>
      </w:pPr>
      <w:r>
        <w:rPr>
          <w:sz w:val="18"/>
        </w:rPr>
        <w:t>——————————————————————————————————————————————————————————————————————</w:t>
      </w:r>
    </w:p>
    <w:p>
      <w:pPr>
        <w:spacing w:before="160" w:after="40" w:line="240" w:lineRule="auto"/>
      </w:pPr>
      <w:r>
        <w:rPr>
          <w:b/>
        </w:rPr>
        <w:t xml:space="preserve">[626] </w:t>
      </w:r>
      <w:hyperlink r:id="rId1584">
        <w:r>
          <w:rPr>
            <w:color w:val="1155CC"/>
            <w:u w:val="single"/>
          </w:rPr>
          <w:t>白光介导的咪唑催化萜烯基热固性材料</w:t>
        </w:r>
      </w:hyperlink>
    </w:p>
    <w:p>
      <w:pPr>
        <w:spacing w:before="0" w:after="80"/>
      </w:pPr>
      <w:r>
        <w:rPr>
          <w:i/>
          <w:sz w:val="20"/>
        </w:rPr>
        <w:t>EN: White‐Light‐Mediated Imidazole Catalysis Toward Terpene‐Based Thermosets</w:t>
      </w:r>
    </w:p>
    <w:p>
      <w:pPr>
        <w:spacing w:before="0" w:after="120"/>
      </w:pPr>
      <w:r>
        <w:rPr>
          <w:b/>
        </w:rPr>
        <w:t xml:space="preserve">Source: </w:t>
      </w:r>
      <w:r>
        <w:t>Wiley: Angewandte Chemie International Edition: Table of Contents</w:t>
      </w:r>
      <w:r>
        <w:t xml:space="preserve">    </w:t>
      </w:r>
      <w:r>
        <w:rPr>
          <w:b/>
        </w:rPr>
        <w:t xml:space="preserve">Pub date: </w:t>
      </w:r>
      <w:r>
        <w:t>2026-07-29 12:03:40+00:00</w:t>
      </w:r>
      <w:r>
        <w:t xml:space="preserve">    </w:t>
      </w:r>
      <w:r>
        <w:rPr>
          <w:b/>
        </w:rPr>
        <w:t xml:space="preserve">DOI: </w:t>
      </w:r>
      <w:hyperlink r:id="rId1585">
        <w:r>
          <w:rPr>
            <w:color w:val="1155CC"/>
            <w:u w:val="single"/>
          </w:rPr>
          <w:t>10.1002/anie.3667594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萜烯衍生聚合物的光介固化通常依赖于紫外线照射和光引发剂。我们在此报道，环境友好的柠檬烯和香芹酮衍生的双环氧化合物在白光下通过咪唑介导的催化作用与戊二酸酐固化，无需传统的光引发剂，从而提供完全生物基的热固性材料。</w:t>
      </w:r>
      <w:r>
        <w:rPr>
          <w:vertAlign w:val="subscript"/>
        </w:rPr>
        <w:t>1</w:t>
      </w:r>
      <w:r>
        <w:t>H NMR揭示了相对于热固化的开环选择性的转变，从主要</w:t>
      </w:r>
      <w:r>
        <w:t xml:space="preserve"> </w:t>
      </w:r>
      <w:r>
        <w:t>exo</w:t>
      </w:r>
      <w:r>
        <w:t xml:space="preserve"> </w:t>
      </w:r>
      <w:r>
        <w:t>‐加热下环氧化物优先开环</w:t>
      </w:r>
      <w:r>
        <w:t xml:space="preserve"> </w:t>
      </w:r>
      <w:r>
        <w:t>内切</w:t>
      </w:r>
      <w:r>
        <w:t xml:space="preserve"> </w:t>
      </w:r>
      <w:r>
        <w:t>‐白光下环氧化物活化，证明了独特的光响应途径。由此产生的新型热固性材料是无色、透明的，并且与热固化对应物相比表现出增强的热机械性能，具有</w:t>
      </w:r>
      <w:r>
        <w:t xml:space="preserve"> </w:t>
      </w:r>
      <w:r>
        <w:t>玻璃化温度</w:t>
      </w:r>
      <w:r>
        <w:t xml:space="preserve"> </w:t>
      </w:r>
      <w:r>
        <w:t>110°C，拉伸强度为 42 MPa，断裂应变为 15%。这种策略在萜烯衍生的环氧酸酐体系中尚未得到充分探索，并且可能会拓宽基于萜烯的热固性网络的范围。</w:t>
      </w:r>
    </w:p>
    <w:p>
      <w:pPr>
        <w:spacing w:before="0" w:after="200" w:lineRule="auto" w:line="276"/>
      </w:pPr>
      <w:r>
        <w:rPr>
          <w:b/>
        </w:rPr>
        <w:t xml:space="preserve">Abstract (EN): </w:t>
      </w:r>
      <w:r>
        <w:t>Light‐mediated curing of terpene‐derived polymers generally depends on UV irradiation and photoinitiators. We report herein that environmentally friendly limonene‐ and carvone‐derived diepoxides cure with glutaric anhydride under white light through imidazole‐mediated catalysis, without conventional photoinitiators, to afford fully bio‐based thermosets.</w:t>
      </w:r>
      <w:r>
        <w:rPr>
          <w:vertAlign w:val="subscript"/>
        </w:rPr>
        <w:t>1</w:t>
      </w:r>
      <w:r>
        <w:t>H NMR reveals a switch in ring‐opening selectivity relative to thermal curing, from predominant</w:t>
      </w:r>
      <w:r>
        <w:t xml:space="preserve"> </w:t>
      </w:r>
      <w:r>
        <w:t>exo</w:t>
      </w:r>
      <w:r>
        <w:t xml:space="preserve"> </w:t>
      </w:r>
      <w:r>
        <w:t>‐epoxide opening under heating to preferential</w:t>
      </w:r>
      <w:r>
        <w:t xml:space="preserve"> </w:t>
      </w:r>
      <w:r>
        <w:t>endo</w:t>
      </w:r>
      <w:r>
        <w:t xml:space="preserve"> </w:t>
      </w:r>
      <w:r>
        <w:t>‐epoxide activation under white light, evidencing a distinct light‐responsive pathway. The resulting novel thermosets are colorless, transparent and exhibit enhanced thermomechanical properties over thermally cured counterparts, with a</w:t>
      </w:r>
      <w:r>
        <w:t xml:space="preserve"> </w:t>
      </w:r>
      <w:r>
        <w:t>Tg</w:t>
      </w:r>
      <w:r>
        <w:t xml:space="preserve"> </w:t>
      </w:r>
      <w:r>
        <w:t>of 110°C, tensile strength of 42 MPa, and strain at break of 15%. This strategy is underexplored in terpene‐derived epoxy–anhydride systems and may broaden the scope of terpene‐based thermoset networks.</w:t>
      </w:r>
    </w:p>
    <w:p>
      <w:pPr>
        <w:spacing w:before="120" w:after="120"/>
      </w:pPr>
      <w:r>
        <w:rPr>
          <w:sz w:val="18"/>
        </w:rPr>
        <w:t>——————————————————————————————————————————————————————————————————————</w:t>
      </w:r>
    </w:p>
    <w:p>
      <w:pPr>
        <w:spacing w:before="160" w:after="40" w:line="240" w:lineRule="auto"/>
      </w:pPr>
      <w:r>
        <w:rPr>
          <w:b/>
        </w:rPr>
        <w:t xml:space="preserve">[627] </w:t>
      </w:r>
      <w:hyperlink r:id="rId1586">
        <w:r>
          <w:rPr>
            <w:color w:val="1155CC"/>
            <w:u w:val="single"/>
          </w:rPr>
          <w:t>异构有机碘化亚铜家族的稳定全色和单相白光发射</w:t>
        </w:r>
      </w:hyperlink>
    </w:p>
    <w:p>
      <w:pPr>
        <w:spacing w:before="0" w:after="80"/>
      </w:pPr>
      <w:r>
        <w:rPr>
          <w:i/>
          <w:sz w:val="20"/>
        </w:rPr>
        <w:t>EN: Stable Full‐Color and Single‐Phase White Emission in a Family of Isomeric Organic Cu(I) Iodides</w:t>
      </w:r>
    </w:p>
    <w:p>
      <w:pPr>
        <w:spacing w:before="0" w:after="120"/>
      </w:pPr>
      <w:r>
        <w:rPr>
          <w:b/>
        </w:rPr>
        <w:t xml:space="preserve">Source: </w:t>
      </w:r>
      <w:r>
        <w:t>Wiley: Angewandte Chemie International Edition: Table of Contents</w:t>
      </w:r>
      <w:r>
        <w:t xml:space="preserve">    </w:t>
      </w:r>
      <w:r>
        <w:rPr>
          <w:b/>
        </w:rPr>
        <w:t xml:space="preserve">Pub date: </w:t>
      </w:r>
      <w:r>
        <w:t>2026-07-29 12:06:54+00:00</w:t>
      </w:r>
      <w:r>
        <w:t xml:space="preserve">    </w:t>
      </w:r>
      <w:r>
        <w:rPr>
          <w:b/>
        </w:rPr>
        <w:t xml:space="preserve">DOI: </w:t>
      </w:r>
      <w:hyperlink r:id="rId1587">
        <w:r>
          <w:rPr>
            <w:color w:val="1155CC"/>
            <w:u w:val="single"/>
          </w:rPr>
          <w:t>10.1002/anie.2260330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有机Cu(I)卤化物具有高度可设计的结构、系统的可调性和高效的发射；然而，在有机异构 Cu(I) 卤化物多晶型物中同时实现全色可调发射和单相白光发射以及热和化学刺激光学响应尚未见报道。在此，我们合成了α-/β-/γ-/δ-/ε-(ITPP)的零维有机异构Cu(I)碘化物家族</w:t>
      </w:r>
      <w:r>
        <w:rPr>
          <w:vertAlign w:val="subscript"/>
        </w:rPr>
        <w:t>2</w:t>
      </w:r>
      <w:r>
        <w:t>铜</w:t>
      </w:r>
      <w:r>
        <w:rPr>
          <w:vertAlign w:val="subscript"/>
        </w:rPr>
        <w:t>2</w:t>
      </w:r>
      <w:r>
        <w:t>我</w:t>
      </w:r>
      <w:r>
        <w:rPr>
          <w:vertAlign w:val="subscript"/>
        </w:rPr>
        <w:t>4</w:t>
      </w:r>
      <w:r>
        <w:t>，所有这些都具有相同的分子式并在单斜空间群中结晶</w:t>
      </w:r>
      <w:r>
        <w:t xml:space="preserve"> </w:t>
      </w:r>
      <w:r>
        <w:t>磷</w:t>
      </w:r>
      <w:r>
        <w:rPr>
          <w:vertAlign w:val="subscript"/>
        </w:rPr>
        <w:t>2</w:t>
      </w:r>
      <w:r>
        <w:rPr>
          <w:vertAlign w:val="subscript"/>
        </w:rPr>
        <w:t>1</w:t>
      </w:r>
      <w:r>
        <w:t>/</w:t>
      </w:r>
      <w:r>
        <w:t>n</w:t>
      </w:r>
      <w:r>
        <w:t xml:space="preserve"> </w:t>
      </w:r>
      <w:r>
        <w:t>。然而，由于[Cu的排列方向不同</w:t>
      </w:r>
      <w:r>
        <w:rPr>
          <w:vertAlign w:val="subscript"/>
        </w:rPr>
        <w:t>2</w:t>
      </w:r>
      <w:r>
        <w:t>我</w:t>
      </w:r>
      <w:r>
        <w:rPr>
          <w:vertAlign w:val="subscript"/>
        </w:rPr>
        <w:t>4</w:t>
      </w:r>
      <w:r>
        <w:t>]</w:t>
      </w:r>
      <w:r>
        <w:t xml:space="preserve"> </w:t>
      </w:r>
      <w:r>
        <w:t>2−</w:t>
      </w:r>
      <w:r>
        <w:t>簇和周围的分子环境，α-/β-/γ-/δ-/ε-(ITPP)</w:t>
      </w:r>
      <w:r>
        <w:rPr>
          <w:vertAlign w:val="subscript"/>
        </w:rPr>
        <w:t>2</w:t>
      </w:r>
      <w:r>
        <w:t>铜</w:t>
      </w:r>
      <w:r>
        <w:rPr>
          <w:vertAlign w:val="subscript"/>
        </w:rPr>
        <w:t>2</w:t>
      </w:r>
      <w:r>
        <w:t>我</w:t>
      </w:r>
      <w:r>
        <w:rPr>
          <w:vertAlign w:val="subscript"/>
        </w:rPr>
        <w:t>4</w:t>
      </w:r>
      <w:r>
        <w:t>呈现蓝色、绿色、黄色、红色和白色发射，最佳发光效率为92.4%。有趣的是，α-/β-/γ-/δ-/ε-(ITPP)</w:t>
      </w:r>
      <w:r>
        <w:rPr>
          <w:vertAlign w:val="subscript"/>
        </w:rPr>
        <w:t>2</w:t>
      </w:r>
      <w:r>
        <w:t>铜</w:t>
      </w:r>
      <w:r>
        <w:rPr>
          <w:vertAlign w:val="subscript"/>
        </w:rPr>
        <w:t>2</w:t>
      </w:r>
      <w:r>
        <w:t>我</w:t>
      </w:r>
      <w:r>
        <w:rPr>
          <w:vertAlign w:val="subscript"/>
        </w:rPr>
        <w:t>4</w:t>
      </w:r>
      <w:r>
        <w:t>显示不同温度下可调谐的双自俘获激子发射，使它们适合</w:t>
      </w:r>
    </w:p>
    <w:p>
      <w:pPr>
        <w:spacing w:before="0" w:after="200" w:lineRule="auto" w:line="276"/>
      </w:pPr>
      <w:r>
        <w:rPr>
          <w:b/>
        </w:rPr>
        <w:t xml:space="preserve">Abstract (EN): </w:t>
      </w:r>
      <w:r>
        <w:t>Organic Cu(I) halides feature highly designable structures, systematic tunability, and efficient emission; however, simultaneously achieving full‐color tunable emission and single‐phase white emission with thermal‐ and chemical‐stimulated optical responses in organic isomeric Cu(I) halides polymorphs have never been reported. Herein, we synthesized a family of zero‐dimensional organic isomeric Cu(I) iodides of α‐/β‐/γ‐/δ‐/ε‐(ITPP)</w:t>
      </w:r>
      <w:r>
        <w:rPr>
          <w:vertAlign w:val="subscript"/>
        </w:rPr>
        <w:t>2</w:t>
      </w:r>
      <w:r>
        <w:t>Cu</w:t>
      </w:r>
      <w:r>
        <w:rPr>
          <w:vertAlign w:val="subscript"/>
        </w:rPr>
        <w:t>2</w:t>
      </w:r>
      <w:r>
        <w:t>I</w:t>
      </w:r>
      <w:r>
        <w:rPr>
          <w:vertAlign w:val="subscript"/>
        </w:rPr>
        <w:t>4</w:t>
      </w:r>
      <w:r>
        <w:t>, all of which have the same molecular formula and crystallize in monoclinic space group</w:t>
      </w:r>
      <w:r>
        <w:t xml:space="preserve"> </w:t>
      </w:r>
      <w:r>
        <w:t>P</w:t>
      </w:r>
      <w:r>
        <w:rPr>
          <w:vertAlign w:val="subscript"/>
        </w:rPr>
        <w:t>2</w:t>
      </w:r>
      <w:r>
        <w:rPr>
          <w:vertAlign w:val="subscript"/>
        </w:rPr>
        <w:t>1</w:t>
      </w:r>
      <w:r>
        <w:t>/</w:t>
      </w:r>
      <w:r>
        <w:t>n</w:t>
      </w:r>
      <w:r>
        <w:t xml:space="preserve"> </w:t>
      </w:r>
      <w:r>
        <w:t>. However, due to the different arrangement orientation of [Cu</w:t>
      </w:r>
      <w:r>
        <w:rPr>
          <w:vertAlign w:val="subscript"/>
        </w:rPr>
        <w:t>2</w:t>
      </w:r>
      <w:r>
        <w:t>I</w:t>
      </w:r>
      <w:r>
        <w:rPr>
          <w:vertAlign w:val="subscript"/>
        </w:rPr>
        <w:t>4</w:t>
      </w:r>
      <w:r>
        <w:t>]</w:t>
      </w:r>
      <w:r>
        <w:t xml:space="preserve"> </w:t>
      </w:r>
      <w:r>
        <w:t>2−</w:t>
      </w:r>
      <w:r>
        <w:t>clusters and the surrounding molecular environment, α‐/β‐/γ‐/δ‐/ε‐(ITPP)</w:t>
      </w:r>
      <w:r>
        <w:rPr>
          <w:vertAlign w:val="subscript"/>
        </w:rPr>
        <w:t>2</w:t>
      </w:r>
      <w:r>
        <w:t>Cu</w:t>
      </w:r>
      <w:r>
        <w:rPr>
          <w:vertAlign w:val="subscript"/>
        </w:rPr>
        <w:t>2</w:t>
      </w:r>
      <w:r>
        <w:t>I</w:t>
      </w:r>
      <w:r>
        <w:rPr>
          <w:vertAlign w:val="subscript"/>
        </w:rPr>
        <w:t>4</w:t>
      </w:r>
      <w:r>
        <w:t>exhibits blue, green, yellow, red, and white emission, with an optimal luminous efficiency of 92.4%. Interestingly, α‐/β‐/γ‐/δ‐/ε‐(ITPP)</w:t>
      </w:r>
      <w:r>
        <w:rPr>
          <w:vertAlign w:val="subscript"/>
        </w:rPr>
        <w:t>2</w:t>
      </w:r>
      <w:r>
        <w:t>Cu</w:t>
      </w:r>
      <w:r>
        <w:rPr>
          <w:vertAlign w:val="subscript"/>
        </w:rPr>
        <w:t>2</w:t>
      </w:r>
      <w:r>
        <w:t>I</w:t>
      </w:r>
      <w:r>
        <w:rPr>
          <w:vertAlign w:val="subscript"/>
        </w:rPr>
        <w:t>4</w:t>
      </w:r>
      <w:r>
        <w:t>shows tunable dual self‐trapped excitons emission under different temperatures, making them suitable for optical thermometry with an ultrahigh relative thermal sensitivity of 13.17%</w:t>
      </w:r>
      <w:r>
        <w:t xml:space="preserve"> </w:t>
      </w:r>
      <w:r>
        <w:t>·</w:t>
      </w:r>
      <w:r>
        <w:t xml:space="preserve"> </w:t>
      </w:r>
      <w:r>
        <w:t>K</w:t>
      </w:r>
      <w:r>
        <w:t xml:space="preserve"> </w:t>
      </w:r>
      <w:r>
        <w:t>−1</w:t>
      </w:r>
      <w:r>
        <w:t xml:space="preserve"> </w:t>
      </w:r>
      <w:r>
        <w:t>. Moreover, external chemical stimuli can induce luminescent transformation between different hybrid Cu(I) iodides, which enables us to demonstrate their application in multiple anti‐counterfeiting. Parallelly, hybrid Cu(I) iodides also exhibit efficient x‐ray scintillation with a high light yield of 63500 ± 1200 photons/MeV, and a customizable large‐area flexible paper‐based film has been prepared in situ using an “ancient fabric dyeing process”, demonstrating its application in x‐ray imaging with an ultrahigh spatial resolution of 20.8 lp/mm.</w:t>
      </w:r>
    </w:p>
    <w:p>
      <w:pPr>
        <w:spacing w:before="120" w:after="120"/>
      </w:pPr>
      <w:r>
        <w:rPr>
          <w:sz w:val="18"/>
        </w:rPr>
        <w:t>——————————————————————————————————————————————————————————————————————</w:t>
      </w:r>
    </w:p>
    <w:p>
      <w:pPr>
        <w:spacing w:before="160" w:after="40" w:line="240" w:lineRule="auto"/>
      </w:pPr>
      <w:r>
        <w:rPr>
          <w:b/>
        </w:rPr>
        <w:t xml:space="preserve">[628] </w:t>
      </w:r>
      <w:hyperlink r:id="rId1588">
        <w:r>
          <w:rPr>
            <w:color w:val="1155CC"/>
            <w:u w:val="single"/>
          </w:rPr>
          <w:t>末端脱氧核苷酸转移酶的结构引导重新设计实现了可扩展的酶促 DNA 合成以用于数据存储</w:t>
        </w:r>
      </w:hyperlink>
    </w:p>
    <w:p>
      <w:pPr>
        <w:spacing w:before="0" w:after="80"/>
      </w:pPr>
      <w:r>
        <w:rPr>
          <w:i/>
          <w:sz w:val="20"/>
        </w:rPr>
        <w:t>EN: Structure‐Guided Redesign of Terminal Deoxynucleotidyl Transferase Enables Scalable Enzymatic DNA Synthesis for Data Storage</w:t>
      </w:r>
    </w:p>
    <w:p>
      <w:pPr>
        <w:spacing w:before="0" w:after="120"/>
      </w:pPr>
      <w:r>
        <w:rPr>
          <w:b/>
        </w:rPr>
        <w:t xml:space="preserve">Source: </w:t>
      </w:r>
      <w:r>
        <w:t>Wiley: Angewandte Chemie International Edition: Table of Contents</w:t>
      </w:r>
      <w:r>
        <w:t xml:space="preserve">    </w:t>
      </w:r>
      <w:r>
        <w:rPr>
          <w:b/>
        </w:rPr>
        <w:t xml:space="preserve">Pub date: </w:t>
      </w:r>
      <w:r>
        <w:t>2026-07-29 12:09:42+00:00</w:t>
      </w:r>
      <w:r>
        <w:t xml:space="preserve">    </w:t>
      </w:r>
      <w:r>
        <w:rPr>
          <w:b/>
        </w:rPr>
        <w:t xml:space="preserve">DOI: </w:t>
      </w:r>
      <w:hyperlink r:id="rId1589">
        <w:r>
          <w:rPr>
            <w:color w:val="1155CC"/>
            <w:u w:val="single"/>
          </w:rPr>
          <w:t>10.1002/anie.4267702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DNA 具有卓越的信息容量和化学稳定性，是下一代数据存储的一种有前途的材料，可以满足全球数字信息需求的指数增长。酶法 DNA 合成为 DNA 生产提供了一条可持续的途径。然而，底层聚合化学的实际可扩展性从根本上受到催化效率低和负责核苷酸聚合的末端脱氧核苷酸转移酶（TdT）聚集诱导的失活的限制。在这里，我们报告了一种结构引导的酶设计框架，该框架通过解耦持续聚合酶的溶解度和催化性能来克服这些内在限制。易聚集区域的计算重新设计显着增强了可溶性表达，而靶向活性位点工程提高了 3'-ONH 的催化效率</w:t>
      </w:r>
      <w:r>
        <w:rPr>
          <w:vertAlign w:val="subscript"/>
        </w:rPr>
        <w:t>2</w:t>
      </w:r>
      <w:r>
        <w:t>‐dNTP 用于 DNA 酶合成。由此产生的 TdT 变体 HL2-LKI 达到 3.4 g L</w:t>
      </w:r>
      <w:r>
        <w:t xml:space="preserve"> </w:t>
      </w:r>
      <w:r>
        <w:t>−1</w:t>
      </w:r>
      <w:r>
        <w:t xml:space="preserve"> </w:t>
      </w:r>
      <w:r>
        <w:t>在没有融合标签的 5 L 发酵罐中可溶性表达，并表现出高聚合效率 (99.9%) 和 DNA 写入保真度 (98.9%)。这种重新设计将酶生产成本降低至约 0.7 美元克</w:t>
      </w:r>
      <w:r>
        <w:t xml:space="preserve"> </w:t>
      </w:r>
      <w:r>
        <w:t>−1</w:t>
      </w:r>
      <w:r>
        <w:t xml:space="preserve"> </w:t>
      </w:r>
      <w:r>
        <w:t>，比市售TdT的目录价格低近七个数量级。这项工作建立了一种通用策略，用于转变聚合限制酶聚合反应</w:t>
      </w:r>
    </w:p>
    <w:p>
      <w:pPr>
        <w:spacing w:before="0" w:after="200" w:lineRule="auto" w:line="276"/>
      </w:pPr>
      <w:r>
        <w:rPr>
          <w:b/>
        </w:rPr>
        <w:t xml:space="preserve">Abstract (EN): </w:t>
      </w:r>
      <w:r>
        <w:t>DNA, with its exceptional information capacity and chemical stability, represents a promising material for next‐generation data storage to meet the exponential growth of global digital information demands. Enzymatic DNA synthesis provides a sustainable route to DNA production. However, the practical scalability of the underlying polymerization chemistry has been fundamentally constrained by the low catalytic efficiency and aggregation‐induced inactivation of terminal deoxynucleotidyl transferase (TdT) that is responsible for nucleotide polymerization. Here, we report a structure‐guided enzyme design framework that overcomes these intrinsic limitations by decoupling solubility and catalytic performance in a processive polymerase. Computational redesign of aggregation‐prone regions markedly enhances soluble expression, while targeted active‐site engineering improves catalytic efficiency toward 3′‐ONH</w:t>
      </w:r>
      <w:r>
        <w:rPr>
          <w:vertAlign w:val="subscript"/>
        </w:rPr>
        <w:t>2</w:t>
      </w:r>
      <w:r>
        <w:t>‐dNTPs used in enzymatic DNA synthesis. The resulting TdT variant HL2‐LKI achieves 3.4 g L</w:t>
      </w:r>
      <w:r>
        <w:t xml:space="preserve"> </w:t>
      </w:r>
      <w:r>
        <w:t>−1</w:t>
      </w:r>
      <w:r>
        <w:t xml:space="preserve"> </w:t>
      </w:r>
      <w:r>
        <w:t>soluble expression in a 5 L fermenter without fusion tags and exhibits high polymerization efficiency (99.9%) and DNA writing fidelity (98.9%). This redesign reduces enzyme production costs to approximately $0.7 g</w:t>
      </w:r>
      <w:r>
        <w:t xml:space="preserve"> </w:t>
      </w:r>
      <w:r>
        <w:t>−1</w:t>
      </w:r>
      <w:r>
        <w:t xml:space="preserve"> </w:t>
      </w:r>
      <w:r>
        <w:t>, nearly seven orders of magnitude lower than the catalog price of commercially available TdT. This work establishes a generalizable strategy for transforming aggregation‐limited enzymatic polymerization reactions into scalable and low‐cost molecular manufacturing processes, thereby advancing the practical implementation of DNA as an information material.</w:t>
      </w:r>
    </w:p>
    <w:p>
      <w:pPr>
        <w:spacing w:before="120" w:after="120"/>
      </w:pPr>
      <w:r>
        <w:rPr>
          <w:sz w:val="18"/>
        </w:rPr>
        <w:t>——————————————————————————————————————————————————————————————————————</w:t>
      </w:r>
    </w:p>
    <w:p>
      <w:pPr>
        <w:spacing w:before="160" w:after="40" w:line="240" w:lineRule="auto"/>
      </w:pPr>
      <w:r>
        <w:rPr>
          <w:b/>
        </w:rPr>
        <w:t xml:space="preserve">[629] </w:t>
      </w:r>
      <w:hyperlink r:id="rId1590">
        <w:r>
          <w:rPr>
            <w:color w:val="1155CC"/>
            <w:u w:val="single"/>
          </w:rPr>
          <w:t>用于高性能 OLED 的窄带深红和近红外四齿铂 (II) 配合物，发射峰值高达 715 nm，EQE 超过 20%</w:t>
        </w:r>
      </w:hyperlink>
    </w:p>
    <w:p>
      <w:pPr>
        <w:spacing w:before="0" w:after="80"/>
      </w:pPr>
      <w:r>
        <w:rPr>
          <w:i/>
          <w:sz w:val="20"/>
        </w:rPr>
        <w:t>EN: Narrowband Deep‐Red and Near‐Infrared Tetradentate Platinum(II) Complexes for High‐Performance OLEDs With Emission Peaks up to 715 nm and EQEs Over 20%</w:t>
      </w:r>
    </w:p>
    <w:p>
      <w:pPr>
        <w:spacing w:before="0" w:after="120"/>
      </w:pPr>
      <w:r>
        <w:rPr>
          <w:b/>
        </w:rPr>
        <w:t xml:space="preserve">Source: </w:t>
      </w:r>
      <w:r>
        <w:t>Wiley: Angewandte Chemie International Edition: Table of Contents</w:t>
      </w:r>
      <w:r>
        <w:t xml:space="preserve">    </w:t>
      </w:r>
      <w:r>
        <w:rPr>
          <w:b/>
        </w:rPr>
        <w:t xml:space="preserve">Pub date: </w:t>
      </w:r>
      <w:r>
        <w:t>2026-07-29 12:10:36+00:00</w:t>
      </w:r>
      <w:r>
        <w:t xml:space="preserve">    </w:t>
      </w:r>
      <w:r>
        <w:rPr>
          <w:b/>
        </w:rPr>
        <w:t xml:space="preserve">DOI: </w:t>
      </w:r>
      <w:hyperlink r:id="rId1591">
        <w:r>
          <w:rPr>
            <w:color w:val="1155CC"/>
            <w:u w:val="single"/>
          </w:rPr>
          <w:t>10.1002/anie.5933955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最近在可见光区域实现了窄带重金属磷光配合物，但这种窄带深红/近红外（DR/NIR）发射器尚未见报道。在这项研究中，四种新型四齿 Pt(II) 发射体（</w:t>
      </w:r>
      <w:r>
        <w:t xml:space="preserve"> </w:t>
      </w:r>
      <w:r>
        <w:t>铂-</w:t>
      </w:r>
      <w:r>
        <w:t>1,3</w:t>
      </w:r>
      <w:r>
        <w:t xml:space="preserve"> </w:t>
      </w:r>
      <w:r>
        <w:t>‐DZF</w:t>
      </w:r>
      <w:r>
        <w:t xml:space="preserve"> </w:t>
      </w:r>
      <w:r>
        <w:t>,</w:t>
      </w:r>
      <w:r>
        <w:t xml:space="preserve"> </w:t>
      </w:r>
      <w:r>
        <w:t>铂-</w:t>
      </w:r>
      <w:r>
        <w:t>2,4</w:t>
      </w:r>
      <w:r>
        <w:t xml:space="preserve"> </w:t>
      </w:r>
      <w:r>
        <w:t>‐DZF</w:t>
      </w:r>
      <w:r>
        <w:t xml:space="preserve"> </w:t>
      </w:r>
      <w:r>
        <w:t>,</w:t>
      </w:r>
      <w:r>
        <w:t xml:space="preserve"> </w:t>
      </w:r>
      <w:r>
        <w:t>铂-</w:t>
      </w:r>
      <w:r>
        <w:t>1,3</w:t>
      </w:r>
      <w:r>
        <w:t xml:space="preserve"> </w:t>
      </w:r>
      <w:r>
        <w:t>‐PhCz</w:t>
      </w:r>
      <w:r>
        <w:t xml:space="preserve"> </w:t>
      </w:r>
      <w:r>
        <w:t>, 和</w:t>
      </w:r>
      <w:r>
        <w:t xml:space="preserve"> </w:t>
      </w:r>
      <w:r>
        <w:t>铂-</w:t>
      </w:r>
      <w:r>
        <w:t>2,4</w:t>
      </w:r>
      <w:r>
        <w:t xml:space="preserve"> </w:t>
      </w:r>
      <w:r>
        <w:t>‐PhCz</w:t>
      </w:r>
      <w:r>
        <w:t xml:space="preserve"> </w:t>
      </w:r>
      <w:r>
        <w:t>）是通过将供体π延伸与基于二苯并[的连接位置异构化相结合而合理设计的</w:t>
      </w:r>
      <w:r>
        <w:t xml:space="preserve"> </w:t>
      </w:r>
      <w:r>
        <w:t>乙、丁</w:t>
      </w:r>
      <w:r>
        <w:t xml:space="preserve"> </w:t>
      </w:r>
      <w:r>
        <w:t>]呋喃 (DZF)- 和 9-苯基-9</w:t>
      </w:r>
      <w:r>
        <w:t xml:space="preserve"> </w:t>
      </w:r>
      <w:r>
        <w:t>H</w:t>
      </w:r>
      <w:r>
        <w:t xml:space="preserve"> </w:t>
      </w:r>
      <w:r>
        <w:t>‐咔唑（PhCz）功能化的三芳胺骨架。该策略有效地调节发射激发态特性并实现窄带 DR/NIR 磷光。基于这些发射器的真空沉积 OLED 可实现 670-715 nm 的最大发射波长、高达 20.4% 的最大外量子效率 (EQE)，并且在高辐射率下效率滚降较小。此外，电致发光光谱的半峰全宽 (FWHM) 窄至 51 nm (0.14 eV)，与</w:t>
      </w:r>
    </w:p>
    <w:p>
      <w:pPr>
        <w:spacing w:before="0" w:after="200" w:lineRule="auto" w:line="276"/>
      </w:pPr>
      <w:r>
        <w:rPr>
          <w:b/>
        </w:rPr>
        <w:t xml:space="preserve">Abstract (EN): </w:t>
      </w:r>
      <w:r>
        <w:t>Narrowband heavy‐metal phosphorescent complexes have been achieved in the visible region recently, yet such narrowband deep‐red/near‐infrared (DR/NIR) emitters have not been reported. In this study, four new tetradentate Pt(II) emitters (</w:t>
      </w:r>
      <w:r>
        <w:t xml:space="preserve"> </w:t>
      </w:r>
      <w:r>
        <w:t>Pt‐</w:t>
      </w:r>
      <w:r>
        <w:t xml:space="preserve"> </w:t>
      </w:r>
      <w:r>
        <w:t>1,3</w:t>
      </w:r>
      <w:r>
        <w:t xml:space="preserve"> </w:t>
      </w:r>
      <w:r>
        <w:t>‐DZF</w:t>
      </w:r>
      <w:r>
        <w:t xml:space="preserve"> </w:t>
      </w:r>
      <w:r>
        <w:t>,</w:t>
      </w:r>
      <w:r>
        <w:t xml:space="preserve"> </w:t>
      </w:r>
      <w:r>
        <w:t>Pt‐</w:t>
      </w:r>
      <w:r>
        <w:t xml:space="preserve"> </w:t>
      </w:r>
      <w:r>
        <w:t>2,4</w:t>
      </w:r>
      <w:r>
        <w:t xml:space="preserve"> </w:t>
      </w:r>
      <w:r>
        <w:t>‐DZF</w:t>
      </w:r>
      <w:r>
        <w:t xml:space="preserve"> </w:t>
      </w:r>
      <w:r>
        <w:t>,</w:t>
      </w:r>
      <w:r>
        <w:t xml:space="preserve"> </w:t>
      </w:r>
      <w:r>
        <w:t>Pt‐</w:t>
      </w:r>
      <w:r>
        <w:t xml:space="preserve"> </w:t>
      </w:r>
      <w:r>
        <w:t>1,3</w:t>
      </w:r>
      <w:r>
        <w:t xml:space="preserve"> </w:t>
      </w:r>
      <w:r>
        <w:t>‐PhCz</w:t>
      </w:r>
      <w:r>
        <w:t xml:space="preserve"> </w:t>
      </w:r>
      <w:r>
        <w:t>, and</w:t>
      </w:r>
      <w:r>
        <w:t xml:space="preserve"> </w:t>
      </w:r>
      <w:r>
        <w:t>Pt‐</w:t>
      </w:r>
      <w:r>
        <w:t xml:space="preserve"> </w:t>
      </w:r>
      <w:r>
        <w:t>2,4</w:t>
      </w:r>
      <w:r>
        <w:t xml:space="preserve"> </w:t>
      </w:r>
      <w:r>
        <w:t>‐PhCz</w:t>
      </w:r>
      <w:r>
        <w:t xml:space="preserve"> </w:t>
      </w:r>
      <w:r>
        <w:t>) are rationally designed by combining donor π‐extension with linkage‐position isomerization based on dibenzo[</w:t>
      </w:r>
      <w:r>
        <w:t xml:space="preserve"> </w:t>
      </w:r>
      <w:r>
        <w:t>b,d</w:t>
      </w:r>
      <w:r>
        <w:t xml:space="preserve"> </w:t>
      </w:r>
      <w:r>
        <w:t>]furan (DZF)‐ and 9‐phenyl‐9</w:t>
      </w:r>
      <w:r>
        <w:t xml:space="preserve"> </w:t>
      </w:r>
      <w:r>
        <w:t>H</w:t>
      </w:r>
      <w:r>
        <w:t xml:space="preserve"> </w:t>
      </w:r>
      <w:r>
        <w:t>‐carbazole (PhCz)‐functionalized triarylamine frameworks. This strategy effectively modulates the emissive excited‐state character and enables narrowband DR/NIR phosphorescence. Vacuum‐deposited OLEDs based on these emitters achieve emission maxima of 670–715 nm, maximum external quantum efficiencies (EQEs) up to 20.4%, and small efficiency roll‐offs at high radiance. Moreover, the full width at half maximums (FWHM) of electroluminescence spectra realize as narrow as 51 nm (0.14 eV), which is comparable to state‐of‐the‐art DR/NIR multiple‐resonance thermally activated delayed fluorescence (MR‐TADF) emitters, highlighting the potential of these Pt(II) complexes for high‐performance narrowband DR/NIR OLEDs.</w:t>
      </w:r>
    </w:p>
    <w:p>
      <w:pPr>
        <w:spacing w:before="120" w:after="120"/>
      </w:pPr>
      <w:r>
        <w:rPr>
          <w:sz w:val="18"/>
        </w:rPr>
        <w:t>——————————————————————————————————————————————————————————————————————</w:t>
      </w:r>
    </w:p>
    <w:p>
      <w:pPr>
        <w:spacing w:before="160" w:after="40" w:line="240" w:lineRule="auto"/>
      </w:pPr>
      <w:r>
        <w:rPr>
          <w:b/>
        </w:rPr>
        <w:t xml:space="preserve">[630] </w:t>
      </w:r>
      <w:hyperlink r:id="rId1592">
        <w:r>
          <w:rPr>
            <w:color w:val="1155CC"/>
            <w:u w:val="single"/>
          </w:rPr>
          <w:t>利用超分子圆偏振散射增强手性光学性能</w:t>
        </w:r>
      </w:hyperlink>
    </w:p>
    <w:p>
      <w:pPr>
        <w:spacing w:before="0" w:after="80"/>
      </w:pPr>
      <w:r>
        <w:rPr>
          <w:i/>
          <w:sz w:val="20"/>
        </w:rPr>
        <w:t>EN: Harnessing Supramolecular Circularly Polarized Scattering for Enhanced Chiroptical Performance</w:t>
      </w:r>
    </w:p>
    <w:p>
      <w:pPr>
        <w:spacing w:before="0" w:after="120"/>
      </w:pPr>
      <w:r>
        <w:rPr>
          <w:b/>
        </w:rPr>
        <w:t xml:space="preserve">Source: </w:t>
      </w:r>
      <w:r>
        <w:t>Wiley: Angewandte Chemie International Edition: Table of Contents</w:t>
      </w:r>
      <w:r>
        <w:t xml:space="preserve">    </w:t>
      </w:r>
      <w:r>
        <w:rPr>
          <w:b/>
        </w:rPr>
        <w:t xml:space="preserve">Pub date: </w:t>
      </w:r>
      <w:r>
        <w:t>2026-07-29 12:13:04+00:00</w:t>
      </w:r>
      <w:r>
        <w:t xml:space="preserve">    </w:t>
      </w:r>
      <w:r>
        <w:rPr>
          <w:b/>
        </w:rPr>
        <w:t xml:space="preserve">DOI: </w:t>
      </w:r>
      <w:hyperlink r:id="rId1593">
        <w:r>
          <w:rPr>
            <w:color w:val="1155CC"/>
            <w:u w:val="single"/>
          </w:rPr>
          <w:t>10.1002/anie.5198135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圆偏振发光 (CPL) 材料的最新进展已将重点从优化 CPL 固有特性转移到利用协同光物理过程来增强系统级性能。在这项研究中，我们设计并合成了一类手性有机小分子，称为（</w:t>
      </w:r>
      <w:r>
        <w:t xml:space="preserve"> </w:t>
      </w:r>
      <w:r>
        <w:t>右</w:t>
      </w:r>
      <w:r>
        <w:t xml:space="preserve"> </w:t>
      </w:r>
      <w:r>
        <w:t>/</w:t>
      </w:r>
      <w:r>
        <w:t>S</w:t>
      </w:r>
      <w:r>
        <w:t xml:space="preserve"> </w:t>
      </w:r>
      <w:r>
        <w:t>)‐4LC，其超分子组装体表现出类瑞利散射行为。更重要的是，这些纳米结构表现出圆偏振散射（CPS）行为，选择性放大左手或右手CPL信号，并实现发光不对称因子前所未有的200倍增加（</w:t>
      </w:r>
      <w:r>
        <w:t xml:space="preserve"> </w:t>
      </w:r>
      <w:r>
        <w:t>克</w:t>
      </w:r>
      <w:r>
        <w:t xml:space="preserve"> </w:t>
      </w:r>
      <w:r>
        <w:t>卢姆</w:t>
      </w:r>
      <w:r>
        <w:t xml:space="preserve"> </w:t>
      </w:r>
      <w:r>
        <w:t>= 0.73），与</w:t>
      </w:r>
      <w:r>
        <w:t xml:space="preserve"> </w:t>
      </w:r>
      <w:r>
        <w:t>克</w:t>
      </w:r>
      <w:r>
        <w:t xml:space="preserve"> </w:t>
      </w:r>
      <w:r>
        <w:t>卢姆</w:t>
      </w:r>
      <w:r>
        <w:t xml:space="preserve"> </w:t>
      </w:r>
      <w:r>
        <w:t>在没有散射贡献的情况下获得的值。此外，这些结构可作为有效的手性能量供体，通过辐射能量转移将极化能量转移到非手性量子点（QD），从而在其他非手性发射体中诱导 CPL 活性。利用该平台，我们开发了两种类型的 CPS 增强型 QD 发光二极管 (CPS-QLED)，在光致发光和电致发光系统中展示了放大的手性光学信号。这项工作标志着利用超分子 CPS 效应增强手性光学性能的首次演示，为设计</w:t>
      </w:r>
    </w:p>
    <w:p>
      <w:pPr>
        <w:spacing w:before="0" w:after="200" w:lineRule="auto" w:line="276"/>
      </w:pPr>
      <w:r>
        <w:rPr>
          <w:b/>
        </w:rPr>
        <w:t xml:space="preserve">Abstract (EN): </w:t>
      </w:r>
      <w:r>
        <w:t>Recent advancements in circularly polarized luminescence (CPL) materials have shifted the emphasis from optimizing intrinsic CPL properties to leveraging synergistic photophysical processes for enhanced system‐level performance. In this study, we designed and synthesized a class of chiral small organic molecules, termed (</w:t>
      </w:r>
      <w:r>
        <w:t xml:space="preserve"> </w:t>
      </w:r>
      <w:r>
        <w:t>R</w:t>
      </w:r>
      <w:r>
        <w:t xml:space="preserve"> </w:t>
      </w:r>
      <w:r>
        <w:t>/</w:t>
      </w:r>
      <w:r>
        <w:t>S</w:t>
      </w:r>
      <w:r>
        <w:t xml:space="preserve"> </w:t>
      </w:r>
      <w:r>
        <w:t>)‐4LC, whose supramolecular assemblies exhibit Rayleigh‐like scattering behavior. More importantly, these nanostructures exhibit circularly polarized scattering (CPS) behavior, selectively amplifying left‐ or right‐handed CPL signals and achieving an unprecedented 200‐fold increase in the luminescence dissymmetry factor (</w:t>
      </w:r>
      <w:r>
        <w:t xml:space="preserve"> </w:t>
      </w:r>
      <w:r>
        <w:t>g</w:t>
      </w:r>
      <w:r>
        <w:t xml:space="preserve"> </w:t>
      </w:r>
      <w:r>
        <w:t>lum</w:t>
      </w:r>
      <w:r>
        <w:t xml:space="preserve"> </w:t>
      </w:r>
      <w:r>
        <w:t>= 0.73), compared with the</w:t>
      </w:r>
      <w:r>
        <w:t xml:space="preserve"> </w:t>
      </w:r>
      <w:r>
        <w:t>g</w:t>
      </w:r>
      <w:r>
        <w:t xml:space="preserve"> </w:t>
      </w:r>
      <w:r>
        <w:t>lum</w:t>
      </w:r>
      <w:r>
        <w:t xml:space="preserve"> </w:t>
      </w:r>
      <w:r>
        <w:t>value obtained in the absence of scattering contributions. Furthermore, these architectures serve as efficient chiral energy donors, transferring polarized energy to achiral quantum dots (QDs) through radiative energy transfer, thereby inducing CPL activity in otherwise nonchiral emitters. Leveraging this platform, we developed two types of CPS‐enhanced QD light‐emitting diodes (CPS‐QLEDs), demonstrating amplified chiroptical signals in both photoluminescence and electroluminescence systems. This work marks the first demonstration of utilizing supramolecular CPS effects to enhance chiroptical performance, offering a robust framework for the design of next‐generation polarized optoelectronic devices.</w:t>
      </w:r>
    </w:p>
    <w:p>
      <w:pPr>
        <w:spacing w:before="120" w:after="120"/>
      </w:pPr>
      <w:r>
        <w:rPr>
          <w:sz w:val="18"/>
        </w:rPr>
        <w:t>——————————————————————————————————————————————————————————————————————</w:t>
      </w:r>
    </w:p>
    <w:p>
      <w:pPr>
        <w:spacing w:before="160" w:after="40" w:line="240" w:lineRule="auto"/>
      </w:pPr>
      <w:r>
        <w:rPr>
          <w:b/>
        </w:rPr>
        <w:t xml:space="preserve">[631] </w:t>
      </w:r>
      <w:hyperlink r:id="rId1594">
        <w:r>
          <w:rPr>
            <w:color w:val="1155CC"/>
            <w:u w:val="single"/>
          </w:rPr>
          <w:t>聚合物刷控制五孪生金纳米棒的缺陷选择性氧化蚀刻</w:t>
        </w:r>
      </w:hyperlink>
    </w:p>
    <w:p>
      <w:pPr>
        <w:spacing w:before="0" w:after="80"/>
      </w:pPr>
      <w:r>
        <w:rPr>
          <w:i/>
          <w:sz w:val="20"/>
        </w:rPr>
        <w:t>EN: Polymer Brushes Govern Defect‐Selective Oxidative Etching of Penta‐Twinned Gold Nanorods</w:t>
      </w:r>
    </w:p>
    <w:p>
      <w:pPr>
        <w:spacing w:before="0" w:after="120"/>
      </w:pPr>
      <w:r>
        <w:rPr>
          <w:b/>
        </w:rPr>
        <w:t xml:space="preserve">Source: </w:t>
      </w:r>
      <w:r>
        <w:t>Wiley: Angewandte Chemie International Edition: Table of Contents</w:t>
      </w:r>
      <w:r>
        <w:t xml:space="preserve">    </w:t>
      </w:r>
      <w:r>
        <w:rPr>
          <w:b/>
        </w:rPr>
        <w:t xml:space="preserve">Pub date: </w:t>
      </w:r>
      <w:r>
        <w:t>2026-07-29 12:18:16+00:00</w:t>
      </w:r>
      <w:r>
        <w:t xml:space="preserve">    </w:t>
      </w:r>
      <w:r>
        <w:rPr>
          <w:b/>
        </w:rPr>
        <w:t xml:space="preserve">DOI: </w:t>
      </w:r>
      <w:hyperlink r:id="rId1595">
        <w:r>
          <w:rPr>
            <w:color w:val="1155CC"/>
            <w:u w:val="single"/>
          </w:rPr>
          <w:t>10.1002/anie.8508304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等离子体纳米粒子的氧化蚀刻提供了改变其形态和光学性质的有效方法，但聚合物配体通常被视为被动空间屏障。在这里，我们表明，端接枝到五孪生金纳米棒（AuNR）表面的聚合物分子可以作为控制缺陷选择性氧化金属蚀刻的活性界面调节剂。通过实验和模拟相结合，我们表明聚合物刷将蚀刻剂离子定位在 AuNR 表面，降低了缺陷丰富区域去除 Au 原子的能量势垒。这种缺陷与配体的相互作用导致沿 AuNR 纵向面出现表面波纹，与单晶 AuNR 对应物的蚀刻行为形成鲜明对比。通过改变聚合物分子量和接枝密度，我们实现了蚀刻 AuNR 的等离子体特性的精确控制。这些发现将聚合物刷确立为纳米级界面反应途径的活性调节剂，为缺陷导向纳米工程在催化、传感和光子学方面的应用提供了一种策略。</w:t>
      </w:r>
    </w:p>
    <w:p>
      <w:pPr>
        <w:spacing w:before="0" w:after="200" w:lineRule="auto" w:line="276"/>
      </w:pPr>
      <w:r>
        <w:rPr>
          <w:b/>
        </w:rPr>
        <w:t xml:space="preserve">Abstract (EN): </w:t>
      </w:r>
      <w:r>
        <w:t>Oxidative etching of plasmonic nanoparticles provides an effective approach to the variation of their morphology and optical properties, yet polymer ligands are generally treated as passive steric barriers. Here, we show that polymer molecules end‐grafted to the surface of penta‐twinned gold nanorods (AuNRs) perform as active interfacial regulators controlling defect‐selective oxidative metal etching. Through a combination of experiments and simulations, we show that polymer brushes localize etchant ions on the AuNR surface, lowering the energetic barrier for Au atom removal at defect‐rich regions. This defect–ligand interplay leads to the emergence of surface corrugations along the AuNR longitudinal facets, in stark contrast to the etching behavior of single‐crystal AuNR counterparts. By varying polymer molecular weight and grafting density, we achieve precise control of the plasmonic properties of etched AuNRs. These findings establish polymer brushes as active modulators of nanoscale interfacial reaction pathways, providing a strategy for defect‐directed nanoengineering with applications in catalysis, sensing, and photonics.</w:t>
      </w:r>
    </w:p>
    <w:p>
      <w:pPr>
        <w:spacing w:before="120" w:after="120"/>
      </w:pPr>
      <w:r>
        <w:rPr>
          <w:sz w:val="18"/>
        </w:rPr>
        <w:t>——————————————————————————————————————————————————————————————————————</w:t>
      </w:r>
    </w:p>
    <w:p>
      <w:pPr>
        <w:spacing w:before="160" w:after="40" w:line="240" w:lineRule="auto"/>
      </w:pPr>
      <w:r>
        <w:rPr>
          <w:b/>
        </w:rPr>
        <w:t xml:space="preserve">[632] </w:t>
      </w:r>
      <w:hyperlink r:id="rId1596">
        <w:r>
          <w:rPr>
            <w:color w:val="1155CC"/>
            <w:u w:val="single"/>
          </w:rPr>
          <w:t>CO 氧化的 CO2* 发光导航氧化物覆盖层工程</w:t>
        </w:r>
      </w:hyperlink>
    </w:p>
    <w:p>
      <w:pPr>
        <w:spacing w:before="0" w:after="80"/>
      </w:pPr>
      <w:r>
        <w:rPr>
          <w:i/>
          <w:sz w:val="20"/>
        </w:rPr>
        <w:t>EN: CO2* Luminescence‐Navigated Oxide Overlayer Engineering for CO Oxidation</w:t>
      </w:r>
    </w:p>
    <w:p>
      <w:pPr>
        <w:spacing w:before="0" w:after="120"/>
      </w:pPr>
      <w:r>
        <w:rPr>
          <w:b/>
        </w:rPr>
        <w:t xml:space="preserve">Source: </w:t>
      </w:r>
      <w:r>
        <w:t>Wiley: Angewandte Chemie International Edition: Table of Contents</w:t>
      </w:r>
      <w:r>
        <w:t xml:space="preserve">    </w:t>
      </w:r>
      <w:r>
        <w:rPr>
          <w:b/>
        </w:rPr>
        <w:t xml:space="preserve">Pub date: </w:t>
      </w:r>
      <w:r>
        <w:t>2026-07-29 12:19:28+00:00</w:t>
      </w:r>
      <w:r>
        <w:t xml:space="preserve">    </w:t>
      </w:r>
      <w:r>
        <w:rPr>
          <w:b/>
        </w:rPr>
        <w:t xml:space="preserve">DOI: </w:t>
      </w:r>
      <w:hyperlink r:id="rId1597">
        <w:r>
          <w:rPr>
            <w:color w:val="1155CC"/>
            <w:u w:val="single"/>
          </w:rPr>
          <w:t>10.1002/anie.3712617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强金属载体相互作用（SMSI）诱导的氧化物覆盖层关键控制金属载体催化剂的CO氧化活性。然而，由于其相互交织的几何效应和电子效应，预测 CO 氧化中的最佳氧化物覆盖层结构仍然具有挑战性。为了解决这个问题，我们引入了激发态CO的发光</w:t>
      </w:r>
      <w:r>
        <w:rPr>
          <w:vertAlign w:val="subscript"/>
        </w:rPr>
        <w:t>2</w:t>
      </w:r>
      <w:r>
        <w:t>分子（CO</w:t>
      </w:r>
      <w:r>
        <w:rPr>
          <w:vertAlign w:val="subscript"/>
        </w:rPr>
        <w:t>2</w:t>
      </w:r>
      <w:r>
        <w:t>*)- 在 CO 氧化反应中弛豫到基态期间产生 - 作为一种新颖的“导航仪”，用于确定金纳米粒子上的理想氧化物覆盖层。二氧化碳</w:t>
      </w:r>
      <w:r>
        <w:rPr>
          <w:vertAlign w:val="subscript"/>
        </w:rPr>
        <w:t>2</w:t>
      </w:r>
      <w:r>
        <w:t>* CO 氧化中的发光强度揭示了对 ZnO 的火山形依赖性</w:t>
      </w:r>
      <w:r>
        <w:t xml:space="preserve"> </w:t>
      </w:r>
      <w:r>
        <w:t>x</w:t>
      </w:r>
      <w:r>
        <w:t xml:space="preserve"> </w:t>
      </w:r>
      <w:r>
        <w:t>覆盖层覆盖率。更有趣的是，这种发光强度的火山分布与固定床反应器中测试的CO转化率直接相关，证明了发光强度和催化活性之间的线性相关性。因此，CO</w:t>
      </w:r>
      <w:r>
        <w:rPr>
          <w:vertAlign w:val="subscript"/>
        </w:rPr>
        <w:t>2</w:t>
      </w:r>
      <w:r>
        <w:t>* 发光作为覆盖层结构和催化活性的指示剂。最后，CO的普遍性</w:t>
      </w:r>
      <w:r>
        <w:rPr>
          <w:vertAlign w:val="subscript"/>
        </w:rPr>
        <w:t>2</w:t>
      </w:r>
      <w:r>
        <w:t>* 发光策略经过经典 Au/MO 验证</w:t>
      </w:r>
      <w:r>
        <w:t xml:space="preserve"> </w:t>
      </w:r>
      <w:r>
        <w:t>x</w:t>
      </w:r>
      <w:r>
        <w:t xml:space="preserve"> </w:t>
      </w:r>
      <w:r>
        <w:t>系统，包括 Au/TiO</w:t>
      </w:r>
      <w:r>
        <w:rPr>
          <w:vertAlign w:val="subscript"/>
        </w:rPr>
        <w:t>2</w:t>
      </w:r>
    </w:p>
    <w:p>
      <w:pPr>
        <w:spacing w:before="0" w:after="200" w:lineRule="auto" w:line="276"/>
      </w:pPr>
      <w:r>
        <w:rPr>
          <w:b/>
        </w:rPr>
        <w:t xml:space="preserve">Abstract (EN): </w:t>
      </w:r>
      <w:r>
        <w:t>Strong metal‐support interaction (SMSI)‐induced oxide overlayers critically govern the CO oxidation activity of metal‐supported catalysts. However, it remains challenging to predict the optimal oxide overlayer structure in CO oxidation due to its intertwined geometric and electronic effects. To address this, we introduce the luminescence of excited‐state CO</w:t>
      </w:r>
      <w:r>
        <w:rPr>
          <w:vertAlign w:val="subscript"/>
        </w:rPr>
        <w:t>2</w:t>
      </w:r>
      <w:r>
        <w:t>molecules (CO</w:t>
      </w:r>
      <w:r>
        <w:rPr>
          <w:vertAlign w:val="subscript"/>
        </w:rPr>
        <w:t>2</w:t>
      </w:r>
      <w:r>
        <w:t>*)‐ generated during their relaxation to the ground state in the CO oxidation reaction‐ as a novel “navigation gauge” for determining the ideal oxide overlayer on Au nanoparticles. The CO</w:t>
      </w:r>
      <w:r>
        <w:rPr>
          <w:vertAlign w:val="subscript"/>
        </w:rPr>
        <w:t>2</w:t>
      </w:r>
      <w:r>
        <w:t>* luminescence intensity in CO oxidation revealed a volcano‐shaped dependence on ZnO</w:t>
      </w:r>
      <w:r>
        <w:t xml:space="preserve"> </w:t>
      </w:r>
      <w:r>
        <w:t>x</w:t>
      </w:r>
      <w:r>
        <w:t xml:space="preserve"> </w:t>
      </w:r>
      <w:r>
        <w:t>overlayer coverage. More interestingly, such a volcano profile of the luminescence intensity directly aligned with the CO conversion tested in the fixed‐bed reactor, demonstrating a linear correlation between luminescence intensity and catalytic activity. Therefore, the CO</w:t>
      </w:r>
      <w:r>
        <w:rPr>
          <w:vertAlign w:val="subscript"/>
        </w:rPr>
        <w:t>2</w:t>
      </w:r>
      <w:r>
        <w:t>* luminescence served as an indicator for both the overlayer structure and the catalytic activity. Finally, the universality of the CO</w:t>
      </w:r>
      <w:r>
        <w:rPr>
          <w:vertAlign w:val="subscript"/>
        </w:rPr>
        <w:t>2</w:t>
      </w:r>
      <w:r>
        <w:t>* luminescence‐lighted strategy was validated over classical Au/MO</w:t>
      </w:r>
      <w:r>
        <w:t xml:space="preserve"> </w:t>
      </w:r>
      <w:r>
        <w:t>x</w:t>
      </w:r>
      <w:r>
        <w:t xml:space="preserve"> </w:t>
      </w:r>
      <w:r>
        <w:t>systems, including Au/TiO</w:t>
      </w:r>
      <w:r>
        <w:rPr>
          <w:vertAlign w:val="subscript"/>
        </w:rPr>
        <w:t>2</w:t>
      </w:r>
      <w:r>
        <w:t>‐R (rutile), Au/TiO</w:t>
      </w:r>
      <w:r>
        <w:rPr>
          <w:vertAlign w:val="subscript"/>
        </w:rPr>
        <w:t>2</w:t>
      </w:r>
      <w:r>
        <w:t>‐A (anatase), and Au/CeO</w:t>
      </w:r>
      <w:r>
        <w:rPr>
          <w:vertAlign w:val="subscript"/>
        </w:rPr>
        <w:t>2</w:t>
      </w:r>
      <w:r>
        <w:t>. It is anticipated that the CO</w:t>
      </w:r>
      <w:r>
        <w:rPr>
          <w:vertAlign w:val="subscript"/>
        </w:rPr>
        <w:t>2</w:t>
      </w:r>
      <w:r>
        <w:t>* luminescence‐lighted strategy not only lights up the intricate oxide overlayer structures but also provides a promising navigation tool for guiding the rational design of highly active CO oxidation catalysts, circumventing conventional trial‐and‐error optimization approaches.</w:t>
      </w:r>
    </w:p>
    <w:p>
      <w:pPr>
        <w:spacing w:before="120" w:after="120"/>
      </w:pPr>
      <w:r>
        <w:rPr>
          <w:sz w:val="18"/>
        </w:rPr>
        <w:t>——————————————————————————————————————————————————————————————————————</w:t>
      </w:r>
    </w:p>
    <w:p>
      <w:pPr>
        <w:spacing w:before="160" w:after="40" w:line="240" w:lineRule="auto"/>
      </w:pPr>
      <w:r>
        <w:rPr>
          <w:b/>
        </w:rPr>
        <w:t xml:space="preserve">[633] </w:t>
      </w:r>
      <w:hyperlink r:id="rId1598">
        <w:r>
          <w:rPr>
            <w:color w:val="1155CC"/>
            <w:u w:val="single"/>
          </w:rPr>
          <w:t>邻位二硼增强[9]Helicene可实现具有大不对称因子和高器件效率的窄带蓝色圆偏振发射器</w:t>
        </w:r>
      </w:hyperlink>
    </w:p>
    <w:p>
      <w:pPr>
        <w:spacing w:before="0" w:after="80"/>
      </w:pPr>
      <w:r>
        <w:rPr>
          <w:i/>
          <w:sz w:val="20"/>
        </w:rPr>
        <w:t>EN: Vicinal‐Diboron Reinforced [9]Helicene Enables Narrowband Blue Circularly Polarized Emitter With Large Dissymmetry Factor and High Device Efficiency</w:t>
      </w:r>
    </w:p>
    <w:p>
      <w:pPr>
        <w:spacing w:before="0" w:after="120"/>
      </w:pPr>
      <w:r>
        <w:rPr>
          <w:b/>
        </w:rPr>
        <w:t xml:space="preserve">Source: </w:t>
      </w:r>
      <w:r>
        <w:t>Wiley: Angewandte Chemie International Edition: Table of Contents</w:t>
      </w:r>
      <w:r>
        <w:t xml:space="preserve">    </w:t>
      </w:r>
      <w:r>
        <w:rPr>
          <w:b/>
        </w:rPr>
        <w:t xml:space="preserve">Pub date: </w:t>
      </w:r>
      <w:r>
        <w:t>2026-07-29 14:03:38+00:00</w:t>
      </w:r>
      <w:r>
        <w:t xml:space="preserve">    </w:t>
      </w:r>
      <w:r>
        <w:rPr>
          <w:b/>
        </w:rPr>
        <w:t xml:space="preserve">DOI: </w:t>
      </w:r>
      <w:hyperlink r:id="rId1599">
        <w:r>
          <w:rPr>
            <w:color w:val="1155CC"/>
            <w:u w:val="single"/>
          </w:rPr>
          <w:t>10.1002/anie.1030078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同时结合窄带发射、高效率和显着手性光学活性的圆偏振多重共振热激活延迟荧光（CP-MR-TADF）发射器仍然很少见，因为螺旋性的放大通常会损害光谱变窄所需的局部电子结构。在这里，我们报道了四硼化的 B,N 嵌入的 [9]螺旋烯，B</w:t>
      </w:r>
      <w:r>
        <w:rPr>
          <w:vertAlign w:val="subscript"/>
        </w:rPr>
        <w:t>4</w:t>
      </w:r>
      <w:r>
        <w:t>ONA，通过构建</w:t>
      </w:r>
      <w:r>
        <w:t xml:space="preserve"> </w:t>
      </w:r>
      <w:r>
        <w:t>正射</w:t>
      </w:r>
      <w:r>
        <w:t xml:space="preserve"> </w:t>
      </w:r>
      <w:r>
        <w:t>‐多重共振框架的二硼强化。结构和理论分析表明</w:t>
      </w:r>
      <w:r>
        <w:t xml:space="preserve"> </w:t>
      </w:r>
      <w:r>
        <w:t>正射</w:t>
      </w:r>
      <w:r>
        <w:t xml:space="preserve"> </w:t>
      </w:r>
      <w:r>
        <w:t>‐二硼构型增强了螺旋刚度和激发态限制，从而抑制结构松弛和振动耦合。乙</w:t>
      </w:r>
      <w:r>
        <w:rPr>
          <w:vertAlign w:val="subscript"/>
        </w:rPr>
        <w:t>4</w:t>
      </w:r>
      <w:r>
        <w:t>ONA 在 462 nm 处呈现纯蓝色发射，半峰全宽 (FWHM) 为 20 nm，具有明显的手性光学活性，光致发光不对称因子达到 5.03 × 10</w:t>
      </w:r>
      <w:r>
        <w:t xml:space="preserve"> </w:t>
      </w:r>
      <w:r>
        <w:t>−3</w:t>
      </w:r>
      <w:r>
        <w:t xml:space="preserve"> </w:t>
      </w:r>
      <w:r>
        <w:t>在发射膜中。基于 B 的有机发光二极管 (OLED)</w:t>
      </w:r>
      <w:r>
        <w:rPr>
          <w:vertAlign w:val="subscript"/>
        </w:rPr>
        <w:t>4</w:t>
      </w:r>
      <w:r>
        <w:t>ONA 可在 464 nm 处发出纯蓝色电致发光，半高宽为 21 nm，外量子效率高达 34.4%，跻身迄今为止报道的蓝色 CP-MR-TADF OLED 的最佳性能之列。这些发现确立了</w:t>
      </w:r>
      <w:r>
        <w:t xml:space="preserve"> </w:t>
      </w:r>
      <w:r>
        <w:t>正射</w:t>
      </w:r>
      <w:r>
        <w:t xml:space="preserve"> </w:t>
      </w:r>
      <w:r>
        <w:t>‐二硼增强高阶 B,N 嵌入螺旋烯的效果</w:t>
      </w:r>
    </w:p>
    <w:p>
      <w:pPr>
        <w:spacing w:before="0" w:after="200" w:lineRule="auto" w:line="276"/>
      </w:pPr>
      <w:r>
        <w:rPr>
          <w:b/>
        </w:rPr>
        <w:t xml:space="preserve">Abstract (EN): </w:t>
      </w:r>
      <w:r>
        <w:t>Circularly polarized multiple‐resonance thermally activated delayed fluorescence (CP‐MR‐TADF) emitters that simultaneously combine narrowband emission, high efficiency, and pronounced chiroptical activity remain rare because amplification of helicity often compromises the localized electronic structure required for spectral narrowing. Here we report a tetraborated B,N‐embedded [9]helicene, B</w:t>
      </w:r>
      <w:r>
        <w:rPr>
          <w:vertAlign w:val="subscript"/>
        </w:rPr>
        <w:t>4</w:t>
      </w:r>
      <w:r>
        <w:t>ONA, constructed through</w:t>
      </w:r>
      <w:r>
        <w:t xml:space="preserve"> </w:t>
      </w:r>
      <w:r>
        <w:t>ortho</w:t>
      </w:r>
      <w:r>
        <w:t xml:space="preserve"> </w:t>
      </w:r>
      <w:r>
        <w:t>‐diboron reinforcement of a multiple‐resonance framework. Structural and theoretical analyses reveal that the</w:t>
      </w:r>
      <w:r>
        <w:t xml:space="preserve"> </w:t>
      </w:r>
      <w:r>
        <w:t>ortho</w:t>
      </w:r>
      <w:r>
        <w:t xml:space="preserve"> </w:t>
      </w:r>
      <w:r>
        <w:t>‐diboron configuration strengthens helical rigidity and excited‐state confinement, thereby suppressing structural relaxation and vibronic coupling. B</w:t>
      </w:r>
      <w:r>
        <w:rPr>
          <w:vertAlign w:val="subscript"/>
        </w:rPr>
        <w:t>4</w:t>
      </w:r>
      <w:r>
        <w:t>ONA exhibits pure‐blue emission at 462 nm with a full width at half‐maximum (FWHM) of 20 nm and pronounced chiroptical activity, reaching a high photoluminescence dissymmetry factor of 5.03 × 10</w:t>
      </w:r>
      <w:r>
        <w:t xml:space="preserve"> </w:t>
      </w:r>
      <w:r>
        <w:t>−3</w:t>
      </w:r>
      <w:r>
        <w:t xml:space="preserve"> </w:t>
      </w:r>
      <w:r>
        <w:t>in the emissive film. Organic light‐emitting diodes (OLEDs) based on B</w:t>
      </w:r>
      <w:r>
        <w:rPr>
          <w:vertAlign w:val="subscript"/>
        </w:rPr>
        <w:t>4</w:t>
      </w:r>
      <w:r>
        <w:t>ONA deliver pure‐blue electroluminescence at 464 nm with a FWHM of 21 nm and external quantum efficiencies of up to 34.4%, ranking among the best performances reported to date for blue CP‐MR‐TADF OLEDs. These findings establish</w:t>
      </w:r>
      <w:r>
        <w:t xml:space="preserve"> </w:t>
      </w:r>
      <w:r>
        <w:t>ortho</w:t>
      </w:r>
      <w:r>
        <w:t xml:space="preserve"> </w:t>
      </w:r>
      <w:r>
        <w:t>‐diboron reinforcement of high‐order B,N‐embedded helicenes as an effective molecular design strategy for CP‐MR‐TADF emitters.</w:t>
      </w:r>
    </w:p>
    <w:p>
      <w:pPr>
        <w:spacing w:before="120" w:after="120"/>
      </w:pPr>
      <w:r>
        <w:rPr>
          <w:sz w:val="18"/>
        </w:rPr>
        <w:t>——————————————————————————————————————————————————————————————————————</w:t>
      </w:r>
    </w:p>
    <w:p>
      <w:pPr>
        <w:spacing w:before="160" w:after="40" w:line="240" w:lineRule="auto"/>
      </w:pPr>
      <w:r>
        <w:rPr>
          <w:b/>
        </w:rPr>
        <w:t xml:space="preserve">[634] </w:t>
      </w:r>
      <w:hyperlink r:id="rId1600">
        <w:r>
          <w:rPr>
            <w:color w:val="1155CC"/>
            <w:u w:val="single"/>
          </w:rPr>
          <w:t>通过氟介导的分子锁定对混合金属卤化物中压力引起的对称性破缺进行动力学捕获</w:t>
        </w:r>
      </w:hyperlink>
    </w:p>
    <w:p>
      <w:pPr>
        <w:spacing w:before="0" w:after="80"/>
      </w:pPr>
      <w:r>
        <w:rPr>
          <w:i/>
          <w:sz w:val="20"/>
        </w:rPr>
        <w:t>EN: Kinetic Trapping of Pressure‐Induced Symmetry Breaking in Hybrid Metal Halides via Fluorine‐Mediated Molecular Locking</w:t>
      </w:r>
    </w:p>
    <w:p>
      <w:pPr>
        <w:spacing w:before="0" w:after="120"/>
      </w:pPr>
      <w:r>
        <w:rPr>
          <w:b/>
        </w:rPr>
        <w:t xml:space="preserve">Source: </w:t>
      </w:r>
      <w:r>
        <w:t>Wiley: Angewandte Chemie International Edition: Table of Contents</w:t>
      </w:r>
      <w:r>
        <w:t xml:space="preserve">    </w:t>
      </w:r>
      <w:r>
        <w:rPr>
          <w:b/>
        </w:rPr>
        <w:t xml:space="preserve">Pub date: </w:t>
      </w:r>
      <w:r>
        <w:t>2026-07-29 14:41:54+00:00</w:t>
      </w:r>
      <w:r>
        <w:t xml:space="preserve">    </w:t>
      </w:r>
      <w:r>
        <w:rPr>
          <w:b/>
        </w:rPr>
        <w:t xml:space="preserve">DOI: </w:t>
      </w:r>
      <w:hyperlink r:id="rId1601">
        <w:r>
          <w:rPr>
            <w:color w:val="1155CC"/>
            <w:u w:val="single"/>
          </w:rPr>
          <w:t>10.1002/anie.6957654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环境条件下永久捕获压力诱导的亚稳态相是一个基本挑战，如果解决了这一挑战，将开启具有奇异功能的材料的新领域。一个主要障碍是压力驱动跃迁的可逆性，特别是对称性破缺的跃迁，它会产生非线性光学活动等有价值的特性。在这里，我们报告了一种动力学捕获策略，通过氟介导的“分子锁”永久保留杂化溴化锡中的高压非中心对称相。使用二维钙钛矿（3-CF</w:t>
      </w:r>
      <w:r>
        <w:rPr>
          <w:vertAlign w:val="subscript"/>
        </w:rPr>
        <w:t>3</w:t>
      </w:r>
      <w:r>
        <w:t>py）</w:t>
      </w:r>
      <w:r>
        <w:rPr>
          <w:vertAlign w:val="subscript"/>
        </w:rPr>
        <w:t>2</w:t>
      </w:r>
      <w:r>
        <w:t>溴化锡</w:t>
      </w:r>
      <w:r>
        <w:rPr>
          <w:vertAlign w:val="subscript"/>
        </w:rPr>
        <w:t>4</w:t>
      </w:r>
      <w:r>
        <w:t>(3-CF</w:t>
      </w:r>
      <w:r>
        <w:rPr>
          <w:vertAlign w:val="subscript"/>
        </w:rPr>
        <w:t>3</w:t>
      </w:r>
      <w:r>
        <w:t>py</w:t>
      </w:r>
      <w:r>
        <w:t xml:space="preserve"> </w:t>
      </w:r>
      <w:r>
        <w:t>+</w:t>
      </w:r>
      <w:r>
        <w:t xml:space="preserve"> </w:t>
      </w:r>
      <w:r>
        <w:t>= 3-(三氟甲基)吡啶鎓)作为模型系统，我们证明静水压缩会在~4.0 GPa处引起对称破缺转变，并具有强烈的二次谐波产生(SHG)响应，其峰值在~8 GPa处，相对于~4.0 GPa处的信号增强了惊人的~400倍。值得注意的是，非中心对称相及其二次谐波活性在完全压力释放后仍然存在。单晶X射线衍射表明，压力增强的定向F·F相互作用协同重组有机-无机框架，抑制弹性恢复并锁定亚稳态结构。重要的是，这一设计原理是可推广的，正如高压非中心对称 p 的捕获所证明的那样。</w:t>
      </w:r>
    </w:p>
    <w:p>
      <w:pPr>
        <w:spacing w:before="0" w:after="200" w:lineRule="auto" w:line="276"/>
      </w:pPr>
      <w:r>
        <w:rPr>
          <w:b/>
        </w:rPr>
        <w:t xml:space="preserve">Abstract (EN): </w:t>
      </w:r>
      <w:r>
        <w:t>Permanently capturing pressure‐induced metastable phases at ambient conditions is a fundamental challenge that, if solved, would unlock a new realm of materials with exotic functionalities. A central obstacle is the reversibility of pressure‐driven transitions, particularly symmetry‐breaking ones that yield valuable properties like nonlinear optical activity. Here, we report a kinetic trapping strategy that permanently preserves high‐pressure noncentrosymmetric phases in hybrid tin bromides via a fluorine‐mediated “molecular lock.” Using a two‐dimensional perovskite (3‐CF</w:t>
      </w:r>
      <w:r>
        <w:rPr>
          <w:vertAlign w:val="subscript"/>
        </w:rPr>
        <w:t>3</w:t>
      </w:r>
      <w:r>
        <w:t>py)</w:t>
      </w:r>
      <w:r>
        <w:rPr>
          <w:vertAlign w:val="subscript"/>
        </w:rPr>
        <w:t>2</w:t>
      </w:r>
      <w:r>
        <w:t>SnBr</w:t>
      </w:r>
      <w:r>
        <w:rPr>
          <w:vertAlign w:val="subscript"/>
        </w:rPr>
        <w:t>4</w:t>
      </w:r>
      <w:r>
        <w:t>(3‐CF</w:t>
      </w:r>
      <w:r>
        <w:rPr>
          <w:vertAlign w:val="subscript"/>
        </w:rPr>
        <w:t>3</w:t>
      </w:r>
      <w:r>
        <w:t>py</w:t>
      </w:r>
      <w:r>
        <w:t xml:space="preserve"> </w:t>
      </w:r>
      <w:r>
        <w:t>+</w:t>
      </w:r>
      <w:r>
        <w:t xml:space="preserve"> </w:t>
      </w:r>
      <w:r>
        <w:t>= 3‐(trifluoromethyl)pyridinium) as a model system, we demonstrate that hydrostatic compression induces a symmetry‐breaking transition at ∼4.0 GPa with a strong second‐harmonic generation (SHG) response, which peaks at ∼8 GPa with a staggering ∼400‐fold enhancement relative to the signal at ∼4.0 GPa. Remarkably, the noncentrosymmetric phase and its SHG activity remain after full pressure release. Single‐crystal x‐ray diffraction reveals that pressure‐enhanced directional F···F interactions cooperatively reorganize the organic–inorganic framework, suppressing elastic recovery and locking in the metastable structure. Importantly, this design principle is generalizable, as demonstrated by trapping of the high‐pressure noncentrosymmetric phase in the one‐dimensional analogue, (3‐CF</w:t>
      </w:r>
      <w:r>
        <w:rPr>
          <w:vertAlign w:val="subscript"/>
        </w:rPr>
        <w:t>3</w:t>
      </w:r>
      <w:r>
        <w:t>py)SnBr</w:t>
      </w:r>
      <w:r>
        <w:rPr>
          <w:vertAlign w:val="subscript"/>
        </w:rPr>
        <w:t>3</w:t>
      </w:r>
      <w:r>
        <w:t>. Our work establishes a powerful design strategy to induce and stabilize high‐pressure phases, making their otherwise inaccessible functionalities available for ambient‐condition applications.</w:t>
      </w:r>
    </w:p>
    <w:p>
      <w:pPr>
        <w:spacing w:before="120" w:after="120"/>
      </w:pPr>
      <w:r>
        <w:rPr>
          <w:sz w:val="18"/>
        </w:rPr>
        <w:t>——————————————————————————————————————————————————————————————————————</w:t>
      </w:r>
    </w:p>
    <w:p>
      <w:pPr>
        <w:spacing w:before="160" w:after="40" w:line="240" w:lineRule="auto"/>
      </w:pPr>
      <w:r>
        <w:rPr>
          <w:b/>
        </w:rPr>
        <w:t xml:space="preserve">[635] </w:t>
      </w:r>
      <w:hyperlink r:id="rId1602">
        <w:r>
          <w:rPr>
            <w:color w:val="1155CC"/>
            <w:u w:val="single"/>
          </w:rPr>
          <w:t>青藏高原植被图（1：50万）</w:t>
        </w:r>
      </w:hyperlink>
    </w:p>
    <w:p>
      <w:pPr>
        <w:spacing w:before="0" w:after="80"/>
      </w:pPr>
      <w:r>
        <w:rPr>
          <w:i/>
          <w:sz w:val="20"/>
        </w:rPr>
        <w:t>EN: The vegetation map of the Tibetan Plateau (1:500,000)</w:t>
      </w:r>
    </w:p>
    <w:p>
      <w:pPr>
        <w:spacing w:before="0" w:after="120"/>
      </w:pPr>
      <w:r>
        <w:rPr>
          <w:b/>
        </w:rPr>
        <w:t xml:space="preserve">Source: </w:t>
      </w:r>
      <w:r>
        <w:t>National Science Review Advance Access</w:t>
      </w:r>
      <w:r>
        <w:t xml:space="preserve">    </w:t>
      </w:r>
      <w:r>
        <w:rPr>
          <w:b/>
        </w:rPr>
        <w:t xml:space="preserve">Pub date: </w:t>
      </w:r>
      <w:r>
        <w:t>2026-07-30 00:00:00+00:00</w:t>
      </w:r>
      <w:r>
        <w:t xml:space="preserve">    </w:t>
      </w:r>
      <w:r>
        <w:rPr>
          <w:b/>
        </w:rPr>
        <w:t xml:space="preserve">DOI: </w:t>
      </w:r>
      <w:hyperlink r:id="rId1603">
        <w:r>
          <w:rPr>
            <w:color w:val="1155CC"/>
            <w:u w:val="single"/>
          </w:rPr>
          <w:t>10.1093/nsr/nwag418</w:t>
        </w:r>
      </w:hyperlink>
    </w:p>
    <w:p>
      <w:pPr>
        <w:spacing w:before="0" w:after="120"/>
      </w:pPr>
      <w:r>
        <w:rPr>
          <w:b/>
        </w:rPr>
        <w:t xml:space="preserve">Notes: </w:t>
      </w:r>
      <w:r>
        <w:t>abstract_source=rss_oup</w:t>
      </w:r>
    </w:p>
    <w:p>
      <w:pPr>
        <w:spacing w:before="0" w:after="80" w:lineRule="auto" w:line="276"/>
      </w:pPr>
      <w:r>
        <w:rPr>
          <w:b/>
        </w:rPr>
        <w:t xml:space="preserve">摘要（ZH）: </w:t>
      </w:r>
      <w:r>
        <w:t>青藏高原是世界上海拔最高、面积最大的高原，也是我国最重要的生态安全屏障，其植被是其生态功能的重要基础。由于气候变化、人类干扰和自然演替等原因，青藏高原植被发生了剧烈变化。迫切需要大比例尺植被图来阐明植被类型的分布格局。基于211 538个植被样本和322个垂直植被分带谱，采用分层和区域制图策略，制作了青藏高原联盟级植被图（1：50万）。该植被图准确地描绘了561个植被类型（包括523个群、32个群、2个植被亚群、4个植被群）和12个非植被类型的分布格局，其中61个群在青藏高原首次记录。整体准确率和kappa系数分别为联盟级别的66.76%和0.66。与中国植被（1：100万）相比，现行植被图测绘单元数由327个增加到573个，测绘斑块数量由15 082个增加到117 325个，斑块平均面积由171.13 km2减少到22.00 km2。与中国植被图相比，当前地图显示，森林、灌丛、草原、荒漠、高山稀疏植被和农业植被分别发生了23.87%、66.40%、21.36%、48.05%、41.48%、64.87%的变化。这</w:t>
      </w:r>
    </w:p>
    <w:p>
      <w:pPr>
        <w:spacing w:before="0" w:after="200" w:lineRule="auto" w:line="276"/>
      </w:pPr>
      <w:r>
        <w:rPr>
          <w:b/>
        </w:rPr>
        <w:t xml:space="preserve">Abstract (EN): </w:t>
      </w:r>
      <w:r>
        <w:t>The Tibetan Plateau is the highest and largest plateau in the world, which is also the most important ecological security barrier in China, with its vegetation serving as a critical foundation for this ecological function. The vegetation on the Tibetan Plateau has undergone drastic changes duo to climate change, human disturbances, and natural succession. A large-scale vegetation map is urgently needed for elucidating the distribution patterns of vegetation types. Based on 211 538 vegetation samples and 322 vertical vegetation zonation spectra, hierarchical and regional mapping strategies were employed to produce the vegetation map of the Tibetan Plateau (1:500 000) at the alliance level. This vegetation map accurately depicts the distribution patterns of 561 vegetation types (including 523 alliances, 32 alliance groups, 2 vegetation subformations, and 4 vegetation formations) and 12 non-vegetated types, and 61 alliances are recorded for the first time on the Tibetan Plateau. The overall accuracy and kappa coefficient are 66.76% and 0.66 at the alliance level. Compared with the vegetation of China (1:1000 000), the number of mapping units of the current vegetation map has increased from 327 to 573. The number of mapping patches has grown from 15 082 to 117 325, with the average area of patches decreasing from 171.13 to 22.00 km2. Compared with the vegetation map of China, the current map shows that forests, shrublands, grasslands, deserts, alpine sparse vegetation and agricultural vegetation have changed by 23.87%, 66.40%, 21.36%, 48.05%, 41.48%, 64.87%, respectively. This vegetation map can reflect the current vegetation distribution patterns on the Tibetan Plateau more precisely, which could provide stronger foundational supports for ecosystem management, biodiversity conservation, and national strategic decisions.</w:t>
      </w:r>
    </w:p>
    <w:p>
      <w:pPr>
        <w:spacing w:before="120" w:after="120"/>
      </w:pPr>
      <w:r>
        <w:rPr>
          <w:sz w:val="18"/>
        </w:rPr>
        <w:t>——————————————————————————————————————————————————————————————————————</w:t>
      </w:r>
    </w:p>
    <w:p>
      <w:pPr>
        <w:spacing w:before="160" w:after="40" w:line="240" w:lineRule="auto"/>
      </w:pPr>
      <w:r>
        <w:rPr>
          <w:b/>
        </w:rPr>
        <w:t xml:space="preserve">[636] </w:t>
      </w:r>
      <w:hyperlink r:id="rId1604">
        <w:r>
          <w:rPr>
            <w:color w:val="1155CC"/>
            <w:u w:val="single"/>
          </w:rPr>
          <w:t>液晶网络中的高效分子马达能够将荧光与大光机械效应相结合</w:t>
        </w:r>
      </w:hyperlink>
    </w:p>
    <w:p>
      <w:pPr>
        <w:spacing w:before="0" w:after="80"/>
      </w:pPr>
      <w:r>
        <w:rPr>
          <w:i/>
          <w:sz w:val="20"/>
        </w:rPr>
        <w:t>EN: Efficient molecular motors in liquid crystal networks enable the integration of fluorescence with large opto-mechanical effects</w:t>
      </w:r>
    </w:p>
    <w:p>
      <w:pPr>
        <w:spacing w:before="0" w:after="120"/>
      </w:pPr>
      <w:r>
        <w:rPr>
          <w:b/>
        </w:rPr>
        <w:t xml:space="preserve">Source: </w:t>
      </w:r>
      <w:r>
        <w:t>Physical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液晶聚合物网络（LCPN）表现出显着的光响应驱动，但控制其性能的分子级设计规则仍然难以捉摸。在这里，我们开发了一系列基于分子马达的光响应单元，具有可调节的刚性和不同的取代基，从而能够精确调节 LCPN 力学和光响应行为。通过系统研究并将这些电机与传统偶氮苯和第二代分子电机进行比较，我们建立了清晰的结构-性能关系，将分子设计与宏观驱动效率和网络刚度联系起来。值得注意的是，我们的电机集成 LCPN 还表现出固有荧光，无需额外的荧光分子即可实现形状编码图案可视化。这种多功能液晶电机混合系统集成了光致驱动、机械可调性和荧光信号，为下一代软执行器和智能光子器件提供了设计原理。</w:t>
      </w:r>
    </w:p>
    <w:p>
      <w:pPr>
        <w:spacing w:before="0" w:after="200" w:lineRule="auto" w:line="276"/>
      </w:pPr>
      <w:r>
        <w:rPr>
          <w:b/>
        </w:rPr>
        <w:t xml:space="preserve">Abstract (EN): </w:t>
      </w:r>
      <w:r>
        <w:t>Liquid crystal polymer networks (LCPNs) exhibit remarkable light-responsive actuation, yet the molecular-level design rules governing their performance remain elusive. Here, we develop a series of molecular motor-based photo-responsive units with tunable rigidity, and different substituents, enabling precise modulation of LCPN mechanics and photo-responsive behavior. By systematic study and comparing these motors with conventional azobenzene and second-generation molecular motors, we establish clear structure-property relationships that link molecular design to macroscopic actuation efficiency and network stiffness. Notably, our motor-integrated LCPNs also exhibit intrinsic fluorescence, enabling shape-encoded pattern visualization without the need for additional fluorescent molecules. This multifunctional liquid crystal-motor hybrid system integrates light-induced actuation, mechanical tunability, and fluorescence signaling, offering design principles for next-generation soft actuators and intelligent photonic devices.</w:t>
      </w:r>
    </w:p>
    <w:p>
      <w:pPr>
        <w:spacing w:before="120" w:after="120"/>
      </w:pPr>
      <w:r>
        <w:rPr>
          <w:sz w:val="18"/>
        </w:rPr>
        <w:t>——————————————————————————————————————————————————————————————————————</w:t>
      </w:r>
    </w:p>
    <w:p>
      <w:pPr>
        <w:spacing w:before="160" w:after="40" w:line="240" w:lineRule="auto"/>
      </w:pPr>
      <w:r>
        <w:rPr>
          <w:b/>
        </w:rPr>
        <w:t xml:space="preserve">[637] </w:t>
      </w:r>
      <w:hyperlink r:id="rId1605">
        <w:r>
          <w:rPr>
            <w:color w:val="1155CC"/>
            <w:u w:val="single"/>
          </w:rPr>
          <w:t>双层不确定性下的配电市场运营商输配电运行协调</w:t>
        </w:r>
      </w:hyperlink>
    </w:p>
    <w:p>
      <w:pPr>
        <w:spacing w:before="0" w:after="80"/>
      </w:pPr>
      <w:r>
        <w:rPr>
          <w:i/>
          <w:sz w:val="20"/>
        </w:rPr>
        <w:t>EN: Distribution market operators in transmission-distribution operation coordination under dual-layer uncertainty</w:t>
      </w:r>
    </w:p>
    <w:p>
      <w:pPr>
        <w:spacing w:before="0" w:after="120"/>
      </w:pPr>
      <w:r>
        <w:rPr>
          <w:b/>
        </w:rPr>
        <w:t xml:space="preserve">Source: </w:t>
      </w:r>
      <w:r>
        <w:t>ScienceDirect Publication: Applied Energy</w:t>
      </w:r>
      <w:r>
        <w:t xml:space="preserve">    </w:t>
      </w:r>
      <w:r>
        <w:rPr>
          <w:b/>
        </w:rPr>
        <w:t xml:space="preserve">Pub date: </w:t>
      </w:r>
      <w:r>
        <w:t>2026-07-30 00:00:00+00:00</w:t>
      </w:r>
      <w:r>
        <w:t xml:space="preserve">    </w:t>
      </w:r>
      <w:r>
        <w:rPr>
          <w:b/>
        </w:rPr>
        <w:t xml:space="preserve">DOI: </w:t>
      </w:r>
      <w:hyperlink r:id="rId1606">
        <w:r>
          <w:rPr>
            <w:color w:val="1155CC"/>
            <w:u w:val="single"/>
          </w:rPr>
          <w:t>10.1016/j.apenergy.2026.128562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[638] </w:t>
      </w:r>
      <w:hyperlink r:id="rId1607">
        <w:r>
          <w:rPr>
            <w:color w:val="1155CC"/>
            <w:u w:val="single"/>
          </w:rPr>
          <w:t>3D打印手性发光材料</w:t>
        </w:r>
      </w:hyperlink>
    </w:p>
    <w:p>
      <w:pPr>
        <w:spacing w:before="0" w:after="80"/>
      </w:pPr>
      <w:r>
        <w:rPr>
          <w:i/>
          <w:sz w:val="20"/>
        </w:rPr>
        <w:t>EN: 3D-printed chiral luminous materials</w:t>
      </w:r>
    </w:p>
    <w:p>
      <w:pPr>
        <w:spacing w:before="0" w:after="120"/>
      </w:pPr>
      <w:r>
        <w:rPr>
          <w:b/>
        </w:rPr>
        <w:t xml:space="preserve">Source: </w:t>
      </w:r>
      <w:r>
        <w:t>Physical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3D 打印可以创建复杂、精确的手性发光材料（具有可动态切换的圆偏振光发射），从而能够对先进光学应用的光与物质相互作用进行空间控制。然而，高性能、增材制造的手性材料尚未实现，因为在快速固化或加工过程中保持手性分子排列和层间结构完整性仍然具有挑战性。在这里，我们提出了一种界面相分离聚合策略，可以快速、稳健地生产 3D 手性发光材料。这些立体结构是通过在 20 秒内逐层固化制成的，更重要的是，显示出 360° 全向手性光发射，不对称系数为 0.6。此外，还观察到了一个发现——手性发射反转，通过我们系统中的激发光电路切换或 z 轴生长诱导来调节。合成的3D打印手性发光材料具有令人满意的精度（10微米，打印机的极限），为多功能手性光学器件铺平了道路。</w:t>
      </w:r>
    </w:p>
    <w:p>
      <w:pPr>
        <w:spacing w:before="0" w:after="200" w:lineRule="auto" w:line="276"/>
      </w:pPr>
      <w:r>
        <w:rPr>
          <w:b/>
        </w:rPr>
        <w:t xml:space="preserve">Abstract (EN): </w:t>
      </w:r>
      <w:r>
        <w:t>3D printing allows creation of complex, precise chiral luminous materials—with dynamically switchable, circularly polarized light emissions—enabling spatial control over light-matter interactions for advanced optical applications. However, high-performance, additively manufactured chiral materials have yet to be realized, because preservation of chiral molecular alignment and interlayer structural integrity during rapid curing or processing remains challenging. Here, we present an interfacial phase-separated polymerization strategy, allowing rapid and robust production of 3D chiral luminous materials. These stereo-architectures are fabricated via layer-by-layer curing within 20 seconds and, more importantly, displaying 360° omnidirectional chiral light emission with an asymmetry factor 0.6. Furthermore, a finding—chiral emission inversion, tuned by excitation-light circuit switching or z-axis growth-inducing in our system—is observed. The synthesized 3D printed chiral luminous materials with satisfactory precision (10 microns, the limit of printer) pave the way for multifunctional chiral optical devices.</w:t>
      </w:r>
    </w:p>
    <w:p>
      <w:pPr>
        <w:spacing w:before="120" w:after="120"/>
      </w:pPr>
      <w:r>
        <w:rPr>
          <w:sz w:val="18"/>
        </w:rPr>
        <w:t>——————————————————————————————————————————————————————————————————————</w:t>
      </w:r>
    </w:p>
    <w:p>
      <w:pPr>
        <w:spacing w:before="160" w:after="40" w:line="240" w:lineRule="auto"/>
      </w:pPr>
      <w:r>
        <w:rPr>
          <w:b/>
        </w:rPr>
        <w:t xml:space="preserve">[639] </w:t>
      </w:r>
      <w:hyperlink r:id="rId1608">
        <w:r>
          <w:rPr>
            <w:color w:val="1155CC"/>
            <w:u w:val="single"/>
          </w:rPr>
          <w:t>没有发明家的创新</w:t>
        </w:r>
      </w:hyperlink>
    </w:p>
    <w:p>
      <w:pPr>
        <w:spacing w:before="0" w:after="80"/>
      </w:pPr>
      <w:r>
        <w:rPr>
          <w:i/>
          <w:sz w:val="20"/>
        </w:rPr>
        <w:t>EN: Innovation without inventors</w:t>
      </w:r>
    </w:p>
    <w:p>
      <w:pPr>
        <w:spacing w:before="0" w:after="120"/>
      </w:pPr>
      <w:r>
        <w:rPr>
          <w:b/>
        </w:rPr>
        <w:t xml:space="preserve">Source: </w:t>
      </w:r>
      <w:r>
        <w:t>Nature Chemistry</w:t>
      </w:r>
      <w:r>
        <w:t xml:space="preserve">    </w:t>
      </w:r>
      <w:r>
        <w:rPr>
          <w:b/>
        </w:rPr>
        <w:t xml:space="preserve">Pub date: </w:t>
      </w:r>
      <w:r>
        <w:t>2026-07-30 00:00:00+00:00</w:t>
      </w:r>
      <w:r>
        <w:t xml:space="preserve">    </w:t>
      </w:r>
      <w:r>
        <w:rPr>
          <w:b/>
        </w:rPr>
        <w:t xml:space="preserve">DOI: </w:t>
      </w:r>
      <w:hyperlink r:id="rId1609">
        <w:r>
          <w:rPr>
            <w:color w:val="1155CC"/>
            <w:u w:val="single"/>
          </w:rPr>
          <w:t>10.1038/s41557-026-02215-5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[640] </w:t>
      </w:r>
      <w:hyperlink r:id="rId1610">
        <w:r>
          <w:rPr>
            <w:color w:val="1155CC"/>
            <w:u w:val="single"/>
          </w:rPr>
          <w:t>接近全金属铀酰类似物中的累积五重键</w:t>
        </w:r>
      </w:hyperlink>
    </w:p>
    <w:p>
      <w:pPr>
        <w:spacing w:before="0" w:after="80"/>
      </w:pPr>
      <w:r>
        <w:rPr>
          <w:i/>
          <w:sz w:val="20"/>
        </w:rPr>
        <w:t>EN: Approaching cumulative quintuple bonds in all-metal uranyl analogs</w:t>
      </w:r>
    </w:p>
    <w:p>
      <w:pPr>
        <w:spacing w:before="0" w:after="120"/>
      </w:pPr>
      <w:r>
        <w:rPr>
          <w:b/>
        </w:rPr>
        <w:t xml:space="preserve">Source: </w:t>
      </w:r>
      <w:r>
        <w:t>National Science Review Advance Access</w:t>
      </w:r>
      <w:r>
        <w:t xml:space="preserve">    </w:t>
      </w:r>
      <w:r>
        <w:rPr>
          <w:b/>
        </w:rPr>
        <w:t xml:space="preserve">Pub date: </w:t>
      </w:r>
      <w:r>
        <w:t>2026-07-30 00:00:00+00:00</w:t>
      </w:r>
      <w:r>
        <w:t xml:space="preserve">    </w:t>
      </w:r>
      <w:r>
        <w:rPr>
          <w:b/>
        </w:rPr>
        <w:t xml:space="preserve">DOI: </w:t>
      </w:r>
      <w:hyperlink r:id="rId1611">
        <w:r>
          <w:rPr>
            <w:color w:val="1155CC"/>
            <w:u w:val="single"/>
          </w:rPr>
          <w:t>10.1093/nsr/nwag462</w:t>
        </w:r>
      </w:hyperlink>
    </w:p>
    <w:p>
      <w:pPr>
        <w:spacing w:before="0" w:after="120"/>
      </w:pPr>
      <w:r>
        <w:rPr>
          <w:b/>
        </w:rPr>
        <w:t xml:space="preserve">Notes: </w:t>
      </w:r>
      <w:r>
        <w:t>abstract_source=rss_oup</w:t>
      </w:r>
    </w:p>
    <w:p>
      <w:pPr>
        <w:spacing w:before="0" w:after="80" w:lineRule="auto" w:line="276"/>
      </w:pPr>
      <w:r>
        <w:rPr>
          <w:b/>
        </w:rPr>
        <w:t xml:space="preserve">摘要（ZH）: </w:t>
      </w:r>
      <w:r>
        <w:t>虽然从双原子分子中的单键 (H2)、双键 (O2) 和三键 (N2) 到过渡金属四键 (Re-Re) 和五键 (Cr-Cr) 的发现，极大地扩展了我们对共价相互作用的理解，但三核系统中累积多重键的探索在很大程度上仍未得到探索。到目前为止，超出三重重数的累积键既没有被实验分离，也没有被理论预测。在这里，我们提出了一种新的键合模型——累积五重键——并报告了一种新型三核物质[Co-U-Co]的合成和表征，它表现出接近累积五重键的键合相互作用。先进的量子化学计算表明，累积多重键由一对 U-Co σ 组成</w:t>
      </w:r>
    </w:p>
    <w:p>
      <w:pPr>
        <w:spacing w:before="0" w:after="200" w:lineRule="auto" w:line="276"/>
      </w:pPr>
      <w:r>
        <w:rPr>
          <w:b/>
        </w:rPr>
        <w:t xml:space="preserve">Abstract (EN): </w:t>
      </w:r>
      <w:r>
        <w:t>While the progression from single (H2), double (O2), and triple (N2) bonds in diatomic molecules to the discovery of transition metal quadruple (Re–Re) and quintuple (Cr–Cr) bonds has significantly expanded our understanding of covalent interactions, the exploration of cumulative multiple bonds in trinuclear systems has remained largely unexplored. Until now, cumulative bonds beyond triple multiplicity have neither been experimentally isolated nor theoretically predicted. Here, we propose a new bonding model—cumulative quintuple bonds—and report the synthesis and characterization of a novel trinuclear species, [Co–U–Co], which exhibits bonding interactions approaching cumulative quintuple bonds. Advanced quantum chemical calculations reveal that the cumulative multiple bonds consist of one pair of U–Co σ</w:t>
      </w:r>
    </w:p>
    <w:p>
      <w:pPr>
        <w:spacing w:before="120" w:after="120"/>
      </w:pPr>
      <w:r>
        <w:rPr>
          <w:sz w:val="18"/>
        </w:rPr>
        <w:t>——————————————————————————————————————————————————————————————————————</w:t>
      </w:r>
    </w:p>
    <w:p>
      <w:pPr>
        <w:spacing w:before="160" w:after="40" w:line="240" w:lineRule="auto"/>
      </w:pPr>
      <w:r>
        <w:rPr>
          <w:b/>
        </w:rPr>
        <w:t xml:space="preserve">[641] </w:t>
      </w:r>
      <w:hyperlink r:id="rId1612">
        <w:r>
          <w:rPr>
            <w:color w:val="1155CC"/>
            <w:u w:val="single"/>
          </w:rPr>
          <w:t>仿生 PD-1 功能化免疫刺激纳米药物可在肝细胞癌中实现 STING 激活和持久抗肿瘤免疫</w:t>
        </w:r>
      </w:hyperlink>
    </w:p>
    <w:p>
      <w:pPr>
        <w:spacing w:before="0" w:after="80"/>
      </w:pPr>
      <w:r>
        <w:rPr>
          <w:i/>
          <w:sz w:val="20"/>
        </w:rPr>
        <w:t>EN: Biomimetic PD-1-Functionalized Immunostimulatory Nanomedicine Enables STING Activation and Durable Antitumor Immunity in Hepatocellular Carcinoma</w:t>
      </w:r>
    </w:p>
    <w:p>
      <w:pPr>
        <w:spacing w:before="0" w:after="120"/>
      </w:pPr>
      <w:r>
        <w:rPr>
          <w:b/>
        </w:rPr>
        <w:t xml:space="preserve">Source: </w:t>
      </w:r>
      <w:r>
        <w:t>Nano-Micro Letters</w:t>
      </w:r>
      <w:r>
        <w:t xml:space="preserve">    </w:t>
      </w:r>
      <w:r>
        <w:rPr>
          <w:b/>
        </w:rPr>
        <w:t xml:space="preserve">Pub date: </w:t>
      </w:r>
      <w:r>
        <w:t>2026-07-30 00:00:00+00:00</w:t>
      </w:r>
      <w:r>
        <w:t xml:space="preserve">    </w:t>
      </w:r>
      <w:r>
        <w:rPr>
          <w:b/>
        </w:rPr>
        <w:t xml:space="preserve">DOI: </w:t>
      </w:r>
      <w:hyperlink r:id="rId1613">
        <w:r>
          <w:rPr>
            <w:color w:val="1155CC"/>
            <w:u w:val="single"/>
          </w:rPr>
          <w:t>10.1007/s40820-026-02320-7</w:t>
        </w:r>
      </w:hyperlink>
    </w:p>
    <w:p>
      <w:pPr>
        <w:spacing w:before="0" w:after="120"/>
      </w:pPr>
      <w:r>
        <w:rPr>
          <w:b/>
        </w:rPr>
        <w:t xml:space="preserve">Notes: </w:t>
      </w:r>
      <w:r>
        <w:t>abstract_source=rss_description</w:t>
      </w:r>
    </w:p>
    <w:p>
      <w:pPr>
        <w:spacing w:before="0" w:after="80" w:lineRule="auto" w:line="276"/>
      </w:pPr>
      <w:r>
        <w:rPr>
          <w:b/>
        </w:rPr>
        <w:t xml:space="preserve">摘要（ZH）: </w:t>
      </w:r>
      <w:r>
        <w:t>肝细胞癌 (HCC) 对免疫检查点阻断反应不佳，很大程度上是因为免疫冷肿瘤微环境 (TME) 的特征是抗原呈递缺陷和细胞毒性 T 细胞反应受损。对众多 HCC 临床队列（包括我们的机构数据集）的分析表明，干扰素基因刺激物 (STING) 通路活性与患者生存、增强的抗原呈递能力和免疫激活的 TME 呈正相关。然而，在免疫冷 HCC 肿瘤中实现有效且可控的 STING 激活仍然具有挑战性。在这里，我们开发了一种仿生纳米药物，集成光热疗法（PTT）、STING 通路激活和免疫检查点阻断来治疗难治性 HCC。协调纳米药物 MCI-NP 是通过 Cu2+ 介导的螯合作用共同封装 STING 激动剂 MSA-2 和吲哚菁绿 (ICG) 来设计的，从而能够稳定 PTT 诱导的免疫原性细胞死亡以及强大的 STING 驱动的先天免疫激活。进一步用 PD-1 过表达细胞膜包裹，MCI-NP@mPD-1 与未包被的 MCI-NP 相比，肿瘤积累增加了约五倍，并实现了局部 PD-1/PD-L1 轴阻断。单次治疗后，基于 MCI-NP@mPD-1 的光热免疫疗法通过将 TME 重塑为免疫活性状态，有效抑制原发肿瘤生长并显着延长生存期，同时诱导持久的全身免疫记忆，有效限制术后肺转移。不引入addit</w:t>
      </w:r>
    </w:p>
    <w:p>
      <w:pPr>
        <w:spacing w:before="0" w:after="200" w:lineRule="auto" w:line="276"/>
      </w:pPr>
      <w:r>
        <w:rPr>
          <w:b/>
        </w:rPr>
        <w:t xml:space="preserve">Abstract (EN): </w:t>
      </w:r>
      <w:r>
        <w:t>Hepatocellular carcinoma (HCC) responds poorly to immune checkpoint blockade, largely because of an immunologically cold tumor microenvironment (TME) characterized by deficient antigen presentation and impaired cytotoxic T cell responses. Analysis of numerous HCC clinical cohorts, including our institutional datasets, reveals that stimulator of interferon genes (STING) pathway activity is positively correlated with patient survival, enhanced antigen presentation capacity, and an immune-activated TME. However, achieving effective and controllable STING activation in immune-cold HCC tumors remains challenging. Here, we develop a biomimetic nanomedicine that integrates photothermal therapy (PTT), STING pathway activation, and immune checkpoint blockade to treat refractory HCC. A coordination nanomedicine MCI-NP is engineered by co-encapsulating the STING agonist MSA-2 and indocyanine green (ICG) via Cu2+-mediated chelation, enabling stabilized PTT-induced immunogenic cell death together with robust STING-driven innate immune activation. Further cloaked with PD-1-overexpressing cell membranes, MCI-NP@mPD-1 achieves an approximately fivefold increase in tumor accumulation compared with uncoated MCI-NP and enables localized PD-1/PD-L1 axis blockade. Following a single treatment, MCI-NP@mPD-1-based photothermal immunotherapy effectively suppresses primary tumor growth and significantly prolongs survival by remodeling the TME toward an immune-active state, while inducing durable systemic immune memory that effectively limited postoperative lung metastasis. Without introducing additional nanocarriers or excipients, MCI-NP@mPD-1 offers a promising therapeutic paradigm for photothermal immunotherapy of immune-cold HCC. Highlights:1 Clinical cohort analyses identify stimulator of interferon genes (STING) signaling as a key determinant of immune responsiveness in hepatocellular carcinoma (HCC), providing a data-driven rationale for nanomedicine design.2 A carrier-free coordination nanomedicine co-assembles MSA-2 and indocyanine green to couple photothermal-induced immunogenic cell death with STING activation, while PD-1 membrane camouflage enables ~fivefold tumor accumulation and localized checkpoint blockade.3 This integrated strategy converts immune-cold HCC into an immune-active state, achieving durable tumor control and systemic immune memory against metastasis.</w:t>
      </w:r>
    </w:p>
    <w:p>
      <w:pPr>
        <w:spacing w:before="120" w:after="120"/>
      </w:pPr>
      <w:r>
        <w:rPr>
          <w:sz w:val="18"/>
        </w:rPr>
        <w:t>——————————————————————————————————————————————————————————————————————</w:t>
      </w:r>
    </w:p>
    <w:p>
      <w:pPr>
        <w:spacing w:before="160" w:after="40" w:line="240" w:lineRule="auto"/>
      </w:pPr>
      <w:r>
        <w:rPr>
          <w:b/>
        </w:rPr>
        <w:t xml:space="preserve">[642] </w:t>
      </w:r>
      <w:hyperlink r:id="rId1614">
        <w:r>
          <w:rPr>
            <w:color w:val="1155CC"/>
            <w:u w:val="single"/>
          </w:rPr>
          <w:t>通过原位红细胞搭便车的序列调节、肺靶向杂多肽纳米颗粒</w:t>
        </w:r>
      </w:hyperlink>
    </w:p>
    <w:p>
      <w:pPr>
        <w:spacing w:before="0" w:after="80"/>
      </w:pPr>
      <w:r>
        <w:rPr>
          <w:i/>
          <w:sz w:val="20"/>
        </w:rPr>
        <w:t>EN: Sequence-regulated, lung-targeting heteropolypeptide nanoparticles via in situ erythrocyte hitchhiking</w:t>
      </w:r>
    </w:p>
    <w:p>
      <w:pPr>
        <w:spacing w:before="0" w:after="120"/>
      </w:pPr>
      <w:r>
        <w:rPr>
          <w:b/>
        </w:rPr>
        <w:t xml:space="preserve">Source: </w:t>
      </w:r>
      <w:r>
        <w:t>Physical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治疗药物的靶向肺部输送对于各种呼吸系统疾病至关重要。然而，通过微调聚合物结构来合理设计肺靶向纳米载体仍然具有挑战性。在此，我们报道了肺靶向、杂多肽接枝纳米粒子（NP）的开发，其靶向能力取决于介导原位红细胞搭便车的共聚物序列。具体来说，将β-支链氨基酸残基（如缬氨酸和异亮氨酸）掺入聚（L-谷氨酸）中，产生具有末端疏水片段的梯度共聚物序列。因此，带有疏水冠的相应杂多肽修饰的纳米颗粒表现出对红细胞膜的高亲和力，导致通过红细胞搭便车在肺组织中积累高达注射剂量的37%。这种策略介导了 CeO2 的有效肺部靶向，显示出抗氧化作用，可以减轻肺部炎症，从而治疗急性肺损伤。这项工作强调了共聚物序列在调节聚合物修饰的纳米颗粒生物分布中的重要性，为肺部输送纳米载体的设计提供了线索。</w:t>
      </w:r>
    </w:p>
    <w:p>
      <w:pPr>
        <w:spacing w:before="0" w:after="200" w:lineRule="auto" w:line="276"/>
      </w:pPr>
      <w:r>
        <w:rPr>
          <w:b/>
        </w:rPr>
        <w:t xml:space="preserve">Abstract (EN): </w:t>
      </w:r>
      <w:r>
        <w:t>Targeted lung delivery of therapeutics is critical for various respiratory diseases. However, the rational design of lung-targeting nanocarriers through fine-tuning of polymeric structures remains challenging. Herein, we reported the development of lung-targeting, heteropolypeptide-grafted nanoparticles (NPs), whose targeting ability was dependent on the copolymer sequence that mediated in situ erythrocyte hitchhiking. Specifically, the incorporation of β-branched amino acid residues in poly(L-glutamic acid)s, like valine and isoleucine, resulted in gradient copolymer sequence with terminal hydrophobic segments. The corresponding heteropolypeptide-decorated NPs with hydrophobic coronas thus showed high affinity to red blood cell membranes, leading to accumulation in lung tissues at up to 37% of the injected dose through erythrocyte hitchhiking. This strategy mediated effective lung-targeting of CeO2, showing anti-oxidant effect that alleviated pulmonary inflammation to treat acute lung injury. This work highlights the importance of copolymer sequence in tuning the biodistribution of polymer-decorated NPs, shedding light on the design of nanocarriers for pulmonary delivery.</w:t>
      </w:r>
    </w:p>
    <w:p>
      <w:pPr>
        <w:spacing w:before="120" w:after="120"/>
      </w:pPr>
      <w:r>
        <w:rPr>
          <w:sz w:val="18"/>
        </w:rPr>
        <w:t>——————————————————————————————————————————————————————————————————————</w:t>
      </w:r>
    </w:p>
    <w:p>
      <w:pPr>
        <w:spacing w:before="160" w:after="40" w:line="240" w:lineRule="auto"/>
      </w:pPr>
      <w:r>
        <w:rPr>
          <w:b/>
        </w:rPr>
        <w:t xml:space="preserve">[643] </w:t>
      </w:r>
      <w:hyperlink r:id="rId1615">
        <w:r>
          <w:rPr>
            <w:color w:val="1155CC"/>
            <w:u w:val="single"/>
          </w:rPr>
          <w:t>通过光诱导氧缺失进行氧杂环丁烷的骨架重组</w:t>
        </w:r>
      </w:hyperlink>
    </w:p>
    <w:p>
      <w:pPr>
        <w:spacing w:before="0" w:after="80"/>
      </w:pPr>
      <w:r>
        <w:rPr>
          <w:i/>
          <w:sz w:val="20"/>
        </w:rPr>
        <w:t>EN: Skeletal restructuring of oxetanes through photoinduced oxygen deletion</w:t>
      </w:r>
    </w:p>
    <w:p>
      <w:pPr>
        <w:spacing w:before="0" w:after="120"/>
      </w:pPr>
      <w:r>
        <w:rPr>
          <w:b/>
        </w:rPr>
        <w:t xml:space="preserve">Source: </w:t>
      </w:r>
      <w:r>
        <w:t>Physical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从杂环中删除原子以减小环尺寸或重塑骨架代表了一种在化学空间中未开发区域中导航的独特方法。然而，与成熟的脱氮流形相比，从功能化环醚中精确识别和切除氧原子仍然具有挑战性。在这里，我们报告了一种无催化剂的光诱导氧缺失策略，该策略实现了氧杂环丁烷的高度化学和区域选择性重组。该反应涉及脱氧环解构步骤，在光照射下使用碘仿生成无环二碘化物中间体，然后进行分子内还原偶联或环化/官能化。该方法能够实现氧杂环丁烷的有效环收缩或骨架重塑，从而以简单的方式简化对环丙烷和苯并杂环框架家族的获取。通过后期功能化和简化的药物合成证明了优异的官能团耐受性，预计这将通过减少组装生物活性分子的合成负担对药物发现产生深远影响。</w:t>
      </w:r>
    </w:p>
    <w:p>
      <w:pPr>
        <w:spacing w:before="0" w:after="200" w:lineRule="auto" w:line="276"/>
      </w:pPr>
      <w:r>
        <w:rPr>
          <w:b/>
        </w:rPr>
        <w:t xml:space="preserve">Abstract (EN): </w:t>
      </w:r>
      <w:r>
        <w:t>Deleting an atom from a heterocycle to reduce ring size or remodel the skeleton represents a unique approach to navigate untapped regions of the chemical space. However, compared with well-established nitrogen-deletion manifolds, the precise recognition and excision of an oxygen atom from a functionalized cyclic ether remains challenging. Here we report a catalyst-free photoinduced oxygen deletion strategy that achieves highly chemo- and regioselective restructuring of oxetanes. The reaction involves a deoxygenative ring deconstruction step to generate an acyclic diiodide intermediate using iodoform under photoirradiation, followed by intramolecular reductive coupling or cyclization/functionalization. This method enables efficient ring contraction or skeletal remodeling of oxetanes, granting streamlined access to families of cyclopropane and benzoheterocycle frameworks in a straightforward fashion. Excellent functional group tolerance is demonstrated through late-stage functionalization and simplified syntheses of pharmaceuticals, which are expected to make a profound impact on drug discovery by reducing the synthetic burden of assembling bioactive molecules.</w:t>
      </w:r>
    </w:p>
    <w:p>
      <w:pPr>
        <w:spacing w:before="120" w:after="120"/>
      </w:pPr>
      <w:r>
        <w:rPr>
          <w:sz w:val="18"/>
        </w:rPr>
        <w:t>——————————————————————————————————————————————————————————————————————</w:t>
      </w:r>
    </w:p>
    <w:p>
      <w:pPr>
        <w:spacing w:before="160" w:after="40" w:line="240" w:lineRule="auto"/>
      </w:pPr>
      <w:r>
        <w:rPr>
          <w:b/>
        </w:rPr>
        <w:t xml:space="preserve">[644] </w:t>
      </w:r>
      <w:hyperlink r:id="rId1616">
        <w:r>
          <w:rPr>
            <w:color w:val="1155CC"/>
            <w:u w:val="single"/>
          </w:rPr>
          <w:t>全氟立方烷作为基于 σ* 轨道的电子受体，超越经典电子转移模型</w:t>
        </w:r>
      </w:hyperlink>
    </w:p>
    <w:p>
      <w:pPr>
        <w:spacing w:before="0" w:after="80"/>
      </w:pPr>
      <w:r>
        <w:rPr>
          <w:i/>
          <w:sz w:val="20"/>
        </w:rPr>
        <w:t>EN: Perfluorocubane as a σ* orbital-based electron acceptor beyond classical electron-transfer models</w:t>
      </w:r>
    </w:p>
    <w:p>
      <w:pPr>
        <w:spacing w:before="0" w:after="120"/>
      </w:pPr>
      <w:r>
        <w:rPr>
          <w:b/>
        </w:rPr>
        <w:t xml:space="preserve">Source: </w:t>
      </w:r>
      <w:r>
        <w:t>Physical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全氟立方烷是一种非常规电子受体，其最低未占据分子轨道完全由σ*轨道组成。与通过 π* 轨道离域稳定多余电荷的传统受体相反，全氟立方烷以其紧凑的立方支架限制电子，产生几乎点电荷状的电子结构。这种电子配置预计将产生超出已建立的供体-受体模型的电子转移（ET）行为。在这里，我们研究了二甲基芴和全氟立方烷组合的供体-受体分子中的分子内光诱导 ET。皮秒时间分辨瞬态吸收光谱直接揭示极性溶剂中的电荷分离和重组。对半经典 Marcus 框架内的 ET 动力学分析产生了异常大的电子耦合和大量的重组能，这是 π 共轭供体-受体系统中不常见的组合。这些独特的 ET 特征归因于 σ* 衍生的 LUMO 和全氟立方烷的紧凑立方结构，从而将该分子建立为访问先前未探索的分子电子转移化学体系的平台。</w:t>
      </w:r>
    </w:p>
    <w:p>
      <w:pPr>
        <w:spacing w:before="0" w:after="200" w:lineRule="auto" w:line="276"/>
      </w:pPr>
      <w:r>
        <w:rPr>
          <w:b/>
        </w:rPr>
        <w:t xml:space="preserve">Abstract (EN): </w:t>
      </w:r>
      <w:r>
        <w:t>Perfluorocubane is an unconventional electron acceptor whose lowest unoccupied molecular orbital is composed entirely of σ* orbitals. In contrast to conventional acceptors that stabilize excess charge through π*-orbital delocalization, perfluorocubane confines an electron with its compact cubic scaffold, giving rise to an almost point-charge-like electronic structure. Such an electronic configuration is expected to produce electron-transfer (ET) behavior beyond established donor–acceptor models. Here we investigate intramolecular photoinduced ET in a donor–acceptor molecule combining dimethylfluorene and perfluorocubane. Picosecond time-resolved transient absorption spectroscopy directly reveals charge separation and recombination in polar solvents. Analysis of the ET kinetics within the semiclassical Marcus framework yields an unusually large electronic coupling together with a substantial reorganization energy, an uncommon combination in π-conjugated donor–acceptor systems. These distinctive ET characteristics are attributed to the σ*-derived LUMO and the compact cubic architecture of perfluorocubane, establishing this molecule as a platform for accessing previously unexplored regimes of molecular electron-transfer chemistry.</w:t>
      </w:r>
    </w:p>
    <w:p>
      <w:pPr>
        <w:spacing w:before="120" w:after="120"/>
      </w:pPr>
      <w:r>
        <w:rPr>
          <w:sz w:val="18"/>
        </w:rPr>
        <w:t>——————————————————————————————————————————————————————————————————————</w:t>
      </w:r>
    </w:p>
    <w:p>
      <w:pPr>
        <w:spacing w:before="160" w:after="40" w:line="240" w:lineRule="auto"/>
      </w:pPr>
      <w:r>
        <w:rPr>
          <w:b/>
        </w:rPr>
        <w:t xml:space="preserve">[645] </w:t>
      </w:r>
      <w:hyperlink r:id="rId1617">
        <w:r>
          <w:rPr>
            <w:color w:val="1155CC"/>
            <w:u w:val="single"/>
          </w:rPr>
          <w:t>两性离子离子凝胶解决了离子电子学机械强度和自主自愈之间的权衡</w:t>
        </w:r>
      </w:hyperlink>
    </w:p>
    <w:p>
      <w:pPr>
        <w:spacing w:before="0" w:after="80"/>
      </w:pPr>
      <w:r>
        <w:rPr>
          <w:i/>
          <w:sz w:val="20"/>
        </w:rPr>
        <w:t>EN: Zwitterionic Ionogels Resolving the Trade-Off Between Mechanical Strength and Autonomous Self-Healing for Iontronics</w:t>
      </w:r>
    </w:p>
    <w:p>
      <w:pPr>
        <w:spacing w:before="0" w:after="120"/>
      </w:pPr>
      <w:r>
        <w:rPr>
          <w:b/>
        </w:rPr>
        <w:t xml:space="preserve">Source: </w:t>
      </w:r>
      <w:r>
        <w:t>Nano-Micro Letters</w:t>
      </w:r>
      <w:r>
        <w:t xml:space="preserve">    </w:t>
      </w:r>
      <w:r>
        <w:rPr>
          <w:b/>
        </w:rPr>
        <w:t xml:space="preserve">Pub date: </w:t>
      </w:r>
      <w:r>
        <w:t>2026-07-30 00:00:00+00:00</w:t>
      </w:r>
      <w:r>
        <w:t xml:space="preserve">    </w:t>
      </w:r>
      <w:r>
        <w:rPr>
          <w:b/>
        </w:rPr>
        <w:t xml:space="preserve">DOI: </w:t>
      </w:r>
      <w:hyperlink r:id="rId1618">
        <w:r>
          <w:rPr>
            <w:color w:val="1155CC"/>
            <w:u w:val="single"/>
          </w:rPr>
          <w:t>10.1007/s40820-026-02318-1</w:t>
        </w:r>
      </w:hyperlink>
    </w:p>
    <w:p>
      <w:pPr>
        <w:spacing w:before="0" w:after="120"/>
      </w:pPr>
      <w:r>
        <w:rPr>
          <w:b/>
        </w:rPr>
        <w:t xml:space="preserve">Notes: </w:t>
      </w:r>
      <w:r>
        <w:t>abstract_source=rss_description</w:t>
      </w:r>
    </w:p>
    <w:p>
      <w:pPr>
        <w:spacing w:before="0" w:after="80" w:lineRule="auto" w:line="276"/>
      </w:pPr>
      <w:r>
        <w:rPr>
          <w:b/>
        </w:rPr>
        <w:t xml:space="preserve">摘要（ZH）: </w:t>
      </w:r>
      <w:r>
        <w:t>同时实现离子凝胶的机械鲁棒性和自主自愈能力仍然是耐用的类皮肤电子产品面临的基本挑战。传统方法通常通过引入刚性或密集交联的聚合物网络来提高机械强度，但这种策略不可避免地限制聚合物链的流动性并阻碍愈合所需的动态键重构。在这里，开发了一种两性离子侧链工程坚韧离子凝胶（ZESTI），以通过分子水平设计克服这种权衡。亲水性两性离子共价接枝到疏水性聚氨酯主链上，通过离子偶极相互作用优先与离子液体相互作用，从而调节其分布。这种架构同时促进了偶极-偶极相互作用以实现机械增强和离子-偶极协调以在环境条件下实现高效的自修复。因此，ZESTI 表现出拉伸强度 (10.40 MPa)、拉伸性 (1606%)、韧性 (56.03 MJ m−3) 和超过 83% 的环境自愈效率的出色组合，同时通过增强的离子跳跃保持高离子电导率。当构建为自报告封装接口时，ZESTI在尖锐接触下提供稳定的保护和状态感知，并在机械损坏后通过自愈恢复信号输出。这项工作提供了一种通用的设计策略，可以协调离子凝胶的机械韧性与动态功能，为下一代自维持离子电子学建立通用设计范例</w:t>
      </w:r>
    </w:p>
    <w:p>
      <w:pPr>
        <w:spacing w:before="0" w:after="200" w:lineRule="auto" w:line="276"/>
      </w:pPr>
      <w:r>
        <w:rPr>
          <w:b/>
        </w:rPr>
        <w:t xml:space="preserve">Abstract (EN): </w:t>
      </w:r>
      <w:r>
        <w:t>Simultaneously achieving mechanical robustness and autonomous self-healing in ionogels remains a fundamental challenge for durable, skin-like electronics. Conventional approaches often improve mechanical strength by introducing rigid or densely cross-linked polymer networks, but such strategies inevitably restrict polymer chain mobility and hinder dynamic bond reconfiguration required for healing. Here, a zwitterionic side-chain engineered tough ionogel (ZESTI) is developed to overcome this trade-off through molecular-level design. Hydrophilic zwitterions are covalently grafted onto a hydrophobic polyurethane backbone to preferentially interact with the ionic liquid through ion–dipole interactions and thereby regulate its distribution. This architecture simultaneously facilitates dipole–dipole interactions for mechanical reinforcement and ion–dipole coordination for efficient self-healing under ambient conditions. As a result, ZESTI exhibits an exceptional combination of tensile strength (10.40 MPa), stretchability (1606%), toughness (56.03 MJ m−3), and ambient self-healing efficiency exceeding 83%, while maintaining high ionic conductivity via enhanced ion hopping. When constructed as a self-reporting packaging interface, ZESTI provides stable protection and state perception under sharp contact and restores signal output after mechanical damage through self-healing. This work offers a generalizable design strategy that reconciles mechanical toughness with dynamic functionality in ionogels, establishing a general design paradigm for next-generation self-sustaining iontronic devices. Highlights:1 Zwitterionic side-chain engineered tough ionogel (ZESTI) resolves the trade-off between mechanical toughness and autonomous self-healing through zwitterionic side-chain engineering.2 Synergistic dynamic ion–dipole and dipole–dipole interactions enable robust mechanical reinforcement, efficient ion transport, and room-temperature self-healing.3 ZESTI-based iontronic devices exhibit reliable sensing performance and functional recovery after mechanical damage.</w:t>
      </w:r>
    </w:p>
    <w:p>
      <w:pPr>
        <w:spacing w:before="120" w:after="120"/>
      </w:pPr>
      <w:r>
        <w:rPr>
          <w:sz w:val="18"/>
        </w:rPr>
        <w:t>——————————————————————————————————————————————————————————————————————</w:t>
      </w:r>
    </w:p>
    <w:p>
      <w:pPr>
        <w:spacing w:before="160" w:after="40" w:line="240" w:lineRule="auto"/>
      </w:pPr>
      <w:r>
        <w:rPr>
          <w:b/>
        </w:rPr>
        <w:t xml:space="preserve">[646] </w:t>
      </w:r>
      <w:hyperlink r:id="rId1619">
        <w:r>
          <w:rPr>
            <w:color w:val="1155CC"/>
            <w:u w:val="single"/>
          </w:rPr>
          <w:t>流变工程 3D 打印高负载磁电介质吸收器，实现设备级电磁兼容性</w:t>
        </w:r>
      </w:hyperlink>
    </w:p>
    <w:p>
      <w:pPr>
        <w:spacing w:before="0" w:after="80"/>
      </w:pPr>
      <w:r>
        <w:rPr>
          <w:i/>
          <w:sz w:val="20"/>
        </w:rPr>
        <w:t>EN: Rheologically Engineered 3D-Printed Highly Loaded Magneto-Dielectric Absorbers for Device-Level Electromagnetic Compatibility</w:t>
      </w:r>
    </w:p>
    <w:p>
      <w:pPr>
        <w:spacing w:before="0" w:after="120"/>
      </w:pPr>
      <w:r>
        <w:rPr>
          <w:b/>
        </w:rPr>
        <w:t xml:space="preserve">Source: </w:t>
      </w:r>
      <w:r>
        <w:t>Nano-Micro Letters</w:t>
      </w:r>
      <w:r>
        <w:t xml:space="preserve">    </w:t>
      </w:r>
      <w:r>
        <w:rPr>
          <w:b/>
        </w:rPr>
        <w:t xml:space="preserve">Pub date: </w:t>
      </w:r>
      <w:r>
        <w:t>2026-07-30 00:00:00+00:00</w:t>
      </w:r>
      <w:r>
        <w:t xml:space="preserve">    </w:t>
      </w:r>
      <w:r>
        <w:rPr>
          <w:b/>
        </w:rPr>
        <w:t xml:space="preserve">DOI: </w:t>
      </w:r>
      <w:hyperlink r:id="rId1620">
        <w:r>
          <w:rPr>
            <w:color w:val="1155CC"/>
            <w:u w:val="single"/>
          </w:rPr>
          <w:t>10.1007/s40820-026-02312-7</w:t>
        </w:r>
      </w:hyperlink>
    </w:p>
    <w:p>
      <w:pPr>
        <w:spacing w:before="0" w:after="120"/>
      </w:pPr>
      <w:r>
        <w:rPr>
          <w:b/>
        </w:rPr>
        <w:t xml:space="preserve">Notes: </w:t>
      </w:r>
      <w:r>
        <w:t>abstract_source=rss_description</w:t>
      </w:r>
    </w:p>
    <w:p>
      <w:pPr>
        <w:spacing w:before="0" w:after="80" w:lineRule="auto" w:line="276"/>
      </w:pPr>
      <w:r>
        <w:rPr>
          <w:b/>
        </w:rPr>
        <w:t xml:space="preserve">摘要（ZH）: </w:t>
      </w:r>
      <w:r>
        <w:t>高负载磁电复合材料系统有望实现强大的电磁损耗和结构设计灵活性，但其可加工性和几何可控性仍然极具挑战性。在此，开发了一种流变工程直接墨水书写 (DIW) 3D 打印策略。引入石墨烯（Gr）重构颗粒负载网络，协同改善墨水的屈服行为、剪切稀化性能、结构恢复，并与羰基铁粉（CIP）构建磁介电协同损耗系统。通过产量模型确定临界CIP含量（~84.06 wt%），并获得可调节的Gr/CIP（GC）复合油墨。建立了流变响应、几何保真度和时间稳定性之间的相关性，从而实现高保真 3D 打印梯度蜂窝结构。合理设计的 3D 打印 GC 蜂窝 (GCH) 吸波器可实现 18 GHz–4 THz 的有效吸收带宽，厚度为 2.6 mm 时 RLmin 为 − 84.30 dB。当集成到设备级太赫兹可重构智能表面 (RIS) 中时，GCH 吸收器可实现约 3.3 dBi 主瓣增益增强、1.9–3.3 dB 旁瓣抑制以及反射波束宽度约 58% 的减少，在通信、成像和雷达方面表现出出色的电磁兼容性能。这项工作为高负载磁电协同吸收器的结构制造和设备集成提供了实用的策略。亮点：1 流变工程方法</w:t>
      </w:r>
    </w:p>
    <w:p>
      <w:pPr>
        <w:spacing w:before="0" w:after="200" w:lineRule="auto" w:line="276"/>
      </w:pPr>
      <w:r>
        <w:rPr>
          <w:b/>
        </w:rPr>
        <w:t xml:space="preserve">Abstract (EN): </w:t>
      </w:r>
      <w:r>
        <w:t>Highly loaded magneto-dielectric composite systems are promising for achieving strong electromagnetic loss and structural design flexibility, yet their processability and geometric controllability remain extremely challenging. Herein, a rheologically engineered direct ink writing (DIW) 3D printing strategy is developed. Graphene (Gr) is introduced to reconstruct the particle-loading network, which synergistically improves the ink’s yield behavior, shear-thinning property, structural recovery, and a magnetic–dielectric synergistic loss system is constructed with carbonyl iron powder (CIP). The critical CIP content (~ 84.06 wt%) is determined by the yield model, and a tunable Gr/CIP (GC) composite ink is obtained. The correlation among rheological response, geometric fidelity, and temporal stability is established, enabling high-fidelity 3D-printed gradient honeycomb structures. The rationally designed 3D-printed GC honeycomb (GCH) absorber achieves an effective absorption bandwidth of 18 GHz–4 THz, with an RLmin of − 84.30 dB at a thickness of 2.6 mm. When integrated into device-level terahertz reconfigurable intelligent surfaces (RIS), the GCH absorber contributes to a ~ 3.3 dBi main lobe gain enhancement, 1.9–3.3 dB sidelobe suppression, and a ~ 58% reduction in reflection beamwidth, showing excellent electromagnetic compatibility performance for communication, imaging, and radar. This work offers a practical strategy for the structural fabrication and device integration of high-load magneto-dielectric synergistic absorbers. Highlights:1 A rheologically engineered approach enables the 3D printing of high-loading (~84.06 wt%) magneto-dielectric composite inks, with quantitative composition–rheology–printability relationships established.2 3D-printed GC honeycomb (GCH) absorber achieves ultra-broadband absorption covering 18 GHz–4 THz, with reflection loss (RL) ≤ − 10 dB and RLmin of − 84.30 dB in the terahertz band.3 The monolithic integration of the GCH absorber with a terahertz reconfigurable intelligent surface delivers a 3.3 dBi increase in main lobe gain and ~58% reduction in specular reflection beamwidth.</w:t>
      </w:r>
    </w:p>
    <w:p>
      <w:pPr>
        <w:spacing w:before="120" w:after="120"/>
      </w:pPr>
      <w:r>
        <w:rPr>
          <w:sz w:val="18"/>
        </w:rPr>
        <w:t>——————————————————————————————————————————————————————————————————————</w:t>
      </w:r>
    </w:p>
    <w:p>
      <w:pPr>
        <w:spacing w:before="160" w:after="40" w:line="240" w:lineRule="auto"/>
      </w:pPr>
      <w:r>
        <w:rPr>
          <w:b/>
        </w:rPr>
        <w:t xml:space="preserve">[647] </w:t>
      </w:r>
      <w:hyperlink r:id="rId1621">
        <w:r>
          <w:rPr>
            <w:color w:val="1155CC"/>
            <w:u w:val="single"/>
          </w:rPr>
          <w:t>地缘政治风险和能源价格：俄罗斯-乌克兰冲突的影响1</w:t>
        </w:r>
      </w:hyperlink>
    </w:p>
    <w:p>
      <w:pPr>
        <w:spacing w:before="0" w:after="80"/>
      </w:pPr>
      <w:r>
        <w:rPr>
          <w:i/>
          <w:sz w:val="20"/>
        </w:rPr>
        <w:t>EN: Geopolitical risks and energy prices: Impacts of Russia-Ukraine Conflict1</w:t>
      </w:r>
    </w:p>
    <w:p>
      <w:pPr>
        <w:spacing w:before="0" w:after="120"/>
      </w:pPr>
      <w:r>
        <w:rPr>
          <w:b/>
        </w:rPr>
        <w:t xml:space="preserve">Source: </w:t>
      </w:r>
      <w:r>
        <w:t>ScienceDirect Publication: Energy Policy</w:t>
      </w:r>
      <w:r>
        <w:t xml:space="preserve">    </w:t>
      </w:r>
      <w:r>
        <w:rPr>
          <w:b/>
        </w:rPr>
        <w:t xml:space="preserve">Pub date: </w:t>
      </w:r>
      <w:r>
        <w:t>2026-07-30 00:00:00+00:00</w:t>
      </w:r>
      <w:r>
        <w:t xml:space="preserve">    </w:t>
      </w:r>
      <w:r>
        <w:rPr>
          <w:b/>
        </w:rPr>
        <w:t xml:space="preserve">DOI: </w:t>
      </w:r>
      <w:hyperlink r:id="rId1622">
        <w:r>
          <w:rPr>
            <w:color w:val="1155CC"/>
            <w:u w:val="single"/>
          </w:rPr>
          <w:t>10.1016/j.enpol.2026.115530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[648] </w:t>
      </w:r>
      <w:hyperlink r:id="rId1623">
        <w:r>
          <w:rPr>
            <w:color w:val="1155CC"/>
            <w:u w:val="single"/>
          </w:rPr>
          <w:t>金属介导的弱吸附使得硝基苯在水中加氢选择性电合成N-苯基羟胺</w:t>
        </w:r>
      </w:hyperlink>
    </w:p>
    <w:p>
      <w:pPr>
        <w:spacing w:before="0" w:after="80"/>
      </w:pPr>
      <w:r>
        <w:rPr>
          <w:i/>
          <w:sz w:val="20"/>
        </w:rPr>
        <w:t>EN: Metal-mediated weak adsorption enables the selective electrosynthesis of N-phenylhydroxylamine from nitrobenzene hydrogenation in water</w:t>
      </w:r>
    </w:p>
    <w:p>
      <w:pPr>
        <w:spacing w:before="0" w:after="120"/>
      </w:pPr>
      <w:r>
        <w:rPr>
          <w:b/>
        </w:rPr>
        <w:t xml:space="preserve">Source: </w:t>
      </w:r>
      <w:r>
        <w:t>Physical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硝基苯 (Ph-NO2) 电催化氢化为 N-苯基羟胺 (Ph-NHOH) 作为一种高附加值工艺具有工业重要性，但由于热力学上有利的过氢化过程，仍然具有挑战性。在这里，提出了金属介导的弱吸附，以实现水中选择性的 Ph-NO2-to-Ph-NHOH 电合成。基于 Ph-NO 吸附能的缩放关系背景下的活动火山已确定金属银 (Ag) 是 Ph-NHOH 电合成的最佳高本质活性候选者。原位电化学红外光谱的结果表明，Ph-NHOH在金属Ag上的弱吸附，阻碍了其后续的氢化。随后，开发了一种通过电沉积合成的纳米银催化剂（CV-Ag），可在大电流下快速选择性地合成Ph-NHOH。 CV-Ag 增强 Ph-NHOH 的电合成反应动力学。因此，在电合成Ph-NHOH过程中实现了安培级电流，实现了近99.6%的高选择性，并以每批次5.85 g连续克级规模合成Ph-NHOH。</w:t>
      </w:r>
    </w:p>
    <w:p>
      <w:pPr>
        <w:spacing w:before="0" w:after="200" w:lineRule="auto" w:line="276"/>
      </w:pPr>
      <w:r>
        <w:rPr>
          <w:b/>
        </w:rPr>
        <w:t xml:space="preserve">Abstract (EN): </w:t>
      </w:r>
      <w:r>
        <w:t>The electrocatalytic hydrogenation of nitrobenzene (Ph-NO2) to N-phenylhydroxylamine (Ph-NHOH) is of industrial importance as a high-value-added process but remains challenging because of the thermodynamically favorable overhydrogenation process. Here, metal-mediated weak adsorption is proposed to enable selective Ph-NO2-to-Ph-NHOH electrosynthesis in water. An activity volcano in the context of scaling relationships based on the adsorption energy of Ph-NO has identified metallic silver (Ag) as the optimal highly intrinsically active candidate for Ph-NHOH electrosynthesis. The results of in situ electrochemical infrared spectroscopy reveal the weak adsorption of Ph-NHOH on metallic Ag, which prevents its subsequent hydrogenation. Afterward, a nanosized Ag catalyst (CV-Ag) synthesized by electrodeposition is developed to rapidly and selectively synthesize Ph-NHOH under a large current. CV-Ag enhances the electrosynthesis reaction kinetics of Ph-NHOH. Therefore, an ampere-level current is realized during the electrosynthesis of Ph-NHOH, achieving a high selectivity of nearly 99.6% and continuous gram-scale synthesis of Ph-NHOH at 5.85 g per batch.</w:t>
      </w:r>
    </w:p>
    <w:p>
      <w:pPr>
        <w:spacing w:before="120" w:after="120"/>
      </w:pPr>
      <w:r>
        <w:rPr>
          <w:sz w:val="18"/>
        </w:rPr>
        <w:t>——————————————————————————————————————————————————————————————————————</w:t>
      </w:r>
    </w:p>
    <w:p>
      <w:pPr>
        <w:spacing w:before="160" w:after="40" w:line="240" w:lineRule="auto"/>
      </w:pPr>
      <w:r>
        <w:rPr>
          <w:b/>
        </w:rPr>
        <w:t xml:space="preserve">[649] </w:t>
      </w:r>
      <w:hyperlink r:id="rId1624">
        <w:r>
          <w:rPr>
            <w:color w:val="1155CC"/>
            <w:u w:val="single"/>
          </w:rPr>
          <w:t>气候变化传播中的当地故事</w:t>
        </w:r>
      </w:hyperlink>
    </w:p>
    <w:p>
      <w:pPr>
        <w:spacing w:before="0" w:after="80"/>
      </w:pPr>
      <w:r>
        <w:rPr>
          <w:i/>
          <w:sz w:val="20"/>
        </w:rPr>
        <w:t>EN: Local stories in climate change communication</w:t>
      </w:r>
    </w:p>
    <w:p>
      <w:pPr>
        <w:spacing w:before="0" w:after="120"/>
      </w:pPr>
      <w:r>
        <w:rPr>
          <w:b/>
        </w:rPr>
        <w:t xml:space="preserve">Source: </w:t>
      </w:r>
      <w:r>
        <w:t>Nature Climate Change</w:t>
      </w:r>
      <w:r>
        <w:t xml:space="preserve">    </w:t>
      </w:r>
      <w:r>
        <w:rPr>
          <w:b/>
        </w:rPr>
        <w:t xml:space="preserve">Pub date: </w:t>
      </w:r>
      <w:r>
        <w:t>2026-07-30 00:00:00+00:00</w:t>
      </w:r>
      <w:r>
        <w:t xml:space="preserve">    </w:t>
      </w:r>
      <w:r>
        <w:rPr>
          <w:b/>
        </w:rPr>
        <w:t xml:space="preserve">DOI: </w:t>
      </w:r>
      <w:hyperlink r:id="rId1625">
        <w:r>
          <w:rPr>
            <w:color w:val="1155CC"/>
            <w:u w:val="single"/>
          </w:rPr>
          <w:t>10.1038/s41558-026-02694-x</w:t>
        </w:r>
      </w:hyperlink>
    </w:p>
    <w:p>
      <w:pPr>
        <w:spacing w:before="0" w:after="120"/>
      </w:pPr>
      <w:r>
        <w:rPr>
          <w:b/>
        </w:rPr>
        <w:t xml:space="preserve">Notes: </w:t>
      </w:r>
      <w:r>
        <w:t>abstract_source=rss_nature</w:t>
      </w:r>
    </w:p>
    <w:p>
      <w:pPr>
        <w:spacing w:before="0" w:after="80" w:lineRule="auto" w:line="276"/>
      </w:pPr>
      <w:r>
        <w:rPr>
          <w:b/>
        </w:rPr>
        <w:t xml:space="preserve">摘要（ZH）: </w:t>
      </w:r>
      <w:r>
        <w:t>气候变化交流因地区而异，受到独特的政治、经济、社会和环境条件的影响。这些影响着当地公众如何构建、接收和采取气候信息。为了探索这种多样性，《自然·气候变化》采访了全球各地的学者，了解他们对各自地区的沟通模式、挑战和优先事项的看法。</w:t>
      </w:r>
    </w:p>
    <w:p>
      <w:pPr>
        <w:spacing w:before="0" w:after="200" w:lineRule="auto" w:line="276"/>
      </w:pPr>
      <w:r>
        <w:rPr>
          <w:b/>
        </w:rPr>
        <w:t xml:space="preserve">Abstract (EN): </w:t>
      </w:r>
      <w:r>
        <w:t>Climate change communication differs across regions, shaped by unique political, economic, social and environmental conditions. These influence how climate messages are framed, received and acted upon by the local public. To explore this diversity, Nature Climate Change spoke to globally distributed scholars for their perspectives on the communication patterns, challenges and priorities in their regions.</w:t>
      </w:r>
    </w:p>
    <w:p>
      <w:pPr>
        <w:spacing w:before="120" w:after="120"/>
      </w:pPr>
      <w:r>
        <w:rPr>
          <w:sz w:val="18"/>
        </w:rPr>
        <w:t>——————————————————————————————————————————————————————————————————————</w:t>
      </w:r>
    </w:p>
    <w:p>
      <w:pPr>
        <w:spacing w:before="160" w:after="40" w:line="240" w:lineRule="auto"/>
      </w:pPr>
      <w:r>
        <w:rPr>
          <w:b/>
        </w:rPr>
        <w:t xml:space="preserve">[650] </w:t>
      </w:r>
      <w:hyperlink r:id="rId1626">
        <w:r>
          <w:rPr>
            <w:color w:val="1155CC"/>
            <w:u w:val="single"/>
          </w:rPr>
          <w:t>混合超导量子位中铜对隧道效应的受控奇偶校验</w:t>
        </w:r>
      </w:hyperlink>
    </w:p>
    <w:p>
      <w:pPr>
        <w:spacing w:before="0" w:after="80"/>
      </w:pPr>
      <w:r>
        <w:rPr>
          <w:i/>
          <w:sz w:val="20"/>
        </w:rPr>
        <w:t>EN: Controlled parity of cooper pair tunneling in a hybrid superconducting qubit</w:t>
      </w:r>
    </w:p>
    <w:p>
      <w:pPr>
        <w:spacing w:before="0" w:after="120"/>
      </w:pPr>
      <w:r>
        <w:rPr>
          <w:b/>
        </w:rPr>
        <w:t xml:space="preserve">Source: </w:t>
      </w:r>
      <w:r>
        <w:t>Physical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超导量子电路的非线性源自约瑟夫森能量相位关系。除了基本的 cos⁡phi" role="presentation"&gt;cos⁡phi\cos \phi 项之外，该关系还可以包含对应于 k 个库珀对的相关隧道效应的高阶傅立叶谐波 cos⁡(kphi)" role="presentation"&gt;cos⁡(kphi)\cos (k\phi )。主要隧道过程的奇偶性，即无论是奇数还是偶数库珀对隧道，都会导致性质不同的性质，并且控制这一点在超导技术中开辟了广泛的应用。然而，进入偶数主导的体系仍然具有挑战性，并且迄今为止依赖于复杂的多结或全混合架构。在这里，我们演示了一个简单的“谐波奇偶校验量子位”；该元件将两个氧化铝隧道结与栅极可调的 InAs/Al 纳米线结并联，形成 SQUID，并使用光谱与通量来重建其在 85 个栅极电压点的能量相位关系。在半通量量子下，约瑟夫森势的奇次谐波相对于偶次谐波可以被抑制高达两个数量级，从而产生由偶次谐波主导的双阱势，最小值接近±π/2。控制谐波奇偶校验的能力使得库珀对能够承载超电流，并为超导电路中的傅立叶工程提供了新的构建模块。</w:t>
      </w:r>
    </w:p>
    <w:p>
      <w:pPr>
        <w:spacing w:before="0" w:after="200" w:lineRule="auto" w:line="276"/>
      </w:pPr>
      <w:r>
        <w:rPr>
          <w:b/>
        </w:rPr>
        <w:t xml:space="preserve">Abstract (EN): </w:t>
      </w:r>
      <w:r>
        <w:t>Superconducting quantum circuits derive their nonlinearity from the Josephson energy-phase relation. Besides the fundamental cos&amp;#x2061;&amp;#x03D5;" role="presentation"&gt;cos⁡ϕ\cos \phi term, this relation can also contain higher Fourier harmonics cos&amp;#x2061;(k&amp;#x03D5;)" role="presentation"&gt;cos⁡(kϕ)\cos (k\phi ) corresponding to correlated tunneling of k Cooper pairs. The parity of the dominant tunneling process, i.e. whether an odd or even number of Cooper pairs tunnel, results in qualitatively different properties, and controlling this opens up a wide range of applications in superconducting technology. However, access to even-dominated regimes has remained challenging and has so far relied on complex multi-junction or all-hybrid architectures. Here, we demonstrate a simple “harmonic parity qubit”; an element that combines two aluminum-oxide tunnel junctions in parallel to a gate-tunable InAs/Al nanowire junction forming a SQUID, and use spectroscopy versus flux to reconstruct its energy-phase relation at 85 gate voltage points. At half flux quantum, the odd harmonics of the Josephson potential can be suppressed by up to two orders of magnitude relative to the even harmonics, producing a double-well potential dominated by even harmonics with minima near ± π/2. The ability to control harmonic parity enables supercurrent carried by pairs of Cooper pairs and provides a new building block for Fourier engineering in superconducting circuits.</w:t>
      </w:r>
    </w:p>
    <w:p>
      <w:pPr>
        <w:spacing w:before="120" w:after="120"/>
      </w:pPr>
      <w:r>
        <w:rPr>
          <w:sz w:val="18"/>
        </w:rPr>
        <w:t>——————————————————————————————————————————————————————————————————————</w:t>
      </w:r>
    </w:p>
    <w:p>
      <w:pPr>
        <w:spacing w:before="160" w:after="40" w:line="240" w:lineRule="auto"/>
      </w:pPr>
      <w:r>
        <w:rPr>
          <w:b/>
        </w:rPr>
        <w:t xml:space="preserve">[651] </w:t>
      </w:r>
      <w:hyperlink r:id="rId1627">
        <w:r>
          <w:rPr>
            <w:color w:val="1155CC"/>
            <w:u w:val="single"/>
          </w:rPr>
          <w:t>温室变暖加剧了厄尔尼诺现象引起的印度季风干旱</w:t>
        </w:r>
      </w:hyperlink>
    </w:p>
    <w:p>
      <w:pPr>
        <w:spacing w:before="0" w:after="80"/>
      </w:pPr>
      <w:r>
        <w:rPr>
          <w:i/>
          <w:sz w:val="20"/>
        </w:rPr>
        <w:t>EN: Greenhouse warming exacerbates El Niño-induced Indian monsoon droughts</w:t>
      </w:r>
    </w:p>
    <w:p>
      <w:pPr>
        <w:spacing w:before="0" w:after="120"/>
      </w:pPr>
      <w:r>
        <w:rPr>
          <w:b/>
        </w:rPr>
        <w:t xml:space="preserve">Source: </w:t>
      </w:r>
      <w:r>
        <w:t>Earth and environmental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自 20 世纪 80 年代初以来，厄尔尼诺南方涛动 (ENSO) 与印度夏季风之间的负相关关系有所减弱。在这里，我们证明了ENSO与季风关系的历史性减弱是由两个不寻常的事件（1983年和1997年）引起的，而温室变暖实际上加强了而不是削弱了1902年至2023年之间的这种联系，并且预计将继续这种情况。然而，人们对这一增强预测的信心仍然相对较低。我们将 ENSO-季风联系中的模型传播归因于 ENSO 引起的沃克环流异常的变化，主要是通过纬向风反馈过程。通过利用多次观测来约束此类大气动力过程，我们发现，到本世纪末，季风对ENSO的观测约束敏感性将比1963年至2023年增加近40%。这种加剧的原因是，即使厄尔尼诺引起的海面变暖程度不变，热带降水对海面变暖的响应也会增强，导致沃克环流异常进一步东移，印度次大陆沉降加剧，从而进一步减少季风降水。我们的研究结果表明，在温暖的未来，印度的水文极端事件将会加剧，粮食安全风险也会增加。</w:t>
      </w:r>
    </w:p>
    <w:p>
      <w:pPr>
        <w:spacing w:before="0" w:after="200" w:lineRule="auto" w:line="276"/>
      </w:pPr>
      <w:r>
        <w:rPr>
          <w:b/>
        </w:rPr>
        <w:t xml:space="preserve">Abstract (EN): </w:t>
      </w:r>
      <w:r>
        <w:t>The inverse relationship between the El Niño‒Southern Oscillation (ENSO) and the Indian summer monsoon has weakened since the early 1980s. Here, we demonstrate that the historical weakening of the ENSO–monsoon relationship was caused by two unusual events (in 1983 and 1997), and greenhouse warming has actually strengthened rather than weakened this link between 1902 and 2023 and is projected to continue doing so. However, confidence in the projection of this enhancement remains relatively low. We attribute the model spread in ENSO–monsoon links to variations in ENSO-induced Walker circulation anomalies, primarily through zonal wind feedback processes. Through the use of multiple observations to constrain such atmospheric dynamic processes, we find that the observation-constrained sensitivity of monsoons to the ENSO by the end of this century will become almost 40% greater than that from 1963–2023. Such intensification occurs because, even if the degree of El Niño-induced sea surface warming remains unchanged, the response of tropical precipitation to sea surface warming will increase, causing further eastward displacement of Walker circulation anomalies and an increased subsidence over the Indian subcontinent, which will reduce monsoon precipitation further. Our findings suggest intensified hydrological extremes and increased risks for food security in India in a warmer future.</w:t>
      </w:r>
    </w:p>
    <w:p>
      <w:pPr>
        <w:spacing w:before="120" w:after="120"/>
      </w:pPr>
      <w:r>
        <w:rPr>
          <w:sz w:val="18"/>
        </w:rPr>
        <w:t>——————————————————————————————————————————————————————————————————————</w:t>
      </w:r>
    </w:p>
    <w:p>
      <w:pPr>
        <w:spacing w:before="160" w:after="40" w:line="240" w:lineRule="auto"/>
      </w:pPr>
      <w:r>
        <w:rPr>
          <w:b/>
        </w:rPr>
        <w:t xml:space="preserve">[652] </w:t>
      </w:r>
      <w:hyperlink r:id="rId1628">
        <w:r>
          <w:rPr>
            <w:color w:val="1155CC"/>
            <w:u w:val="single"/>
          </w:rPr>
          <w:t>ERH 通过 H3K9me3-异染色质在哺乳动物植入前发育和多能性分化中引起细胞谱系限制</w:t>
        </w:r>
      </w:hyperlink>
    </w:p>
    <w:p>
      <w:pPr>
        <w:spacing w:before="0" w:after="80"/>
      </w:pPr>
      <w:r>
        <w:rPr>
          <w:i/>
          <w:sz w:val="20"/>
        </w:rPr>
        <w:t>EN: ERH elicits cell lineage restriction in mammalian preimplantation development and differentiation from pluripotency via H3K9me3-heterochromatin</w:t>
      </w:r>
    </w:p>
    <w:p>
      <w:pPr>
        <w:spacing w:before="0" w:after="120"/>
      </w:pPr>
      <w:r>
        <w:rPr>
          <w:b/>
        </w:rPr>
        <w:t xml:space="preserve">Source: </w:t>
      </w:r>
      <w:r>
        <w:t>Biological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基本同源增强子 (ERH) 是一种进化上保守的蛋白质，最初的特征是促进裂殖酵母异染色质，最近显示可维持人成纤维细胞中的 H3K9me3 异染色质。在这里，我们发现成纤维细胞中的 ERH 耗竭将宽兆碱基大小的体细胞 H3K9me3 景观恢复为主要由 H3K9me3 峰组成的胚胎干细胞 (ESC) 状态，并在诱导多能干细胞 (iPSC) 重编程过程中激活幼稚和多能基因和转座元件。一致地，我们发现 ERH 在小鼠植入前发育过程中抑制全能和替代谱系程序，并且是内细胞团和滋养外胚层细胞谱系正确分离所必需的。在人类 ESC 分化为胚层谱系期间，ERH 沉默幼稚基因和多能性基因、转座元件和替代谱系体细胞基因。与裂殖酵母一样，我们发现哺乳动物 ERH 与 RNA 结合蛋白相互作用，以接合并抑制其染色质靶标。我们的研究结果揭示了 ERH 通过启动和维持早期发育基因抑制在哺乳动物细胞命运规范中发挥保守的基本作用。</w:t>
      </w:r>
    </w:p>
    <w:p>
      <w:pPr>
        <w:spacing w:before="0" w:after="200" w:lineRule="auto" w:line="276"/>
      </w:pPr>
      <w:r>
        <w:rPr>
          <w:b/>
        </w:rPr>
        <w:t xml:space="preserve">Abstract (EN): </w:t>
      </w:r>
      <w:r>
        <w:t>Enhancer of Rudimentary Homolog (ERH) is an evolutionarily conserved protein originally characterized as promoting fission yeast heterochromatin and recently shown to maintain H3K9me3 heterochromatin in human fibroblasts. Here, we find that ERH depletion in fibroblasts reverts the somatic cell H3K9me3 landscape of broad megabase size domains to an embryonic stem cell (ESC) state composed of mainly H3K9me3 peaks and enables activation of naïve and pluripotency genes and transposable elements during induced pluripotent stem cell (iPSC) reprogramming. Concordantly, we find that ERH represses totipotent and alternative lineage programs during mouse preimplantation development and is required for proper segregation of the inner cell mass and trophectoderm cell lineages. During human ESC differentiation into germ layer lineages, ERH silences naïve and pluripotency genes, transposable elements, and alternative lineage somatic genes. As in fission yeast, we find that mammalian ERH interacts with RNA-binding proteins to engage and repress its chromatin targets. Our findings reveal a conserved, fundamental role for ERH in mammalian cell fate specification via the initiation and maintenance of early developmental gene repression.</w:t>
      </w:r>
    </w:p>
    <w:p>
      <w:pPr>
        <w:spacing w:before="120" w:after="120"/>
      </w:pPr>
      <w:r>
        <w:rPr>
          <w:sz w:val="18"/>
        </w:rPr>
        <w:t>——————————————————————————————————————————————————————————————————————</w:t>
      </w:r>
    </w:p>
    <w:p>
      <w:pPr>
        <w:spacing w:before="160" w:after="40" w:line="240" w:lineRule="auto"/>
      </w:pPr>
      <w:r>
        <w:rPr>
          <w:b/>
        </w:rPr>
        <w:t xml:space="preserve">[653] </w:t>
      </w:r>
      <w:hyperlink r:id="rId1629">
        <w:r>
          <w:rPr>
            <w:color w:val="1155CC"/>
            <w:u w:val="single"/>
          </w:rPr>
          <w:t>用于人工智能引导的纤维网络材料设计的可制造性拓扑框架</w:t>
        </w:r>
      </w:hyperlink>
    </w:p>
    <w:p>
      <w:pPr>
        <w:spacing w:before="0" w:after="80"/>
      </w:pPr>
      <w:r>
        <w:rPr>
          <w:i/>
          <w:sz w:val="20"/>
        </w:rPr>
        <w:t>EN: A manufacturability-informed topology framework for AI-guided design of fibrous network materials</w:t>
      </w:r>
    </w:p>
    <w:p>
      <w:pPr>
        <w:spacing w:before="0" w:after="120"/>
      </w:pPr>
      <w:r>
        <w:rPr>
          <w:b/>
        </w:rPr>
        <w:t xml:space="preserve">Source: </w:t>
      </w:r>
      <w:r>
        <w:t>Physical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由于拓扑、力学和制造约束之间的复杂耦合，设计同时具有高性能和可制造性的纤维网络材料仍然是一个基本挑战。在这里，我们介绍常规纤维网络框架，这是一种可制造性知情且物理一致的人工智能框架，可连接数字拓扑、机械预测和物理实现。在此框架内，拓扑保持网络构建算法形式化了单光纤制造的欧拉电路连续性，并将数字拓扑转换为针织和三维打印兼容的架构。自动化有限元分析流程和受物理启发的图形神经网络准确捕获非线性 J 型和 C 型负载位移行为，而强化学习模块可在几分钟内执行逆向设计，与初始设计相比，强度提高约 50%，质量降低约 20%。使用基于 QuadriFlow 的表面映射扩展框架，可以将优化的二维网络直接投影到弯曲的三维几何形状上。该方法通过立体光刻和熔融沉积建模进行了实验验证。通过将可制造性约束、物理启发学习和人工智能驱动的优化集成到统一的管道中，所提出的框架为可针织、可打印和可编程纤维网络材料提供了一个通用范例，提供了一条途径</w:t>
      </w:r>
    </w:p>
    <w:p>
      <w:pPr>
        <w:spacing w:before="0" w:after="200" w:lineRule="auto" w:line="276"/>
      </w:pPr>
      <w:r>
        <w:rPr>
          <w:b/>
        </w:rPr>
        <w:t xml:space="preserve">Abstract (EN): </w:t>
      </w:r>
      <w:r>
        <w:t>Designing fibrous network materials that are simultaneously high-performance and manufacturable remains a fundamental challenge due to the complex coupling between topology, mechanics, and fabrication constraints. Here, we introduce the Regular Fibrous Network Framework, a manufacturability-informed and physics-consistent artificial intelligence framework that bridges digital topology, mechanical prediction, and physical realization. Within this framework, the Topology-Preserving Network Construction algorithm formalizes Eulerian circuit continuity for single-fiber fabrication and transforms digital topologies into knitting- and three-dimensional-printing-compatible architectures. An automated finite-element-analysis pipeline and a physics-inspired graph neural network accurately capture nonlinear J-type and C-type load-displacement behaviors, while a reinforcement learning module performs inverse design within minutes, achieving approximately 50% higher strength and approximately 20% lower mass compared with initial designs. Extending the framework with QuadriFlow-based surface mapping enables direct projection of optimized two-dimensional networks onto curved three-dimensional geometries. This approach is experimentally validated through stereolithography and fused deposition modeling. By integrating manufacturability constraints, physics-inspired learning, and artificial-intelligence-driven optimization into a unified pipeline, the proposed framework provides a generalizable paradigm for knittable, printable, and programmable fibrous network materials, offering a pathway toward autonomous and high-efficiency design of architected materials across length scales.</w:t>
      </w:r>
    </w:p>
    <w:p>
      <w:pPr>
        <w:spacing w:before="120" w:after="120"/>
      </w:pPr>
      <w:r>
        <w:rPr>
          <w:sz w:val="18"/>
        </w:rPr>
        <w:t>——————————————————————————————————————————————————————————————————————</w:t>
      </w:r>
    </w:p>
    <w:p>
      <w:pPr>
        <w:spacing w:before="160" w:after="40" w:line="240" w:lineRule="auto"/>
      </w:pPr>
      <w:r>
        <w:rPr>
          <w:b/>
        </w:rPr>
        <w:t xml:space="preserve">[654] </w:t>
      </w:r>
      <w:hyperlink r:id="rId1630">
        <w:r>
          <w:rPr>
            <w:color w:val="1155CC"/>
            <w:u w:val="single"/>
          </w:rPr>
          <w:t>高植被向北扩张揭示了加拿大北方苔原生态区大部分地区的净地表冷却反馈</w:t>
        </w:r>
      </w:hyperlink>
    </w:p>
    <w:p>
      <w:pPr>
        <w:spacing w:before="0" w:after="80"/>
      </w:pPr>
      <w:r>
        <w:rPr>
          <w:i/>
          <w:sz w:val="20"/>
        </w:rPr>
        <w:t>EN: Northward expansion of high-stature vegetation reveals net surface-cooling feedbacks in the majority of Canadian Boreal-Tundra ecozones</w:t>
      </w:r>
    </w:p>
    <w:p>
      <w:pPr>
        <w:spacing w:before="0" w:after="120"/>
      </w:pPr>
      <w:r>
        <w:rPr>
          <w:b/>
        </w:rPr>
        <w:t xml:space="preserve">Source: </w:t>
      </w:r>
      <w:r>
        <w:t>Earth and environmental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气候变暖导致加拿大北方苔原上的灌木和树木大面积扩张。人们普遍预计这会加剧地表变暖。然而，这一预期是否得到观察结果的支持仍然悬而未决。在这里，我们利用1986年至2023年植被变化的卫星观测以及气候和地表能量数据表明，约70%的加拿大中部和北部生态区表现出净地表冷却趋势，这是由植被变化与环境之间的相互作用驱动的，减少了可用于温暖地表的能量（-0.003至-0.009W m−2 yr−1）。在向混合木森林、阔叶植被和树木湿地过渡的景观中降温最为强烈，相对于灌木和针叶树为主的地区，变暖速度减少约 0.015–0.028°C yr−1。这些发现挑战了高纬度地区植被扩张会导致变暖的观点，表明其影响取决于植被类型、湿度和环境背景。他们进一步表明，混合植被群落的持续蔓延可能会缓解以前与针叶树为主的景观相关的地表变暖。</w:t>
      </w:r>
    </w:p>
    <w:p>
      <w:pPr>
        <w:spacing w:before="0" w:after="200" w:lineRule="auto" w:line="276"/>
      </w:pPr>
      <w:r>
        <w:rPr>
          <w:b/>
        </w:rPr>
        <w:t xml:space="preserve">Abstract (EN): </w:t>
      </w:r>
      <w:r>
        <w:t>Climate warming has driven widespread shrub and tree expansion across the Canadian boreal-tundra. This is widely expected to amplify surface warming. However, whether this expectation is supported by observations remains unresolved. Here we show, using satellite observations of vegetation change alongside climate and surface-energy data from 1986 to 2023, that about 70% of central and northern Canadian ecozones exhibit net surface cooling tendencies, driven by interactions between vegetation change and the environment that reduce the energy available to warm the land surface ( −0.003 to −0.009W m−2 yr−1). Cooling is strongest in landscapes transitioning toward mixedwood forests, broadleaf vegetation and treed wetlands, reducing warming by approximately 0.015–0.028°C yr−1 relative to shrub- and conifer-dominated areas. These findings challenge the view that vegetation expansion at high latitudes uniformly drives warming, showing that its effects depend on vegetation type, moisture and environmental context. They further suggest that the continued spread of mixed vegetation communities may moderate surface warming previously associated with conifer-dominated landscapes.</w:t>
      </w:r>
    </w:p>
    <w:p>
      <w:pPr>
        <w:spacing w:before="120" w:after="120"/>
      </w:pPr>
      <w:r>
        <w:rPr>
          <w:sz w:val="18"/>
        </w:rPr>
        <w:t>——————————————————————————————————————————————————————————————————————</w:t>
      </w:r>
    </w:p>
    <w:p>
      <w:pPr>
        <w:spacing w:before="160" w:after="40" w:line="240" w:lineRule="auto"/>
      </w:pPr>
      <w:r>
        <w:rPr>
          <w:b/>
        </w:rPr>
        <w:t xml:space="preserve">[655] </w:t>
      </w:r>
      <w:hyperlink r:id="rId1631">
        <w:r>
          <w:rPr>
            <w:color w:val="1155CC"/>
            <w:u w:val="single"/>
          </w:rPr>
          <w:t>低强度脉冲超声介导的 β 受体阻滞剂和 aPD-L1 鼻到脑共同递送可增强胶质母细胞瘤免疫治疗</w:t>
        </w:r>
      </w:hyperlink>
    </w:p>
    <w:p>
      <w:pPr>
        <w:spacing w:before="0" w:after="80"/>
      </w:pPr>
      <w:r>
        <w:rPr>
          <w:i/>
          <w:sz w:val="20"/>
        </w:rPr>
        <w:t>EN: Low-intensity pulsed ultrasound-mediated nose-to-brain co-delivery of β-blockers and aPD-L1 enhances glioblastoma immunotherapy</w:t>
      </w:r>
    </w:p>
    <w:p>
      <w:pPr>
        <w:spacing w:before="0" w:after="120"/>
      </w:pPr>
      <w:r>
        <w:rPr>
          <w:b/>
        </w:rPr>
        <w:t xml:space="preserve">Source: </w:t>
      </w:r>
      <w:r>
        <w:t>Biological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鼻内给药提供了直接到达大脑的途径，绕过血脑屏障（BBB）并最大限度地减少全身毒性。然而，其效率主要受到鼻粘膜屏障（NMB）的限制。在这里，低强度脉冲超声（LIPUS）不依赖微泡（MB）来放大能量，直接用于通过破坏紧密连接蛋白来可逆地打开NMB。仿生纳米囊泡（iRGD-抗程序性细胞死亡配体 1 (aPD-L1) 和卡维地洛（β 受体阻滞剂）@ 巨噬细胞衍生的细胞外囊泡，iMPC）旨在共同递送卡维地洛以阻断 β 受体以减少 T 细胞耗竭，以及 aPD-L1 以增强原位胶质母细胞瘤 (GBM) 小鼠的 T 细胞抗肿瘤活性。 NMB 开放两小时窗口。因此，与游离的aPD-L1相比，通过LIPUS介导的iMPC鼻内递送，GBM区域中的aPD-L1增加了高达33.38倍。重新激活 T 细胞可显着增强免疫治疗，使原位 GBM 小鼠的肿瘤减少 40%、延长生存期并获得长期免疫记忆。总体而言，LIPUS介导的NMB开放策略显着提高了鼻到脑的药物输送效率，为治疗脑部疾病提供了一个有前途的平台。</w:t>
      </w:r>
    </w:p>
    <w:p>
      <w:pPr>
        <w:spacing w:before="0" w:after="200" w:lineRule="auto" w:line="276"/>
      </w:pPr>
      <w:r>
        <w:rPr>
          <w:b/>
        </w:rPr>
        <w:t xml:space="preserve">Abstract (EN): </w:t>
      </w:r>
      <w:r>
        <w:t>Intranasal delivery offers a direct route to the brain, circumventing the blood-brain barrier (BBB) and minimizing systemic toxicity. However, its efficiency is mainly limited by the nasal mucosal barrier (NMB). Here, low-intensity pulsed ultrasound (LIPUS) without depending on the microbubbles (MBs) to amplify energy, is directly used to reversibly open the NMB by disrupting tight junction proteins. A bionic nanovesicle (iRGD-anti-programmed cell death ligand 1 (aPD-L1) &amp; carvedilol (β-blocker) @ macrophage-derived extracellular vesicles, iMPC) is designed to co-deliver carvedilol for β-receptor blockade to reduce T-cell exhaustion, and aPD-L1 to enhance T-cell anti-tumor activity in orthotopic glioblastoma (GBM) mice during the two-hour window for NMB opening. Consequently, compared to free aPD-L1, up to a 33.38-fold increase of aPD-L1 in the GBM region is obtained with LIPUS-mediated intranasal delivery of iMPC. Reactivating T cells significantly enhances immunotherapy, leading to a 40% tumor reduction, extended survival, and long-term immune memory in orthotopic GBM mice. Overall, the LIPUS-mediated NMB opening strategy notably enhances nose-to-brain drug delivery efficiency, offering a promising platform for treating brain diseases.</w:t>
      </w:r>
    </w:p>
    <w:p>
      <w:pPr>
        <w:spacing w:before="120" w:after="120"/>
      </w:pPr>
      <w:r>
        <w:rPr>
          <w:sz w:val="18"/>
        </w:rPr>
        <w:t>——————————————————————————————————————————————————————————————————————</w:t>
      </w:r>
    </w:p>
    <w:p>
      <w:pPr>
        <w:spacing w:before="160" w:after="40" w:line="240" w:lineRule="auto"/>
      </w:pPr>
      <w:r>
        <w:rPr>
          <w:b/>
        </w:rPr>
        <w:t xml:space="preserve">[656] </w:t>
      </w:r>
      <w:hyperlink r:id="rId1632">
        <w:r>
          <w:rPr>
            <w:color w:val="1155CC"/>
            <w:u w:val="single"/>
          </w:rPr>
          <w:t>跟踪量子材料中混合激子-声子序的灾难性崩溃</w:t>
        </w:r>
      </w:hyperlink>
    </w:p>
    <w:p>
      <w:pPr>
        <w:spacing w:before="0" w:after="80"/>
      </w:pPr>
      <w:r>
        <w:rPr>
          <w:i/>
          <w:sz w:val="20"/>
        </w:rPr>
        <w:t>EN: Tracking the catastrophic collapse of hybrid exciton-phonon order in a quantum material</w:t>
      </w:r>
    </w:p>
    <w:p>
      <w:pPr>
        <w:spacing w:before="0" w:after="120"/>
      </w:pPr>
      <w:r>
        <w:rPr>
          <w:b/>
        </w:rPr>
        <w:t xml:space="preserve">Source: </w:t>
      </w:r>
      <w:r>
        <w:t>Physical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揭示合作量子秩序的电子和晶格成分之间隐藏的相互作用是塑造新物质状态的核心。这一挑战的集中体现是电荷密度波材料 1T-TiSe2，其中光激发破坏了其假定的混合激子-声子序：电子元件在飞秒内崩溃，而周期性晶格畸变仍然存在，这对混合序的定义提出了挑战。在这里，我们通过揭示仅出现在有序状态和信号激子-声子耦合中的低频模式（~0.13 THz）来解决这个悖论。这种模式与锁定相子一致，锁定相子是当激子和晶格自由度共享耦合势能景观时产生的集体激发。在临界光激发阈值下，激子级的崩溃使该电势变平，导致锁定的相子消失，电荷密度波声子选择性过热，并且幸存的晶格畸变成为俘获的非热残余物。</w:t>
      </w:r>
    </w:p>
    <w:p>
      <w:pPr>
        <w:spacing w:before="0" w:after="200" w:lineRule="auto" w:line="276"/>
      </w:pPr>
      <w:r>
        <w:rPr>
          <w:b/>
        </w:rPr>
        <w:t xml:space="preserve">Abstract (EN): </w:t>
      </w:r>
      <w:r>
        <w:t>Revealing the hidden interactions that bind electronic and lattice components of cooperative quantum order is central to sculpting new states of matter. This challenge is epitomized by the charge density wave material 1T-TiSe2, where photoexcitation disrupts its presumed hybrid exciton-phonon order: the electronic component collapses within femtoseconds, while the periodic lattice distortion persists, challenging the definition of hybrid order. Here we resolve this paradox by uncovering a low-frequency mode (~0.13 THz) that emerges only in the ordered state and signals exciton-phonon coupling. This mode is consistent with a locked phason, a collective excitation arising when excitonic and lattice degrees of freedom share a coupled potential landscape. At a critical photoexcitation threshold, the collapse of the excitonic order flattens this potential, causing the locked phason to disappear, the charge density wave phonon to selectively overheat, and the surviving lattice distortion to become a trapped non-thermal remnant.</w:t>
      </w:r>
    </w:p>
    <w:p>
      <w:pPr>
        <w:spacing w:before="120" w:after="120"/>
      </w:pPr>
      <w:r>
        <w:rPr>
          <w:sz w:val="18"/>
        </w:rPr>
        <w:t>——————————————————————————————————————————————————————————————————————</w:t>
      </w:r>
    </w:p>
    <w:p>
      <w:pPr>
        <w:spacing w:before="160" w:after="40" w:line="240" w:lineRule="auto"/>
      </w:pPr>
      <w:r>
        <w:rPr>
          <w:b/>
        </w:rPr>
        <w:t xml:space="preserve">[657] </w:t>
      </w:r>
      <w:hyperlink r:id="rId1633">
        <w:r>
          <w:rPr>
            <w:color w:val="1155CC"/>
            <w:u w:val="single"/>
          </w:rPr>
          <w:t>地球磁层低频带口哨模波的时空分布</w:t>
        </w:r>
      </w:hyperlink>
    </w:p>
    <w:p>
      <w:pPr>
        <w:spacing w:before="0" w:after="80"/>
      </w:pPr>
      <w:r>
        <w:rPr>
          <w:i/>
          <w:sz w:val="20"/>
        </w:rPr>
        <w:t>EN: Spatiotemporal patterns of lower-band whistler mode waves in the magnetosphere of Earth</w:t>
      </w:r>
    </w:p>
    <w:p>
      <w:pPr>
        <w:spacing w:before="0" w:after="120"/>
      </w:pPr>
      <w:r>
        <w:rPr>
          <w:b/>
        </w:rPr>
        <w:t xml:space="preserve">Source: </w:t>
      </w:r>
      <w:r>
        <w:t>Earth and environmental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众所周知，低频带合唱波和外展波的电磁发射会与地球外辐射带中的电子相互作用。了解这些自然排放的统计特性对于建模空间天气灾害和保护卫星基础设施至关重要。尽管之前进行了大量研究，但它们的时空特征仍然不完全清楚。在这里，我们分析了航天器测量的大型数据集，表明波幅的分布表现出宽对数正态核心和不规则的重尾，随着地磁活动和位置的变化而变化。波检测之间的时间间隔分布遵循幂律，暗示时间聚束。在当地正午前后，我们几乎总是检测到高纬度地区的波浪，而强烈波浪的出现时间不到百分之几，主要发生在午夜后的赤道地区。我们的研究结果表明，长期平均值可能无法完全捕获哨声模式波的突发性，而长期平均值通常用于辐射带建模。</w:t>
      </w:r>
    </w:p>
    <w:p>
      <w:pPr>
        <w:spacing w:before="0" w:after="200" w:lineRule="auto" w:line="276"/>
      </w:pPr>
      <w:r>
        <w:rPr>
          <w:b/>
        </w:rPr>
        <w:t xml:space="preserve">Abstract (EN): </w:t>
      </w:r>
      <w:r>
        <w:t>Electromagnetic emissions of lower-band chorus and exohiss waves are known to interact with electrons in the Earth’s outer radiation belt. Understanding statistical properties of these natural emissions is essential for modeling space weather hazards and protecting satellite infrastructure. Despite extensive previous studies, their spatiotemporal characteristics remain incompletely understood. Here, we analyze a large data set of spacecraft measurements, showing that distributions of wave amplitudes exhibit a wide log-normal core with an irregular heavy tail, changing with geomagnetic activity and location. The distribution of time intervals between wave detections follows a power law, suggestive of temporal bunching. Around local noon, we nearly always detect waves up to high latitudes, while intense waves occur for less than a few percent of the time, predominantly in the postmidnight equatorial region. Our findings indicate that the burstiness of whistler-mode waves may not be fully captured by long-term averages, which are commonly used in radiation belt modeling.</w:t>
      </w:r>
    </w:p>
    <w:p>
      <w:pPr>
        <w:spacing w:before="120" w:after="120"/>
      </w:pPr>
      <w:r>
        <w:rPr>
          <w:sz w:val="18"/>
        </w:rPr>
        <w:t>——————————————————————————————————————————————————————————————————————</w:t>
      </w:r>
    </w:p>
    <w:p>
      <w:pPr>
        <w:spacing w:before="160" w:after="40" w:line="240" w:lineRule="auto"/>
      </w:pPr>
      <w:r>
        <w:rPr>
          <w:b/>
        </w:rPr>
        <w:t xml:space="preserve">[658] </w:t>
      </w:r>
      <w:hyperlink r:id="rId1634">
        <w:r>
          <w:rPr>
            <w:color w:val="1155CC"/>
            <w:u w:val="single"/>
          </w:rPr>
          <w:t>具有自适应出汗调节功能的智能电子纺织系统，用于连续监测运动引起的疲劳</w:t>
        </w:r>
      </w:hyperlink>
    </w:p>
    <w:p>
      <w:pPr>
        <w:spacing w:before="0" w:after="80"/>
      </w:pPr>
      <w:r>
        <w:rPr>
          <w:i/>
          <w:sz w:val="20"/>
        </w:rPr>
        <w:t>EN: An intelligent electronic-textile system with adaptive sweat-regulation for continuous exercise-induced fatigue monitoring</w:t>
      </w:r>
    </w:p>
    <w:p>
      <w:pPr>
        <w:spacing w:before="0" w:after="120"/>
      </w:pPr>
      <w:r>
        <w:rPr>
          <w:b/>
        </w:rPr>
        <w:t xml:space="preserve">Source: </w:t>
      </w:r>
      <w:r>
        <w:t>Biological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由于难以持续监测生化和电生理信号，表征运动引起的疲劳具有挑战性。虽然能够监测这两种信号的可穿戴传感器是可用的，但由于汗液变化很大，它们很难在运动-休息场景下保持稳定的信号采集。在这里，我们描述了 FatigueVisual 系统的开发，该系统将自适应出汗调节混合电子纺织品 (e-ASRHT) 贴片与人工智能 (AI) 分析相结合，以改善疲劳管理。关键创新在于精确调节织物电极和排汗区域微孔的突破压力，从而实现精确的排汗管理。这种设计能够以超低出汗率（5.0×10−4 ml cm−2 min−1）实现高效富集，同时以人类生理极限的2533倍的速率快速输送多余的汗液，确保从运动到休息期间稳定的化学电生理传感。一个与云连接的人工智能模型经过从 10 名参与者收集的超过 200,000 个时间分辨观察数据的训练，可以识别六种与疲劳相关的状态，并通过移动应用程序提供个性化的锻炼管理。三名参与者的验证显示与临床评估的一致性为 87.3%。与对照组相比，该系统减少了51.8%的运动疲劳，并加速了48小时的恢复。在实践中，FatigueVisual 可以实现智能运动健康管理。</w:t>
      </w:r>
    </w:p>
    <w:p>
      <w:pPr>
        <w:spacing w:before="0" w:after="200" w:lineRule="auto" w:line="276"/>
      </w:pPr>
      <w:r>
        <w:rPr>
          <w:b/>
        </w:rPr>
        <w:t xml:space="preserve">Abstract (EN): </w:t>
      </w:r>
      <w:r>
        <w:t>Characterizing exercise-induced fatigue is challenging due to difficulties in monitoring biochemical and electrophysiological signals consistently. While wearable sensors able to monitor both signals are available, they struggle to maintain stable signal acquisition across exercise-rest scenarios because of significant sweat variation. Here we describe the development of a system, FatigueVisual, combining an adaptive sweat-regulating hybrid electronic textile (e-ASRHT) patch with artificial intelligence (AI) analytics to improve fatigue management. The key innovation lies in the precise regulation of the breakthrough pressure of micropores in fabric electrodes and sweat-excreting areas, allowing for accurate sweat management. This design enables efficient enrichment at an ultralow sweat rate (5.0×10−4 ml cm−2 min−1) while rapidly transporting excess sweat at a rate 2533 times the human physiological limit, ensuring stable chemical-electrophysiological sensing from exercise to rest. A cloud-connected AI model, trained on over 200,000 time-resolved observations collected from 10 participants, recognizes six fatigue-related states and provides personalized exercise management via a mobile app. Validation in three participants showed 87.3% agreement with clinical assessments. The system reduced exercise fatigue by 51.8% and accelerated recovery by 48 h compared with the control group. In practice, FatigueVisual may enable intelligent sports health management.</w:t>
      </w:r>
    </w:p>
    <w:p>
      <w:pPr>
        <w:spacing w:before="120" w:after="120"/>
      </w:pPr>
      <w:r>
        <w:rPr>
          <w:sz w:val="18"/>
        </w:rPr>
        <w:t>——————————————————————————————————————————————————————————————————————</w:t>
      </w:r>
    </w:p>
    <w:p>
      <w:pPr>
        <w:spacing w:before="160" w:after="40" w:line="240" w:lineRule="auto"/>
      </w:pPr>
      <w:r>
        <w:rPr>
          <w:b/>
        </w:rPr>
        <w:t xml:space="preserve">[659] </w:t>
      </w:r>
      <w:hyperlink r:id="rId1635">
        <w:r>
          <w:rPr>
            <w:color w:val="1155CC"/>
            <w:u w:val="single"/>
          </w:rPr>
          <w:t>由动态空间共轭驱动的可调谐光荧光变色开关</w:t>
        </w:r>
      </w:hyperlink>
    </w:p>
    <w:p>
      <w:pPr>
        <w:spacing w:before="0" w:after="80"/>
      </w:pPr>
      <w:r>
        <w:rPr>
          <w:i/>
          <w:sz w:val="20"/>
        </w:rPr>
        <w:t>EN: Tunable photofluorochromic switch driven by dynamic through-space conjugation</w:t>
      </w:r>
    </w:p>
    <w:p>
      <w:pPr>
        <w:spacing w:before="0" w:after="120"/>
      </w:pPr>
      <w:r>
        <w:rPr>
          <w:b/>
        </w:rPr>
        <w:t xml:space="preserve">Source: </w:t>
      </w:r>
      <w:r>
        <w:t>Physical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光是调节分子功能的强大刺激，但实现精确有效的光开关仍然是有机材料中的一个重大挑战，特别是在聚集状态下。在这里，我们报告了一种基于动态空间共轭（TSC）的策略来调节席夫碱晶体中的光开关。光激发后，该系统经历激发态分子内质子转移，随后进行顺反酮异构化，这是氮原子附近的电子与相邻 π 供体动态耦合的过程。这种瞬态氮基TSC通过飞秒瞬态吸收光谱捕获并通过高压实验和计算证实，可以调节过渡态势垒和亚稳态的稳定性，从而显着提高光开关效率。除了机械洞察之外，这项研究还引入了一种设计范式，利用动态氮基 TSC 来设计光驱动逻辑器件，其广泛的影响范围从人工视觉传感器延伸到分子电机。</w:t>
      </w:r>
    </w:p>
    <w:p>
      <w:pPr>
        <w:spacing w:before="0" w:after="200" w:lineRule="auto" w:line="276"/>
      </w:pPr>
      <w:r>
        <w:rPr>
          <w:b/>
        </w:rPr>
        <w:t xml:space="preserve">Abstract (EN): </w:t>
      </w:r>
      <w:r>
        <w:t>Light is a powerful stimulus for regulating molecular functions, yet achieving precise and efficient photoswitching remains a significant challenge in organic materials, particularly in the aggregate state. Here we report a strategy based on dynamic through-space conjugation (TSC) to regulate photoswitching in Schiff-base crystals. Upon photoexcitation, the system undergoes an excited-state intramolecular proton transfer followed sequentially by cis-trans keto isomerization, a process in which electrons near the nitrogen atom dynamically couple with adjacent π-donors. This transient nitrogen-based TSC, captured by the femtosecond transient absorption spectroscopy and corroborated by high-pressure experiments and calculations, modulates both the transition-state barrier and the stability of the metastable state, thereby markedly enhancing photoswitching efficiency. Beyond mechanistic insight, this study introduces a design paradigm that exploits dynamic nitrogen-based TSC to engineer light-driven logic devices, with broad implications extending from artificial vision sensors to molecular motors.</w:t>
      </w:r>
    </w:p>
    <w:p>
      <w:pPr>
        <w:spacing w:before="120" w:after="120"/>
      </w:pPr>
      <w:r>
        <w:rPr>
          <w:sz w:val="18"/>
        </w:rPr>
        <w:t>——————————————————————————————————————————————————————————————————————</w:t>
      </w:r>
    </w:p>
    <w:p>
      <w:pPr>
        <w:spacing w:before="160" w:after="40" w:line="240" w:lineRule="auto"/>
      </w:pPr>
      <w:r>
        <w:rPr>
          <w:b/>
        </w:rPr>
        <w:t xml:space="preserve">[660] </w:t>
      </w:r>
      <w:hyperlink r:id="rId1636">
        <w:r>
          <w:rPr>
            <w:color w:val="1155CC"/>
            <w:u w:val="single"/>
          </w:rPr>
          <w:t>纵向分析揭示骨髓细胞对小鼠 NeuroPASC 发病机制的贡献</w:t>
        </w:r>
      </w:hyperlink>
    </w:p>
    <w:p>
      <w:pPr>
        <w:spacing w:before="0" w:after="80"/>
      </w:pPr>
      <w:r>
        <w:rPr>
          <w:i/>
          <w:sz w:val="20"/>
        </w:rPr>
        <w:t>EN: Longitudinal analysis reveals myeloid cell contributions to murine neuroPASC pathogenesis</w:t>
      </w:r>
    </w:p>
    <w:p>
      <w:pPr>
        <w:spacing w:before="0" w:after="120"/>
      </w:pPr>
      <w:r>
        <w:rPr>
          <w:b/>
        </w:rPr>
        <w:t xml:space="preserve">Source: </w:t>
      </w:r>
      <w:r>
        <w:t>Biological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神经系统和神经精神症状统称为 NeuroPASC，是 COVID-19 (PASC) 最常见的急性后遗症之一。神经炎症——尤其是小胶质细胞反应性——与neuroPASC有关。我们之前建立了一个 PASC 模型，其中 SARS-CoV-2 感染的小鼠在感染后长达 120 天（dpi）内出现持续的行为改变和长期的神经炎症。在这里，我们将这些结果扩展到对 0、6、30 和 100 dpi 收集的脑免疫细胞进行纵向单细胞 RNA 测序分析。我们确定了浸润和驻留的骨髓细胞对神经炎症的发生和持续的协调作用。具体而言，小胶质细胞表现出以炎症、应激反应和代谢特征为特征的亚簇的持续扩张。边缘相关巨噬细胞在急性感染期间上调单核细胞引诱剂。同时，外周来源的单核细胞和中性粒细胞会产生短暂的炎症反应，可能引发长期的小胶质细胞反应。总之，这些发现提供了 NeuroPASC 期间脑髓系免疫动态的高分辨率图谱，并强调了小胶质细胞在维持慢性神经炎症中的核心作用。</w:t>
      </w:r>
    </w:p>
    <w:p>
      <w:pPr>
        <w:spacing w:before="0" w:after="200" w:lineRule="auto" w:line="276"/>
      </w:pPr>
      <w:r>
        <w:rPr>
          <w:b/>
        </w:rPr>
        <w:t xml:space="preserve">Abstract (EN): </w:t>
      </w:r>
      <w:r>
        <w:t>Neurological and neuropsychiatric symptoms, collectively termed neuroPASC, are among the most prevalent Post-Acute Sequelae of COVID-19 (PASC). Neuroinflammation – particularly microglia reactivity – has been implicated in neuroPASC. We previously established a PASC model in which SARS-CoV-2-infected mice developed persistent behavior alterations and prolonged neuroinflammation for up to 120 days post-infection (dpi). Here, we extend these results to a longitudinal single-cell RNA sequencing analysis of brain immune cells collected at 0, 6, 30, and 100 dpi. We identify a coordinated contribution of infiltrating and resident myeloid cells to the initiation and persistence of neuroinflammation. In specific, microglia display sustained expansion of subclusters characterized by inflammatory, stress response, and metabolic signatures. Border-associated macrophages upregulate monocyte attractants during acute infection. Concurrently, peripherally derived monocytes and neutrophils mount transient inflammatory responses, potentially triggering long-term microglial reactivity. Together, these findings provide a high-resolution atlas of brain myeloid immune dynamics during neuroPASC and highlight a central role for microglia in sustaining chronic neuroinflammation.</w:t>
      </w:r>
    </w:p>
    <w:p>
      <w:pPr>
        <w:spacing w:before="120" w:after="120"/>
      </w:pPr>
      <w:r>
        <w:rPr>
          <w:sz w:val="18"/>
        </w:rPr>
        <w:t>——————————————————————————————————————————————————————————————————————</w:t>
      </w:r>
    </w:p>
    <w:p>
      <w:pPr>
        <w:spacing w:before="160" w:after="40" w:line="240" w:lineRule="auto"/>
      </w:pPr>
      <w:r>
        <w:rPr>
          <w:b/>
        </w:rPr>
        <w:t xml:space="preserve">[661] </w:t>
      </w:r>
      <w:hyperlink r:id="rId1637">
        <w:r>
          <w:rPr>
            <w:color w:val="1155CC"/>
            <w:u w:val="single"/>
          </w:rPr>
          <w:t>通过氦纳米液滴中的工程核量子效应进行超快双分子反应催化</w:t>
        </w:r>
      </w:hyperlink>
    </w:p>
    <w:p>
      <w:pPr>
        <w:spacing w:before="0" w:after="80"/>
      </w:pPr>
      <w:r>
        <w:rPr>
          <w:i/>
          <w:sz w:val="20"/>
        </w:rPr>
        <w:t>EN: Ultrafast bimolecular reaction catalysis via engineered nuclear quantum effects in helium nanodroplets</w:t>
      </w:r>
    </w:p>
    <w:p>
      <w:pPr>
        <w:spacing w:before="0" w:after="120"/>
      </w:pPr>
      <w:r>
        <w:rPr>
          <w:b/>
        </w:rPr>
        <w:t xml:space="preserve">Source: </w:t>
      </w:r>
      <w:r>
        <w:t>Physical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核量子效应 (NQE) 从根本上改变化学反应性，特别是在低温下或涉及轻核时发生的化学反应性。然而，直接解决 NQE 如何影响债券形成的超快动态仍然是一个核心挑战。在这里，我们报告了 NQE 在量子相环境中催化光诱导双分子反应的时间分辨观察。使用飞秒泵浦探针光谱对 0.37 K 限制在氦纳米液滴中的 H2-H2 和 D2-D2 二聚体进行分析，我们发现宿主环境设计的低温条件显着加速了反应动力学。 \({{{{\rm{H}}}}}_{3}^{+}\) 的形成在液滴中加速至 59 ± 10 fs，而在气相中为 152 ± 17 fs。这种催化效应强烈依赖于同位素，较重的 \({{{{\rm{D}}}}}_{3}^{+}\) 的形成时间仅略有减少，从 153 ± 8 fs 到 111 ± 9 fs。分子动力学模拟表明，低温约束下显着的 NQE 催化了加速，较轻的氢同位素表现出更大的量子离域性，因此反应速率更快。这些发现为超冷化学中的量子效应提供了时间分辨的视角，展示了纳米低温反应器的独特环境如何利用温度驱动的 NQE 来引导化学反应的超快动力学。</w:t>
      </w:r>
    </w:p>
    <w:p>
      <w:pPr>
        <w:spacing w:before="0" w:after="200" w:lineRule="auto" w:line="276"/>
      </w:pPr>
      <w:r>
        <w:rPr>
          <w:b/>
        </w:rPr>
        <w:t xml:space="preserve">Abstract (EN): </w:t>
      </w:r>
      <w:r>
        <w:t>Nuclear quantum effects (NQEs) fundamentally alter chemical reactivities, particularly those occurring at low temperatures or involving light nuclei. Yet, directly resolving how NQEs influence the ultrafast dynamics of bond formation remains a central challenge. Here we report the time-resolved observation of NQEs catalyzing a light-induced bimolecular reaction within a quantum-phase environment. Using femtosecond pump-probe spectroscopy on H2-H2 and D2-D2 dimers confined in helium nanodroplets at 0.37 K, we find that the low-temperature conditions engineered by the host environment drive a pronounced acceleration of reaction dynamics. The formation of \({{{{\rm{H}}}}}_{3}^{+}\) is accelerated to 59 ± 10 fs in the droplet compared to 152 ± 17 fs in the gas phase. This catalytic effect is strongly isotope-dependent, with the heavier \({{{{\rm{D}}}}}_{3}^{+}\) exhibiting only a slight reduction in formation time from 153 ± 8 fs to 111 ± 9 fs. Molecular dynamics simulations reveal that the acceleration is catalyzed by pronounced NQEs under cryogenic confinement, with lighter hydrogen isotopes exhibiting greater quantum delocalization and consequently faster reaction rates. These findings provide a time-resolved perspective on quantum effects in ultracold chemistry, demonstrating how the unique environment of nano-cryo-reactors can harness temperature-driven NQEs to steer the ultrafast dynamics of chemical reactions.</w:t>
      </w:r>
    </w:p>
    <w:p>
      <w:pPr>
        <w:spacing w:before="120" w:after="120"/>
      </w:pPr>
      <w:r>
        <w:rPr>
          <w:sz w:val="18"/>
        </w:rPr>
        <w:t>——————————————————————————————————————————————————————————————————————</w:t>
      </w:r>
    </w:p>
    <w:p>
      <w:pPr>
        <w:spacing w:before="160" w:after="40" w:line="240" w:lineRule="auto"/>
      </w:pPr>
      <w:r>
        <w:rPr>
          <w:b/>
        </w:rPr>
        <w:t xml:space="preserve">[662] </w:t>
      </w:r>
      <w:hyperlink r:id="rId1638">
        <w:r>
          <w:rPr>
            <w:color w:val="1155CC"/>
            <w:u w:val="single"/>
          </w:rPr>
          <w:t>通过全自动液滴数字 PCR 快速定量测量噬菌体感染性</w:t>
        </w:r>
      </w:hyperlink>
    </w:p>
    <w:p>
      <w:pPr>
        <w:spacing w:before="0" w:after="80"/>
      </w:pPr>
      <w:r>
        <w:rPr>
          <w:i/>
          <w:sz w:val="20"/>
        </w:rPr>
        <w:t>EN: Rapid and quantitative measurement of bacteriophage infectivity via fully automated droplet digital PCR</w:t>
      </w:r>
    </w:p>
    <w:p>
      <w:pPr>
        <w:spacing w:before="0" w:after="120"/>
      </w:pPr>
      <w:r>
        <w:rPr>
          <w:b/>
        </w:rPr>
        <w:t xml:space="preserve">Source: </w:t>
      </w:r>
      <w:r>
        <w:t>Biological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由于缺乏快速、标准化的治疗性噬菌体选择，噬菌体疗法治疗多重耐药感染的临床转化受到限制。在这里，我们介绍数字噬菌体敏感性测试 (dPhaST)，这是一种自动化液滴数字 PCR 工作流程，可将噬菌体诱导的 DNA 释放量化为裂解的分子特征。通过靶向保守的 16S rRNA 区域，dPhaST 可在 3 小时内测量多种细菌病原体的裂解活性。在涉及来自 6 个物种的 19 种细菌菌株的 122 个噬菌体-宿主组合中，dPhaST 显示与斑点测试的一致性为 95.9%，同时解决了表型上不易区分的微弱且异质的裂解活性。尽管存在噬菌体编码的核酸酶活性，但它在早期感染窗口期间仍然保持稳健，并且比斑点测试更好地耐受噬菌体交叉污染。该方法捕获涉及 CRISPR-Cas 和 Sir2-HerA 系统的防御介导的相互作用。在这项工作中，我们表明，自动数字量化能够快速、机械地对革兰氏阳性和革兰氏阴性病原体的早期噬菌体裂解功效进行分析。</w:t>
      </w:r>
    </w:p>
    <w:p>
      <w:pPr>
        <w:spacing w:before="0" w:after="200" w:lineRule="auto" w:line="276"/>
      </w:pPr>
      <w:r>
        <w:rPr>
          <w:b/>
        </w:rPr>
        <w:t xml:space="preserve">Abstract (EN): </w:t>
      </w:r>
      <w:r>
        <w:t>The clinical translation of phage therapy for multidrug-resistant infections is constrained by the lack of rapid, standardized therapeutic phage selection. Here, we introduce digital phage susceptibility testing (dPhaST), an automated droplet digital PCR workflow that quantifies phage-induced DNA release as a molecular signature of lysis. By targeting conserved 16S rRNA regions, dPhaST measures lytic activity across diverse bacterial pathogens within 3 h. Across 122 phage–host combinations involving 19 bacterial strains from six species, dPhaST shows 95.9% concordance with spot tests while resolving weak and heterogeneous lytic activities that are not readily distinguished phenotypically. It remains robust during the early infection window despite phage-encoded nuclease activity and tolerates phage cross-contamination better than spot tests. The method captures defense-mediated interactions involving CRISPR–Cas and Sir2-HerA systems. In this work, we show that automated digital quantification enables rapid and mechanistically informative profiling of early phage lytic efficacy across Gram-positive and Gram-negative pathogens.</w:t>
      </w:r>
    </w:p>
    <w:p>
      <w:pPr>
        <w:spacing w:before="120" w:after="120"/>
      </w:pPr>
      <w:r>
        <w:rPr>
          <w:sz w:val="18"/>
        </w:rPr>
        <w:t>——————————————————————————————————————————————————————————————————————</w:t>
      </w:r>
    </w:p>
    <w:p>
      <w:pPr>
        <w:spacing w:before="160" w:after="40" w:line="240" w:lineRule="auto"/>
      </w:pPr>
      <w:r>
        <w:rPr>
          <w:b/>
        </w:rPr>
        <w:t xml:space="preserve">[663] </w:t>
      </w:r>
      <w:hyperlink r:id="rId1639">
        <w:r>
          <w:rPr>
            <w:color w:val="1155CC"/>
            <w:u w:val="single"/>
          </w:rPr>
          <w:t>基于铁和锌生物强化珍珠粟的补充喂养干预对 12-18 个月大儿童肠道微生物群的影响：一项随机试验</w:t>
        </w:r>
      </w:hyperlink>
    </w:p>
    <w:p>
      <w:pPr>
        <w:spacing w:before="0" w:after="80"/>
      </w:pPr>
      <w:r>
        <w:rPr>
          <w:i/>
          <w:sz w:val="20"/>
        </w:rPr>
        <w:t>EN: Effect of a complementary feeding intervention based on iron- and zinc-biofortified pearl millet on the gut microbiota in 12–18-month-old children: a randomized trial</w:t>
      </w:r>
    </w:p>
    <w:p>
      <w:pPr>
        <w:spacing w:before="0" w:after="120"/>
      </w:pPr>
      <w:r>
        <w:rPr>
          <w:b/>
        </w:rPr>
        <w:t xml:space="preserve">Source: </w:t>
      </w:r>
      <w:r>
        <w:t>Biological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五岁以下儿童的铁补充剂研究表明，肠道微生物群可能会发生不利的变化。鉴于铁在儿童早期的重要性，以食物为基础的方法可能提供更可行的补充策略。使用鸟枪法宏基因组学，我们通过随机对照研究，研究了孟买城市贫民窟的无严重贫血（血红蛋白≥9.0 g/dL）的 12-18 个月大儿童在 9 个月内每天食用铁/锌生物强化珍珠小米（FeZnPM；8.70 毫克/100 克铁）与对照珍珠小米（CPM；3 毫克/100 克铁）对肠道微生物组的影响。试验，其主要结果是铁状态生物标志物和婴儿生长（ClinicalTrials.gov ID：NCT02233764）。在配对 (n = 81) 和终点 (n = 108) 分析中，FeZnPM 消耗与发育中微生物组的可检测到的不利影响无关，探索性分析表明，它可能通过直接调节抗生素、抗氧化剂和污染物降解途径来支持有益的代谢适应。这表明生物强化作物可以提供一种可持续的方法来解决缺铁问题，同时保持生命早期健康的微生物组发育。</w:t>
      </w:r>
    </w:p>
    <w:p>
      <w:pPr>
        <w:spacing w:before="0" w:after="200" w:lineRule="auto" w:line="276"/>
      </w:pPr>
      <w:r>
        <w:rPr>
          <w:b/>
        </w:rPr>
        <w:t xml:space="preserve">Abstract (EN): </w:t>
      </w:r>
      <w:r>
        <w:t>Iron supplementation studies in children under five suggest potentially adverse gut microbiota shifts. Given iron’s importance during early childhood, food-based approaches may offer a more viable supplementation strategy. Using shotgun metagenomics, we examined the effects of 9 months’ daily consumption of iron/zinc-biofortified pearl millet (FeZnPM; 8.70 mg/100 g iron) versus control pearl millet (CPM; 3 mg/100 g iron) on the gut microbiome in 12–18-month-old children without severe anemia (hemoglobin ≥9.0 g/dL) from Mumbai urban slums through a randomized controlled trial, the primary outcomes of which were iron status biomarkers and infant growth (ClinicalTrials.gov ID: NCT02233764). In paired (n = 81) and endpoint (n = 108) analyses, FeZnPM consumption was not associated with detectable adverse effects on developing microbiomes and exploratory analyses suggest that it may support beneficial metabolic adaptations via direct modulation of antibiotic, antioxidant, and pollutant degradation pathways. This suggests biofortified crops could provide a sustainable approach to addressing iron deficiency while maintaining healthy microbiome development in early life.</w:t>
      </w:r>
    </w:p>
    <w:p>
      <w:pPr>
        <w:spacing w:before="120" w:after="120"/>
      </w:pPr>
      <w:r>
        <w:rPr>
          <w:sz w:val="18"/>
        </w:rPr>
        <w:t>——————————————————————————————————————————————————————————————————————</w:t>
      </w:r>
    </w:p>
    <w:p>
      <w:pPr>
        <w:spacing w:before="160" w:after="40" w:line="240" w:lineRule="auto"/>
      </w:pPr>
      <w:r>
        <w:rPr>
          <w:b/>
        </w:rPr>
        <w:t xml:space="preserve">[664] </w:t>
      </w:r>
      <w:hyperlink r:id="rId1640">
        <w:r>
          <w:rPr>
            <w:color w:val="1155CC"/>
            <w:u w:val="single"/>
          </w:rPr>
          <w:t>具有可调深红色发射的拓扑手性[2]链烷中性自由基的圆偏振电致发光</w:t>
        </w:r>
      </w:hyperlink>
    </w:p>
    <w:p>
      <w:pPr>
        <w:spacing w:before="0" w:after="80"/>
      </w:pPr>
      <w:r>
        <w:rPr>
          <w:i/>
          <w:sz w:val="20"/>
        </w:rPr>
        <w:t>EN: Circularly polarized electroluminescence from topologically chiral [2]catenane-based neutral radicals with tunable deep-red emission</w:t>
      </w:r>
    </w:p>
    <w:p>
      <w:pPr>
        <w:spacing w:before="0" w:after="120"/>
      </w:pPr>
      <w:r>
        <w:rPr>
          <w:b/>
        </w:rPr>
        <w:t xml:space="preserve">Source: </w:t>
      </w:r>
      <w:r>
        <w:t>Physical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具有独特发光性能的稳定有机自由基在光电磁材料中表现出非常重要的作用，并在有机发光二极管（OLED）领域具有广泛的应用性。为了进一步将其应用扩展到手性光电器件中，本工作采用拓扑手性[2]链烯作为关键手性骨架，首次成功构建了基于供体-受体（D–A•）型中性三（2,4,6-三氯苯基）甲基（TTM）自由基的圆偏振OLED（CP-OLED）。值得注意的是，拓扑手性骨架与其可控的动态特性相结合，使该系统能够表现出高达7.1×10-3的发光不对称因子（|gPL|）值，以及薄膜状态下的可逆圆偏振发光（CPL）开/关切换。重要的是，所得的 CP-OLED 表现出深红色发射，最大外量子效率 (EQEmax) 为 3.92%，|gEL|值为7.2×10-3。这些发现不仅证明了具有独特可切换CPL性能的发光自由基的成功开发，而且还证明了第一个基于拓扑手性自由基发射体的具有良好器件性能的CP-OLED，为创建下一代智能CP-OLED提供了独特的设计原理和多功能平台。</w:t>
      </w:r>
    </w:p>
    <w:p>
      <w:pPr>
        <w:spacing w:before="0" w:after="200" w:lineRule="auto" w:line="276"/>
      </w:pPr>
      <w:r>
        <w:rPr>
          <w:b/>
        </w:rPr>
        <w:t xml:space="preserve">Abstract (EN): </w:t>
      </w:r>
      <w:r>
        <w:t>Stable organic radicals with unique luminescence have demonstrated great importance in photoelectromagnetic materials and have found broad applicability in the field of organic light-emitting diode (OLEDs). Aiming to further extend their application into chiral optoelectronic devices, by employing topologically chiral [2]catenane as the key chiral skeleton, this work presents the first successful construction of circularly polarized OLEDs (CP-OLEDs) based on donor–acceptor (D–A•) type neutral tris(2,4,6-trichlorophenyl)methyl (TTM) radicals. Remarkably, the topologically chiral skeleton, in combination with its controllable dynamic features, enables the system to exhibit a luminescence dissymmetry factor (|gPL|) value as high as 7.1 × 10-3, as well as reversible circularly polarized luminescence (CPL) on/off switching in film state. Importantly, the resulting CP-OLEDs exhibit deep red emission, a maximum external quantum efficiency (EQEmax) of 3.92%, and a |gEL| value of 7.2 × 10-3. These findings demonstrate the successful development of not only luminescent radicals with unique switchable CPL performances, but also the first CP-OLEDs with promising device performance based on topologically chiral radical emitter, providing a distinctive design principle and a versatile platform for the creation of next-generation smart CP-OLEDs.</w:t>
      </w:r>
    </w:p>
    <w:p>
      <w:pPr>
        <w:spacing w:before="120" w:after="120"/>
      </w:pPr>
      <w:r>
        <w:rPr>
          <w:sz w:val="18"/>
        </w:rPr>
        <w:t>——————————————————————————————————————————————————————————————————————</w:t>
      </w:r>
    </w:p>
    <w:p>
      <w:pPr>
        <w:spacing w:before="160" w:after="40" w:line="240" w:lineRule="auto"/>
      </w:pPr>
      <w:r>
        <w:rPr>
          <w:b/>
        </w:rPr>
        <w:t xml:space="preserve">[665] </w:t>
      </w:r>
      <w:hyperlink r:id="rId1641">
        <w:r>
          <w:rPr>
            <w:color w:val="1155CC"/>
            <w:u w:val="single"/>
          </w:rPr>
          <w:t>基底外侧杏仁核通过不同的电路和分子解码内脏疼痛和瘙痒</w:t>
        </w:r>
      </w:hyperlink>
    </w:p>
    <w:p>
      <w:pPr>
        <w:spacing w:before="0" w:after="80"/>
      </w:pPr>
      <w:r>
        <w:rPr>
          <w:i/>
          <w:sz w:val="20"/>
        </w:rPr>
        <w:t>EN: The basolateral amygdala decodes visceral pain and itch via distinct circuits and molecules</w:t>
      </w:r>
    </w:p>
    <w:p>
      <w:pPr>
        <w:spacing w:before="0" w:after="120"/>
      </w:pPr>
      <w:r>
        <w:rPr>
          <w:b/>
        </w:rPr>
        <w:t xml:space="preserve">Source: </w:t>
      </w:r>
      <w:r>
        <w:t>Biological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作为厌恶的感觉，内脏疼痛和瘙痒对于传统治疗来说是非常难治的。越来越多的证据表明基底外侧杏仁核 (BLA) 与疼痛和瘙痒有关。然而，BLA 如何区分内脏疼痛和瘙痒仍不清楚。在这里，我们确定了 BLA 内的两个不同的神经元群，它们选择性地响应小鼠的内脏疼痛和瘙痒。这些群体投射到不同的下游大脑区域——下丘脑腹内侧（VMH）和背内侧纹状体（DMS）——形成专门调节内脏疼痛和瘙痒的独立回路。此外，功能标记的单细胞测序表明，Fgf2 和 Notch2 分别在内脏疼痛和瘙痒标记的神经元中高度选择性表达。这些基因的敲除可以选择性地减轻内脏疼痛和瘙痒。这些发现强调了 BLA 在分类内脏疼痛和瘙痒过程中的关键作用，提供了对不同感觉处理背后的神经机制的见解，并确定了潜在的治疗靶点。</w:t>
      </w:r>
    </w:p>
    <w:p>
      <w:pPr>
        <w:spacing w:before="0" w:after="200" w:lineRule="auto" w:line="276"/>
      </w:pPr>
      <w:r>
        <w:rPr>
          <w:b/>
        </w:rPr>
        <w:t xml:space="preserve">Abstract (EN): </w:t>
      </w:r>
      <w:r>
        <w:t>As aversive sensations, visceral pain and itch are highly refractory to conventional treatments. Accumulating evidence suggests that the basolateral amygdala (BLA) is involved in pain and itch; however, how the BLA segregates visceral pain and itch remains unclear. Here, we identify two distinct neuronal populations within the BLA that selectively respond to visceral pain and itch in mice. These populations project to distinct downstream brain regions-the ventromedial hypothalamus (VMH) and dorsomedial striatum (DMS)-forming separate circuits that specifically regulate visceral pain and itch. Furthermore, function-labeled single cell sequencing demonstrates that Fgf2 and Notch2 are highly and selectively expressed in visceral pain- and itch-labeled neurons, respectively. Knockdown of these genes selectively attenuates visceral pain and itch. These findings emphasize the critical role of the BLA in sorting the processes of visceral pain and itch, providing insights into the neural mechanisms underlying different sensory processing and identifying potential therapeutic targets.</w:t>
      </w:r>
    </w:p>
    <w:p>
      <w:pPr>
        <w:spacing w:before="120" w:after="120"/>
      </w:pPr>
      <w:r>
        <w:rPr>
          <w:sz w:val="18"/>
        </w:rPr>
        <w:t>——————————————————————————————————————————————————————————————————————</w:t>
      </w:r>
    </w:p>
    <w:p>
      <w:pPr>
        <w:spacing w:before="160" w:after="40" w:line="240" w:lineRule="auto"/>
      </w:pPr>
      <w:r>
        <w:rPr>
          <w:b/>
        </w:rPr>
        <w:t xml:space="preserve">[666] </w:t>
      </w:r>
      <w:hyperlink r:id="rId1642">
        <w:r>
          <w:rPr>
            <w:color w:val="1155CC"/>
            <w:u w:val="single"/>
          </w:rPr>
          <w:t>缺氧诱导的胰腺癌转移异质性</w:t>
        </w:r>
      </w:hyperlink>
    </w:p>
    <w:p>
      <w:pPr>
        <w:spacing w:before="0" w:after="80"/>
      </w:pPr>
      <w:r>
        <w:rPr>
          <w:i/>
          <w:sz w:val="20"/>
        </w:rPr>
        <w:t>EN: Hypoxia-induced metastatic heterogeneity in pancreatic cancer</w:t>
      </w:r>
    </w:p>
    <w:p>
      <w:pPr>
        <w:spacing w:before="0" w:after="120"/>
      </w:pPr>
      <w:r>
        <w:rPr>
          <w:b/>
        </w:rPr>
        <w:t xml:space="preserve">Source: </w:t>
      </w:r>
      <w:r>
        <w:t>Biological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在实体瘤中，缺氧通过促进细胞可塑性和染色体不稳定性（CIN）而成为转移的关键驱动因素。尽管如此，恶性细胞同时利用这些缺氧适应要素来促进转移的机制仍不清楚。在这里，我们报道缺氧通过抑制含有 JmjC 的组蛋白赖氨酸去甲基化酶 KDM8 来促进转移。在 Kras;Trp53 驱动的胰腺导管腺癌小鼠模型中，Kdm8 靶向诱导上皮形态的严重丧失和广泛的转移性疾病。从机制上讲，常氧条件下 Kdm8 的抑制概括了缺氧引起的整体表观遗传变化、转录组重新布线和有丝分裂纺锤体缺陷的主要方面。值得注意的是，Kdm8 去甲基化酶功能的破坏反映了 Kdm8 缺失的影响，而对缺氧抑制具有抵抗力的超态 Kdm8 变体的表达可将转移减少到超过野生型对应物所达到的水平。通过抑制 Kdm8 去甲基酶活性，缺氧可同时促进细胞可塑性和 CIN，从而释放有效的转移程序。</w:t>
      </w:r>
    </w:p>
    <w:p>
      <w:pPr>
        <w:spacing w:before="0" w:after="200" w:lineRule="auto" w:line="276"/>
      </w:pPr>
      <w:r>
        <w:rPr>
          <w:b/>
        </w:rPr>
        <w:t xml:space="preserve">Abstract (EN): </w:t>
      </w:r>
      <w:r>
        <w:t>In solid tumors, hypoxia is a key driver of metastasis by promoting cellular plasticity and chromosomal instability (CIN). Despite this, the mechanisms by which malignant cells concurrently co-opt these elements of hypoxic adaptation to promote metastasis remains unclear. Here we report that hypoxia promotes metastasis by suppressing the JmjC-containing histone lysine demethylase KDM8. Kdm8 targeting in a Kras;Trp53-driven mouse model of pancreatic ductal adenocarcinoma induces a profound loss of the epithelial morphology and widespread metastatic disease. Mechanistically, Kdm8 suppression in normoxia recapitulates major aspects of the global epigenetic changes, transcriptomic rewiring, and mitotic spindle defects induced by hypoxia. Of note, disruption of Kdm8’s demethylase function phenocopies the effects of Kdm8 loss, whereas expression of hypermorphic Kdm8 variants that are resistant to hypoxic suppression reduces metastasis beyond the levels achieved by the wildtype counterpart. Through the suppression of Kdm8 demethylase activity, hypoxia unleashes a potent metastatic program by simultaneously advancing cellular plasticity and CIN.</w:t>
      </w:r>
    </w:p>
    <w:p>
      <w:pPr>
        <w:spacing w:before="120" w:after="120"/>
      </w:pPr>
      <w:r>
        <w:rPr>
          <w:sz w:val="18"/>
        </w:rPr>
        <w:t>——————————————————————————————————————————————————————————————————————</w:t>
      </w:r>
    </w:p>
    <w:p>
      <w:pPr>
        <w:spacing w:before="160" w:after="40" w:line="240" w:lineRule="auto"/>
      </w:pPr>
      <w:r>
        <w:rPr>
          <w:b/>
        </w:rPr>
        <w:t xml:space="preserve">[667] </w:t>
      </w:r>
      <w:hyperlink r:id="rId1643">
        <w:r>
          <w:rPr>
            <w:color w:val="1155CC"/>
            <w:u w:val="single"/>
          </w:rPr>
          <w:t>m⁶A 阅读器 YTHDF2 调节发育神经元中的 mRNA 运输和轴突生长</w:t>
        </w:r>
      </w:hyperlink>
    </w:p>
    <w:p>
      <w:pPr>
        <w:spacing w:before="0" w:after="80"/>
      </w:pPr>
      <w:r>
        <w:rPr>
          <w:i/>
          <w:sz w:val="20"/>
        </w:rPr>
        <w:t>EN: The m⁶A reader YTHDF2 regulates mRNA transport and axon outgrowth in developing neurons</w:t>
      </w:r>
    </w:p>
    <w:p>
      <w:pPr>
        <w:spacing w:before="0" w:after="120"/>
      </w:pPr>
      <w:r>
        <w:rPr>
          <w:b/>
        </w:rPr>
        <w:t xml:space="preserve">Source: </w:t>
      </w:r>
      <w:r>
        <w:t>Biological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适当的神经系统发育对于大脑功能至关重要，神经发育缺陷与许多大脑疾病有关。神经元是明显极化的细胞，其中 mRNA 可以被转运到轴突和树突等远端结构。最近发现的广泛 mRNA 化学修饰提出了它们在大脑发育和功能中的转录后调节作用的问题。 N6-甲基腺苷 (m6A) 由 METTL3/METTL14 甲基转移酶复合物安装，是最常见的内部 mRNA 修饰，影响稳定性、翻译、剪接和定位。然而，m6A 修饰对发育中神经元 RNA 转运的影响尚不清楚。在这项研究中，我们发现有丝分裂后神经元中 Mettl14 的消融导致皮质生成过程中轴突投射受损。 RNA-seq 和单分子原位杂交揭示了 m6A 功能丧失的神经元神经突中 mRNA 的错误定位。此外，m6A-SAC-seq 用于识别围产期大脑中的单核苷酸分辨率 m6A 图谱，揭示了与突触组织、mRNA 加工和轴突发生相关的 m6A 标记转录本。我们还确定 YTHDF2 是负责胼胝体投射轴突中 mRNA 运输的读取蛋白。 YTHDF2 与运动蛋白、翻译调节因子和微管相互作用，以促进 m6A 标记 mRNA 的远端运输。我们的数据表明，FMRP 可能作为上下文引导相互作用因子，通过招募特定的辅助因子和运动蛋白来重塑 YTHDF2 复合物，从而促进</w:t>
      </w:r>
    </w:p>
    <w:p>
      <w:pPr>
        <w:spacing w:before="0" w:after="200" w:lineRule="auto" w:line="276"/>
      </w:pPr>
      <w:r>
        <w:rPr>
          <w:b/>
        </w:rPr>
        <w:t xml:space="preserve">Abstract (EN): </w:t>
      </w:r>
      <w:r>
        <w:t>Proper nervous system development is critical for brain function, and deficits in neural development are implicated in many brain disorders. Neurons are distinctly polarized cells where mRNA can be transported to distal structures like axons and dendrites. Recent discoveries of widespread mRNA chemical modifications raise the question of their post-transcriptional regulatory role in brain development and function. N6-methyladenosine (m6A), installed by the METTL3/METTL14 methyltransferase complex, is the most prevalent internal mRNA modification, influencing stability, translation, splicing, and localization. However, the impact of m6A modification on RNA transport in developing neurons is not well understood. In this study, we find that the ablation of Mettl14 in postmitotic neurons leads to impaired axonal projection during corticogenesis. RNA-seq and single-molecule in situ hybridization reveal mislocalization of mRNAs in neurites of neurons with m6A loss-of-function. Furthermore, m6A-SAC-seq to identify a single nucleotide resolution m6A maps in the perinatal brain uncovers m6A-tagged transcripts associated with synapse organization, mRNA processing, and axonogenesis. We also identify YTHDF2 as the reader protein responsible for mRNA transport in callosal projection axons. YTHDF2 interacts with motor proteins, translational regulators, and microtubules to facilitate distal transport of m6A-tagged mRNA. Our data suggest that FMRP may serve as a context-guiding interactor that reshapes the YTHDF2 complex by recruiting specific cofactors and motor proteins, thereby promoting transport rather than degradation of m⁶A-tagged transcripts. Together, these findings provide insight into the epitranscriptomic mechanisms governing axon projection and guidance during mammalian cortical neurogenesis.</w:t>
      </w:r>
    </w:p>
    <w:p>
      <w:pPr>
        <w:spacing w:before="120" w:after="120"/>
      </w:pPr>
      <w:r>
        <w:rPr>
          <w:sz w:val="18"/>
        </w:rPr>
        <w:t>——————————————————————————————————————————————————————————————————————</w:t>
      </w:r>
    </w:p>
    <w:p>
      <w:pPr>
        <w:spacing w:before="160" w:after="40" w:line="240" w:lineRule="auto"/>
      </w:pPr>
      <w:r>
        <w:rPr>
          <w:b/>
        </w:rPr>
        <w:t xml:space="preserve">[668] </w:t>
      </w:r>
      <w:hyperlink r:id="rId1644">
        <w:r>
          <w:rPr>
            <w:color w:val="1155CC"/>
            <w:u w:val="single"/>
          </w:rPr>
          <w:t>用于按需蛋白质分泌和快速控制基因治疗的 ERAD 水平基因开关</w:t>
        </w:r>
      </w:hyperlink>
    </w:p>
    <w:p>
      <w:pPr>
        <w:spacing w:before="0" w:after="80"/>
      </w:pPr>
      <w:r>
        <w:rPr>
          <w:i/>
          <w:sz w:val="20"/>
        </w:rPr>
        <w:t>EN: ERAD-level gene switches for on-demand protein secretion and rapidly controlled gene therapies</w:t>
      </w:r>
    </w:p>
    <w:p>
      <w:pPr>
        <w:spacing w:before="0" w:after="120"/>
      </w:pPr>
      <w:r>
        <w:rPr>
          <w:b/>
        </w:rPr>
        <w:t xml:space="preserve">Source: </w:t>
      </w:r>
      <w:r>
        <w:t>Biological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治疗活动的按需调节对于扩大基因疗法的临床应用至关重要。在这里，我们采用以内质网相关降解（ERAD）为中心的策略来开发专为快速蛋白质分泌而设计的触发诱导基因开关。通过将条件降解决定子基序暂时附加到各种治疗性目的蛋白 (POI) 上，通过口服特定的临床许可的小分子药物，实现了对天然 POI 分泌到血流中的可诱导、可调节和可逆的控制。这种简单且可推广的设计原理与腺相关病毒（AAV）介导的基因传递高度兼容，从而能够在雄性小鼠体内进行长期和远程控制的转基因表达。为了展示 ERAD 水平基因开关的潜在治疗益处，我们描述了心血管疾病和慢性疼痛的基因治疗方法——这两类疾病治疗可能最迫切需要按需药物作用。这项研究实现了转基因活性的剂量和时间依赖性控制，而不需要设计过于复杂的基因电路，并且可能为将基于合成生物学的调节系统转向治疗用途奠定重要基础。</w:t>
      </w:r>
    </w:p>
    <w:p>
      <w:pPr>
        <w:spacing w:before="0" w:after="200" w:lineRule="auto" w:line="276"/>
      </w:pPr>
      <w:r>
        <w:rPr>
          <w:b/>
        </w:rPr>
        <w:t xml:space="preserve">Abstract (EN): </w:t>
      </w:r>
      <w:r>
        <w:t>On-demand regulation of therapeutic activities is critical to broaden the clinical utility of gene therapies. Here, we employ an Endoplasmic Reticulum-Associated Degradation (ERAD)-centered strategy to develop trigger-inducible gene switches tailor-designed for rapid protein secretion. By temporarily attaching conditional degron motifs to various therapeutic proteins of interest (POIs), inducible, tunable and reversible control of native POI secretion into the bloodstream was achieved through oral administration of specific clinically licensed small-molecule drugs. This simple and generalizable design principle is highly compatible with adeno-associated virus (AAV)-mediated gene delivery, enabling long-term and remote-controlled transgene expression in male mice in vivo. To showcase potential therapeutic benefits of ERAD-level gene switches, we describe gene therapy approaches for cardiovascular diseases and chronic pain - two classes of disease treatments that may most urgently require on-demand drug actions. This study achieves dose- and time-dependent control of transgene activities without requiring the design of overly complex gene circuits, and may form important basis to move synthetic biology-based regulation systems towards therapeutic usage.</w:t>
      </w:r>
    </w:p>
    <w:p>
      <w:pPr>
        <w:spacing w:before="120" w:after="120"/>
      </w:pPr>
      <w:r>
        <w:rPr>
          <w:sz w:val="18"/>
        </w:rPr>
        <w:t>——————————————————————————————————————————————————————————————————————</w:t>
      </w:r>
    </w:p>
    <w:p>
      <w:pPr>
        <w:spacing w:before="160" w:after="40" w:line="240" w:lineRule="auto"/>
      </w:pPr>
      <w:r>
        <w:rPr>
          <w:b/>
        </w:rPr>
        <w:t xml:space="preserve">[669] </w:t>
      </w:r>
      <w:hyperlink r:id="rId1645">
        <w:r>
          <w:rPr>
            <w:color w:val="1155CC"/>
            <w:u w:val="single"/>
          </w:rPr>
          <w:t>基于嵌入的框架可以对大型语言模型推断的基因集功能假设进行统计测试</w:t>
        </w:r>
      </w:hyperlink>
    </w:p>
    <w:p>
      <w:pPr>
        <w:spacing w:before="0" w:after="80"/>
      </w:pPr>
      <w:r>
        <w:rPr>
          <w:i/>
          <w:sz w:val="20"/>
        </w:rPr>
        <w:t>EN: An embedding-based framework enables statistical testing of gene-set function hypotheses inferred by large language models</w:t>
      </w:r>
    </w:p>
    <w:p>
      <w:pPr>
        <w:spacing w:before="0" w:after="120"/>
      </w:pPr>
      <w:r>
        <w:rPr>
          <w:b/>
        </w:rPr>
        <w:t xml:space="preserve">Source: </w:t>
      </w:r>
      <w:r>
        <w:t>Biological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新兴的大型语言模型（LLM）可以直接从基因列表推断基因功能，无需预定义基因集即可生成假设。然而，这些由法学硕士得出的预测是定性的，缺乏原则性的统计验证。在这里，我们开发了一个基于嵌入的统计框架，将基因和功能描述转换为向量表示，从而能够对基因-基因和基因-功能关系进行统计测试，并对法学硕士推断的从头功能假设进行定量优先级排序。我们使用跨不同生物背景的精选和检索增强的文献衍生基因描述来对七个最先进的嵌入模型进行基准测试。 OpenAI 的 text-embedding-3-large 和 Google 的 gemini-embedding-001 表现最好，捕获了 88.7-92.5% 的基因本体生物过程和大约 98.6% 的规范路径中的基因间功能关系。在基因功能关联分析中，这些模型实现了高灵敏度 (95.2-98.4%) 和特异性 (72.7-84.3%)。通过使用实验知情的蛋白质组装基因集进行污染分析和评估，我们的框架将具有生物学意义的 LLM 推断假设与噪音区分开来，优于基于置信度的推断和传统的富集分析。我们进一步开发了开源 R 包 DEGEmbedR，并证明了其在解释缺乏显着的常规富集结果的药物扰动衍生的差异表达基因 (DEG) 特征方面的实用性。总之，这些结果建立了法学硕士衍生的 e</w:t>
      </w:r>
    </w:p>
    <w:p>
      <w:pPr>
        <w:spacing w:before="0" w:after="200" w:lineRule="auto" w:line="276"/>
      </w:pPr>
      <w:r>
        <w:rPr>
          <w:b/>
        </w:rPr>
        <w:t xml:space="preserve">Abstract (EN): </w:t>
      </w:r>
      <w:r>
        <w:t>Emerging large language models (LLMs) can infer gene functions directly from gene lists, enabling hypothesis generation without predefined gene sets. However, these LLM-derived predictions are qualitative, and principled statistical validation is lacking. Here, we develop an embedding-based statistical framework that transforms gene and function descriptions into vector representations, enabling statistical testing of gene-gene and gene-function relationships and quantitative prioritization of de novo functional hypotheses inferred by LLMs. We benchmark seven state-of-the-art embedding models using curated and retrieval-augmented literature-derived gene descriptions across diverse biological contexts. OpenAI’s text-embedding-3-large and Google’s gemini-embedding-001 perform best, capturing gene-gene functional relationships in 88.7-92.5% of Gene Ontology biological processes and approximately 98.6% of canonical pathways. In gene-function association analyses, these models achieve high sensitivity (95.2-98.4%) and specificity (72.7-84.3%). Through contamination analysis and evaluation using experimentally informed protein assembly gene sets, our framework distinguishes biologically meaningful LLM-inferred hypotheses from noise, outperforming confidence-based inference and conventional enrichment analysis. We further develop the open-source R package DEGEmbedR and demonstrate its utility for interpreting a drug perturbation-derived differentially expressed gene (DEG) signature lacking significant conventional enrichment results. Together, these results establish LLM-derived embeddings as a quantitative foundation for functional genomics and the statistical validation of LLM-based gene function inference.</w:t>
      </w:r>
    </w:p>
    <w:p>
      <w:pPr>
        <w:spacing w:before="120" w:after="120"/>
      </w:pPr>
      <w:r>
        <w:rPr>
          <w:sz w:val="18"/>
        </w:rPr>
        <w:t>——————————————————————————————————————————————————————————————————————</w:t>
      </w:r>
    </w:p>
    <w:p>
      <w:pPr>
        <w:spacing w:before="160" w:after="40" w:line="240" w:lineRule="auto"/>
      </w:pPr>
      <w:r>
        <w:rPr>
          <w:b/>
        </w:rPr>
        <w:t xml:space="preserve">[670] </w:t>
      </w:r>
      <w:hyperlink r:id="rId1646">
        <w:r>
          <w:rPr>
            <w:color w:val="1155CC"/>
            <w:u w:val="single"/>
          </w:rPr>
          <w:t>吞噬细胞成核核心的 GABARAP−PtdIns3K-C1 正反馈环</w:t>
        </w:r>
      </w:hyperlink>
    </w:p>
    <w:p>
      <w:pPr>
        <w:spacing w:before="0" w:after="80"/>
      </w:pPr>
      <w:r>
        <w:rPr>
          <w:i/>
          <w:sz w:val="20"/>
        </w:rPr>
        <w:t>EN: A GABARAP−PtdIns3K-C1 positive feedback loop at the heart of the phagophore nucleation</w:t>
      </w:r>
    </w:p>
    <w:p>
      <w:pPr>
        <w:spacing w:before="0" w:after="120"/>
      </w:pPr>
      <w:r>
        <w:rPr>
          <w:b/>
        </w:rPr>
        <w:t xml:space="preserve">Source: </w:t>
      </w:r>
      <w:r>
        <w:t>Biological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在哺乳动物细胞中，自噬体在引发饥饿后 30 分钟内直径可以达到超过 1000 nm，但如何合成如此大量的膜仍然难以捉摸。吞噬细胞的启动需要脂质激酶 PIK3C3-Complex 1 (PtdIns3K-C1)，它会产生 3-磷酸磷脂酰肌醇 (PtdIns3P)。 PtdIns3P 招募 WIPI2，促进吞噬细胞上哺乳动物 ATG8 (mATG8) 家族蛋白的脂化。在这里，我们证明重组膜偶联 GABARAP 结合并有效激活 PtdIns3K-C1。通过结合冷冻电子显微镜、结构质谱、活性测定和诱变，我们证明 GABARAP 通过两个结合位点激活 PtdIns3K-C1。我们提出，一旦 GABARAP 被 PtdIns3K-C1 基础活性产生的 PtdIns3P 间接招募，就会形成正反馈回路，其中 PtdIns3K-C1 与 GABARAP 相互作用并被激活以产生更多的 PtdIns3P，从而进一步刺激 GABARAP 脂化。这种机制对于自噬体生物发生至关重要，其中需要快速合成扩大的膜。</w:t>
      </w:r>
    </w:p>
    <w:p>
      <w:pPr>
        <w:spacing w:before="0" w:after="200" w:lineRule="auto" w:line="276"/>
      </w:pPr>
      <w:r>
        <w:rPr>
          <w:b/>
        </w:rPr>
        <w:t xml:space="preserve">Abstract (EN): </w:t>
      </w:r>
      <w:r>
        <w:t>In mammalian cells, autophagosomes can reach diameters of over 1000 nm within 30 min after triggering starvation, but how such substantial amounts of membranes can be synthesized remains elusive. The phagophore initiation needs the lipid kinase PIK3C3-Complex 1 (PtdIns3K-C1), which produces phosphatidylinositol-3-phosphate (PtdIns3P). PtdIns3P recruits WIPI2 that facilitates lipidation of mammalian ATG8 (mATG8) family proteins on phagophores. Here we show that recombinant membrane-coupled GABARAP binds to and potently activates PtdIns3K-C1. By a combination of cryo-electron microscopy, structural mass spectrometry, activity assays and mutagenesis, we show that GABARAP activates PtdIns3K-C1 through two binding sites. We propose that once GABARAP is indirectly recruited by PtdIns3P generated by basal activity of PtdIns3K-C1, a positive feedback loop is formed where PtdIns3K-C1 interacts with GABARAP and becomes activated to produce more PtdIns3P, thereby further stimulating GABARAP lipidation. This mechanism would be central for autophagosome biogenesis, where enlarged membranes need to be rapidly synthesized.</w:t>
      </w:r>
    </w:p>
    <w:p>
      <w:pPr>
        <w:spacing w:before="120" w:after="120"/>
      </w:pPr>
      <w:r>
        <w:rPr>
          <w:sz w:val="18"/>
        </w:rPr>
        <w:t>——————————————————————————————————————————————————————————————————————</w:t>
      </w:r>
    </w:p>
    <w:p>
      <w:pPr>
        <w:spacing w:before="160" w:after="40" w:line="240" w:lineRule="auto"/>
      </w:pPr>
      <w:r>
        <w:rPr>
          <w:b/>
        </w:rPr>
        <w:t xml:space="preserve">[671] </w:t>
      </w:r>
      <w:hyperlink r:id="rId1647">
        <w:r>
          <w:rPr>
            <w:color w:val="1155CC"/>
            <w:u w:val="single"/>
          </w:rPr>
          <w:t>MATCAP 的缩合促进有丝分裂中 CENP-E 依赖性染色体的收缩</w:t>
        </w:r>
      </w:hyperlink>
    </w:p>
    <w:p>
      <w:pPr>
        <w:spacing w:before="0" w:after="80"/>
      </w:pPr>
      <w:r>
        <w:rPr>
          <w:i/>
          <w:sz w:val="20"/>
        </w:rPr>
        <w:t>EN: Condensation of MATCAP promotes CENP-E-dependent chromosome congression in mitosis</w:t>
      </w:r>
    </w:p>
    <w:p>
      <w:pPr>
        <w:spacing w:before="0" w:after="120"/>
      </w:pPr>
      <w:r>
        <w:rPr>
          <w:b/>
        </w:rPr>
        <w:t xml:space="preserve">Source: </w:t>
      </w:r>
      <w:r>
        <w:t>Biological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有丝分裂染色体的准确分离需要由基于微管的运动蛋白驱动的后期前对齐。微管蛋白脱酪氨酸对于引导有丝分裂中 CENP-E 驱动的染色体折叠至关重要。然而，用于解码 CENP-E 运动的脱酪氨酸酶的作用机制和理化性质仍然难以捉摸。在这里，我们表明微管相关酪氨酸羧肽酶（MATCAP）在微管上经历本质无序区域（IDR）依赖性液-液相分离（LLPS）以构成微管蛋白去酪氨酸机制。这些生物分子缩合物选择性地富集微管蛋白和 CENP-E，从而稳定动粒-微管附着。表达 LLPS 缺陷的 MATCAP 突变体的细胞的实时成像揭示了 MATCAP LLPS 动力学在有丝分裂染色体排列中的重要性。从机制上讲，MATCAP 的相分离在时空上将微管蛋白脱酪氨酸与 CENP-E 运动耦合，以确保有丝分裂过程中稳健的染色体排列。这些发现描绘了一个信号级联，它将相分离和微管蛋白脱酪氨酸与有丝分裂进展结合起来，以维持基因组稳定性。</w:t>
      </w:r>
    </w:p>
    <w:p>
      <w:pPr>
        <w:spacing w:before="0" w:after="200" w:lineRule="auto" w:line="276"/>
      </w:pPr>
      <w:r>
        <w:rPr>
          <w:b/>
        </w:rPr>
        <w:t xml:space="preserve">Abstract (EN): </w:t>
      </w:r>
      <w:r>
        <w:t>Accurate segregation of mitotic chromosomes requires pre-anaphase alignment driven by microtubule-based motor proteins. Tubulin detyrosination is essential to guide CENP-E-driven chromosome congression in mitosis. However, the mechanisms of action and physiochemical properties of the detyrosinases for decoding CENP-E motility remain elusive. Here we show that microtubule-associated tyrosine carboxypeptidase (MATCAP) undergoes intrinsically disordered region (IDR)-dependent liquid-liquid phase separation (LLPS) on microtubules to constitute the tubulin detyrosination machinery. These biomolecular condensates selectively enrich tubulin and CENP-E, thereby stabilizing kinetochore-microtubule attachments. Real-time imaging of cells expressing LLPS-deficient MATCAP mutants reveals the importance of MATCAP LLPS dynamics in mitotic chromosome alignment. Mechanistically, phase separation of MATCAP spatiotemporally couples tubulin detyrosination with CENP-E motility to ensure a robust chromosome alignment during mitosis. These findings delineate a signaling cascade that integrates phase separation and tubulin detyrosination with mitotic progression for the maintenance of genomic stability.</w:t>
      </w:r>
    </w:p>
    <w:p>
      <w:pPr>
        <w:spacing w:before="120" w:after="120"/>
      </w:pPr>
      <w:r>
        <w:rPr>
          <w:sz w:val="18"/>
        </w:rPr>
        <w:t>——————————————————————————————————————————————————————————————————————</w:t>
      </w:r>
    </w:p>
    <w:p>
      <w:pPr>
        <w:spacing w:before="160" w:after="40" w:line="240" w:lineRule="auto"/>
      </w:pPr>
      <w:r>
        <w:rPr>
          <w:b/>
        </w:rPr>
        <w:t xml:space="preserve">[672] </w:t>
      </w:r>
      <w:hyperlink r:id="rId1648">
        <w:r>
          <w:rPr>
            <w:color w:val="1155CC"/>
            <w:u w:val="single"/>
          </w:rPr>
          <w:t>公众对世界十大人口最多国家空气质量的反应</w:t>
        </w:r>
      </w:hyperlink>
    </w:p>
    <w:p>
      <w:pPr>
        <w:spacing w:before="0" w:after="80"/>
      </w:pPr>
      <w:r>
        <w:rPr>
          <w:i/>
          <w:sz w:val="20"/>
        </w:rPr>
        <w:t>EN: Public responses about air quality in the world’s ten most populous countries</w:t>
      </w:r>
    </w:p>
    <w:p>
      <w:pPr>
        <w:spacing w:before="0" w:after="120"/>
      </w:pPr>
      <w:r>
        <w:rPr>
          <w:b/>
        </w:rPr>
        <w:t xml:space="preserve">Source: </w:t>
      </w:r>
      <w:r>
        <w:t>Earth and environmental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了解人们对室外空气质量的看法和反应对于有效管理和应对空气污染至关重要，空气污染是全球公共卫生的主要威胁。我们使用来自全球人口最多的十个国家（孟加拉国、巴西、中国、印度尼西亚、印度、墨西哥、尼日利亚、巴基斯坦、俄罗斯和美国）1,372 个地区的 10,618 名受访者的配额样本，评估了暴露于直径 ≤ 2.5 微米细颗粒物 (PM2.5) 与人们对空气质量的知识、态度、看法、实践和关注之间的关联。总体而言，我们发现空气污染暴露与空气质量知识之间呈负相关，而空气污染暴露、实践、态度和对空气质量的关注之间呈正相关。我们还发现了与年龄、性别、教育、居住地、政治意识形态、婚姻、就业或吸烟状况等人口特征的显着相互作用，这可以为针对弱势群体的有针对性的干预措施提供信息。</w:t>
      </w:r>
    </w:p>
    <w:p>
      <w:pPr>
        <w:spacing w:before="0" w:after="200" w:lineRule="auto" w:line="276"/>
      </w:pPr>
      <w:r>
        <w:rPr>
          <w:b/>
        </w:rPr>
        <w:t xml:space="preserve">Abstract (EN): </w:t>
      </w:r>
      <w:r>
        <w:t>Understanding how people view and react to outdoor air quality is crucial to effectively managing and responding to air pollution, which is a major threat to global public health. Using a quota sample of 10,618 respondents from 1,372 localities across the world’s ten most populous countries (Bangladesh, Brazil, China, Indonesia, India, Mexico, Nigeria, Pakistan, Russia, and the United States), we assessed the association between exposure to fine particulate matter with diameter ≤ 2.5 micrometers (PM2.5) and people’s knowledge, attitudes, perceptions, practices, and concern about air quality. Overall, we find an inverse association between air pollution exposure and knowledge about air quality, and a positive association between air pollution exposure, practices, attitudes, and concern about air quality. We also identified significant interactions with demographic characteristics such as age, sex, education, place of residence, political ideology, and marital, employment, or smoking status, which can inform targeted interventions among vulnerable populations.</w:t>
      </w:r>
    </w:p>
    <w:p>
      <w:pPr>
        <w:spacing w:before="120" w:after="120"/>
      </w:pPr>
      <w:r>
        <w:rPr>
          <w:sz w:val="18"/>
        </w:rPr>
        <w:t>——————————————————————————————————————————————————————————————————————</w:t>
      </w:r>
    </w:p>
    <w:p>
      <w:pPr>
        <w:spacing w:before="160" w:after="40" w:line="240" w:lineRule="auto"/>
      </w:pPr>
      <w:r>
        <w:rPr>
          <w:b/>
        </w:rPr>
        <w:t xml:space="preserve">[673] </w:t>
      </w:r>
      <w:hyperlink r:id="rId1649">
        <w:r>
          <w:rPr>
            <w:color w:val="1155CC"/>
            <w:u w:val="single"/>
          </w:rPr>
          <w:t>工程病毒蛋白酶操作的纳米抗体用于蛋白质功能的可编程和正交控制</w:t>
        </w:r>
      </w:hyperlink>
    </w:p>
    <w:p>
      <w:pPr>
        <w:spacing w:before="0" w:after="80"/>
      </w:pPr>
      <w:r>
        <w:rPr>
          <w:i/>
          <w:sz w:val="20"/>
        </w:rPr>
        <w:t>EN: Engineering viral protease-operated nanobodies for programmable and orthogonal control of protein function</w:t>
      </w:r>
    </w:p>
    <w:p>
      <w:pPr>
        <w:spacing w:before="0" w:after="120"/>
      </w:pPr>
      <w:r>
        <w:rPr>
          <w:b/>
        </w:rPr>
        <w:t xml:space="preserve">Source: </w:t>
      </w:r>
      <w:r>
        <w:t>Biological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精确控制活细胞中的蛋白质功能对于工程可编程生物系统和治疗应用至关重要。然而，大多数当前策略通过改变蛋白质稳定性、定位或邻近性而不是直接调节结合活性来间接起作用。在这里，我们展示了 VIPbodies，这是一种用自切割病毒蛋白酶设计的纳米抗体，可将蛋白酶抑制转化为药物依赖性抗原识别。使用抗 mCherry 纳米抗体作为原型，我们创建了对正交病毒蛋白酶-抑制剂对敏感的变体，并将设计扩展到不同的纳米抗体支架。每个 VIPbody 在同一细胞内独立发挥作用，从而实现不同靶标的多重调节。当纳入转录电路时，VIPbodies 介导药物可调基因表达并执行所有六种规范布尔逻辑运算，为可编程细胞计算提供紧凑的框架。除了基因调控之外，VIPbody 电路还介导焦亡的双向控制，并通过 caspase 偶联选择性激活细胞凋亡或焦亡程序，从而实现蛋白质功能和细胞命运的化学遗传学控制。</w:t>
      </w:r>
    </w:p>
    <w:p>
      <w:pPr>
        <w:spacing w:before="0" w:after="200" w:lineRule="auto" w:line="276"/>
      </w:pPr>
      <w:r>
        <w:rPr>
          <w:b/>
        </w:rPr>
        <w:t xml:space="preserve">Abstract (EN): </w:t>
      </w:r>
      <w:r>
        <w:t>Precise control of protein function in living cells is essential for engineering programmable biological systems and therapeutic applications. However, most current strategies act indirectly by altering protein stability, localization, or proximity rather than directly modulating binding activity. Here we present VIPbodies, nanobodies engineered with self-cleaving viral proteases that convert protease inhibition into drug-dependent antigen recognition. Using anti-mCherry nanobodies as prototypes, we create variants responsive to orthogonal viral protease–inhibitor pairs and extend the design to diverse nanobody scaffolds. Each VIPbody functions independently within the same cell, enabling multiplexed regulation of distinct targets. When incorporated into transcriptional circuits, VIPbodies mediate drug-tunable gene expression and execute all six canonical Boolean logic operations, providing a compact framework for programmable cellular computation. Beyond gene regulation, VIPbody circuits mediate bidirectional control of pyroptosis and selectively activate apoptotic or pyroptotic programs via caspase coupling, thereby enabling chemogenetic control of protein function and cell fate.</w:t>
      </w:r>
    </w:p>
    <w:p>
      <w:pPr>
        <w:spacing w:before="120" w:after="120"/>
      </w:pPr>
      <w:r>
        <w:rPr>
          <w:sz w:val="18"/>
        </w:rPr>
        <w:t>——————————————————————————————————————————————————————————————————————</w:t>
      </w:r>
    </w:p>
    <w:p>
      <w:pPr>
        <w:spacing w:before="160" w:after="40" w:line="240" w:lineRule="auto"/>
      </w:pPr>
      <w:r>
        <w:rPr>
          <w:b/>
        </w:rPr>
        <w:t xml:space="preserve">[674] </w:t>
      </w:r>
      <w:hyperlink r:id="rId1650">
        <w:r>
          <w:rPr>
            <w:color w:val="1155CC"/>
            <w:u w:val="single"/>
          </w:rPr>
          <w:t>两亲性螺旋的筛选鉴定了与内核膜特性相关的特征</w:t>
        </w:r>
      </w:hyperlink>
    </w:p>
    <w:p>
      <w:pPr>
        <w:spacing w:before="0" w:after="80"/>
      </w:pPr>
      <w:r>
        <w:rPr>
          <w:i/>
          <w:sz w:val="20"/>
        </w:rPr>
        <w:t>EN: Screening of amphipathic helices identifies features linked to inner nuclear membrane properties</w:t>
      </w:r>
    </w:p>
    <w:p>
      <w:pPr>
        <w:spacing w:before="0" w:after="120"/>
      </w:pPr>
      <w:r>
        <w:rPr>
          <w:b/>
        </w:rPr>
        <w:t xml:space="preserve">Source: </w:t>
      </w:r>
      <w:r>
        <w:t>Biological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内核膜 (INM) 蛋白控制着许多核功能，但控制外周 INM 关联的特性仍不清楚。在这里，我们进行基于图像的筛选来识别候选者和已建立的介导 INM 关联的两亲性螺旋 (AH) 的特征。当定向到细胞核时，定位于 ER/高尔基体膜的 AH 会变得与 INM 相关，而定位于线粒体的 AH 则主要变得与核质相关。突变线粒体定位的 AH 以增加其对具有脂质堆积缺陷的膜的偏好，从而实现核靶向时的 INM 关联。对 TMEM214 中 INM 相关 AH 的结构研究表明，与脂质堆积缺陷结合后会折叠，并且全长 TMEM214 定位于核孔。在多个 AH 中，INM 结合一致主要取决于对脂质堆积缺陷的敏感性，静电贡献较小。强调不同机械输入、核肿胀而不是细胞拉伸的不同影响，增强了选定 AH 的 INM 关联。这些发现定义了促进 INM 关联的 AH 特征，并对核机械反应具有影响。</w:t>
      </w:r>
    </w:p>
    <w:p>
      <w:pPr>
        <w:spacing w:before="0" w:after="200" w:lineRule="auto" w:line="276"/>
      </w:pPr>
      <w:r>
        <w:rPr>
          <w:b/>
        </w:rPr>
        <w:t xml:space="preserve">Abstract (EN): </w:t>
      </w:r>
      <w:r>
        <w:t>Inner nuclear membrane (INM) proteins control numerous nuclear functions, yet properties governing peripheral INM-association remain poorly defined. Here, we perform an image-based screen to identify features in candidate and established amphipathic helices (AHs) that mediate INM association. AHs that localize to ER/Golgi membranes become INM-associated when directed to the nucleus, whereas mitochondrial-localized AHs become largely nucleoplasmic. Mutating a mitochondrial-localized AH to increase its preference for membranes with lipid packing defects enables INM-association upon nuclear targeting. Structural studies of an INM-associated AH in TMEM214 show folding upon binding to lipid packing defects, and full-length TMEM214 localizes to nuclear pores. Consistently across multiple AHs, INM binding depends primarily on sensitivity to lipid packing defects, with a minor electrostatic contribution. Highlighting distinct effects of different mechanical inputs, nuclear swelling, but not cell stretching, enhances INM association of select AHs. These findings define AH features that promote INM association, with implications for nucleo-mechanical responses.</w:t>
      </w:r>
    </w:p>
    <w:p>
      <w:pPr>
        <w:spacing w:before="120" w:after="120"/>
      </w:pPr>
      <w:r>
        <w:rPr>
          <w:sz w:val="18"/>
        </w:rPr>
        <w:t>——————————————————————————————————————————————————————————————————————</w:t>
      </w:r>
    </w:p>
    <w:p>
      <w:pPr>
        <w:spacing w:before="160" w:after="40" w:line="240" w:lineRule="auto"/>
      </w:pPr>
      <w:r>
        <w:rPr>
          <w:b/>
        </w:rPr>
        <w:t xml:space="preserve">[675] </w:t>
      </w:r>
      <w:hyperlink r:id="rId1651">
        <w:r>
          <w:rPr>
            <w:color w:val="1155CC"/>
            <w:u w:val="single"/>
          </w:rPr>
          <w:t>1988年以来森林地上碳的十年汇源变化</w:t>
        </w:r>
      </w:hyperlink>
    </w:p>
    <w:p>
      <w:pPr>
        <w:spacing w:before="0" w:after="80"/>
      </w:pPr>
      <w:r>
        <w:rPr>
          <w:i/>
          <w:sz w:val="20"/>
        </w:rPr>
        <w:t>EN: Decadal sink-source shifts of forest aboveground carbon since 1988</w:t>
      </w:r>
    </w:p>
    <w:p>
      <w:pPr>
        <w:spacing w:before="0" w:after="120"/>
      </w:pPr>
      <w:r>
        <w:rPr>
          <w:b/>
        </w:rPr>
        <w:t xml:space="preserve">Source: </w:t>
      </w:r>
      <w:r>
        <w:t>Earth and environmental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森林生态系统对全球碳循环至关重要，但其长期地上碳（AGC）动态仍然不确定。在这里，我们将多源卫星观测与概率深度学习模型相结合，以 0.25∘ 重建 1988 年至 2021 年协调的、具有不确定性的全球森林 AGC 记录。我们发现，尽管全球森林封存了 6.2 PgC，但自 2000 年代初以来，潮湿的热带和北方森林已逐渐转向碳源。热带 AGC 变异性与大气 CO2 增长率的负相关性越来越大（2011 年至 2021 年 r = – 0.63），这表明热带森林越来越多地调节全球碳循环。在巴西亚马逊地区，完整森林对 AGC 损失逐年变化的贡献从 1990 年代的 33% 增加到 2010 年代的 76%。我们的研究结果强调了关键生物群落中碳储量的脆弱性，并为跟踪人为气候变化下新兴的汇-源变化提供了基准。</w:t>
      </w:r>
    </w:p>
    <w:p>
      <w:pPr>
        <w:spacing w:before="0" w:after="200" w:lineRule="auto" w:line="276"/>
      </w:pPr>
      <w:r>
        <w:rPr>
          <w:b/>
        </w:rPr>
        <w:t xml:space="preserve">Abstract (EN): </w:t>
      </w:r>
      <w:r>
        <w:t>Forest ecosystems are vital to the global carbon cycle, yet their long-term aboveground carbon (AGC) dynamics remain uncertain. Here, we integrate multi-source satellite observations with probabilistic deep learning models to reconstruct a harmonized, uncertainty-aware global forest AGC record from 1988 to 2021 at 0.25∘. We find that, although global forests sequestered 6.2 PgC, moist tropical and boreal forests have progressively transitioned toward carbon sources since the early 2000s. Tropical AGC variability became increasingly negatively correlated with atmospheric CO2 growth rates (r = – 0.63 in 2011–2021), suggesting tropical forests increasingly modulate the global carbon cycle. In the Brazilian Amazon, the contribution of intact forests to the year-to-year variations in AGC losses increased from 33% in the 1990s to 76% in the 2010s. Our findings highlight the vulnerability of carbon stocks in key biomes and provide a benchmark to track emerging sink-source shifts under anthropogenic climate change.</w:t>
      </w:r>
    </w:p>
    <w:p>
      <w:pPr>
        <w:spacing w:before="120" w:after="120"/>
      </w:pPr>
      <w:r>
        <w:rPr>
          <w:sz w:val="18"/>
        </w:rPr>
        <w:t>——————————————————————————————————————————————————————————————————————</w:t>
      </w:r>
    </w:p>
    <w:p>
      <w:pPr>
        <w:spacing w:before="160" w:after="40" w:line="240" w:lineRule="auto"/>
      </w:pPr>
      <w:r>
        <w:rPr>
          <w:b/>
        </w:rPr>
        <w:t xml:space="preserve">[676] </w:t>
      </w:r>
      <w:hyperlink r:id="rId1652">
        <w:r>
          <w:rPr>
            <w:color w:val="1155CC"/>
            <w:u w:val="single"/>
          </w:rPr>
          <w:t>人为强迫对湖面温度的影响归因</w:t>
        </w:r>
      </w:hyperlink>
    </w:p>
    <w:p>
      <w:pPr>
        <w:spacing w:before="0" w:after="80"/>
      </w:pPr>
      <w:r>
        <w:rPr>
          <w:i/>
          <w:sz w:val="20"/>
        </w:rPr>
        <w:t>EN: Impact attribution of anthropogenic forcing on lake surface temperature</w:t>
      </w:r>
    </w:p>
    <w:p>
      <w:pPr>
        <w:spacing w:before="0" w:after="120"/>
      </w:pPr>
      <w:r>
        <w:rPr>
          <w:b/>
        </w:rPr>
        <w:t xml:space="preserve">Source: </w:t>
      </w:r>
      <w:r>
        <w:t>Earth and environmental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全球湖泊是重要的淡水来源，支持生物多样性并提供重要的生态系统服务。尽管广泛的湖面变暖已得到充分记录，但将这种趋势正式归因于特定的人为驱动因素仍然遥不可及。在这里，我们使用一个数据集将全球湖泊表面变暖归因于人类活动，该数据集将卫星约束的湖泊温度估计与气候模型模拟相结合。我们发现，从1950年到2020年，观察到的湖面温度上升了0.47°C，主要是由温室气体排放驱动的，温室气体排放导致了0.95°C的变暖趋势，部分被气溶胶引起的-0.28°C的降温所抵消。在 44 个研究区域中的 23 个区域中一致检测到了主要温室气体指纹，区域差异反映了其他人为和自然强迫的影响。我们的研究结果提供了温室气体排放引起的全球湖面变暖的直接证据，为气候变暖的世界的气候责任和未来适应提供了科学基础。</w:t>
      </w:r>
    </w:p>
    <w:p>
      <w:pPr>
        <w:spacing w:before="0" w:after="200" w:lineRule="auto" w:line="276"/>
      </w:pPr>
      <w:r>
        <w:rPr>
          <w:b/>
        </w:rPr>
        <w:t xml:space="preserve">Abstract (EN): </w:t>
      </w:r>
      <w:r>
        <w:t>Global lakes are important sources of freshwater, supporting biodiversity and providing vital ecosystem services. While widespread lake surface warming has been well-documented, formal attribution of this trend to specific anthropogenic drivers has remained out of reach. Here, we provide the attribution of global lake surface warming to human activities using a dataset that integrates satellite-constrained lake temperature estimates with climate model simulations. From 1950 to 2020, we find that the observed 0.47 °C increase in lake surface temperature is primarily driven by greenhouse gas emissions, which contributed a warming trend of 0.95 °C, partially offset by aerosol-induced cooling of −0.28 °C. A dominant greenhouse-gas fingerprint is consistently detected across 23 of 44 studied regions, with regional variations reflecting the influence of other anthropogenic and natural forcings. Our findings provide the direct evidence of global lake surface warming induced by greenhouse-gas emissions, offering scientific foundations for climate accountability and future adaptation in a warming world.</w:t>
      </w:r>
    </w:p>
    <w:p>
      <w:pPr>
        <w:spacing w:before="120" w:after="120"/>
      </w:pPr>
      <w:r>
        <w:rPr>
          <w:sz w:val="18"/>
        </w:rPr>
        <w:t>——————————————————————————————————————————————————————————————————————</w:t>
      </w:r>
    </w:p>
    <w:p>
      <w:pPr>
        <w:spacing w:before="160" w:after="40" w:line="240" w:lineRule="auto"/>
      </w:pPr>
      <w:r>
        <w:rPr>
          <w:b/>
        </w:rPr>
        <w:t xml:space="preserve">[677] </w:t>
      </w:r>
      <w:hyperlink r:id="rId1653">
        <w:r>
          <w:rPr>
            <w:color w:val="1155CC"/>
            <w:u w:val="single"/>
          </w:rPr>
          <w:t>灵长类小脑发育中转座元件的基因调控创新</w:t>
        </w:r>
      </w:hyperlink>
    </w:p>
    <w:p>
      <w:pPr>
        <w:spacing w:before="0" w:after="80"/>
      </w:pPr>
      <w:r>
        <w:rPr>
          <w:i/>
          <w:sz w:val="20"/>
        </w:rPr>
        <w:t>EN: Gene regulatory innovations from transposable elements in primate cerebellum development</w:t>
      </w:r>
    </w:p>
    <w:p>
      <w:pPr>
        <w:spacing w:before="0" w:after="120"/>
      </w:pPr>
      <w:r>
        <w:rPr>
          <w:b/>
        </w:rPr>
        <w:t xml:space="preserve">Source: </w:t>
      </w:r>
      <w:r>
        <w:t>Biological sciences : Nature Communications subject feeds</w:t>
      </w:r>
      <w:r>
        <w:t xml:space="preserve">    </w:t>
      </w:r>
      <w:r>
        <w:rPr>
          <w:b/>
        </w:rPr>
        <w:t xml:space="preserve">Pub date: </w:t>
      </w:r>
      <w:r>
        <w:t>2026-07-30 00:00:00+00:00</w:t>
      </w:r>
    </w:p>
    <w:p>
      <w:pPr>
        <w:spacing w:before="0" w:after="120"/>
      </w:pPr>
      <w:r>
        <w:rPr>
          <w:b/>
        </w:rPr>
        <w:t xml:space="preserve">Notes: </w:t>
      </w:r>
      <w:r>
        <w:t>abstract_source=nature_html</w:t>
      </w:r>
    </w:p>
    <w:p>
      <w:pPr>
        <w:spacing w:before="0" w:after="80" w:lineRule="auto" w:line="276"/>
      </w:pPr>
      <w:r>
        <w:rPr>
          <w:b/>
        </w:rPr>
        <w:t xml:space="preserve">摘要（ZH）: </w:t>
      </w:r>
      <w:r>
        <w:t>据推测，转座元件推动了基因调控创新，但它们在细胞类型水平上对灵长类大脑发育的贡献仍未得到充分探索。在这里，我们使用来自人类、猕猴、狨猴和小鼠小脑的单细胞多组学数据来表明，转座元件对不同细胞类型的贡献是由不同程度的跨细胞类型的约束以及特定细胞状态下某些转座元件的优先共同选择决定的。使用基于序列的深度学习模型来预测细胞类型特异性染色质可及性，我们系统地评估了转座元件在小脑基因调控网络中的共选潜力，识别了十二个转座元件亚家族，其祖先状态下具有复杂的调控序列，有助于它们作为细胞类型特异性顺式调控元件的共选。这些祖先调控序列的保存以及插入位点周围的活性染色质环境是现有拷贝可及性的主要决定因素。谱系特异性可访问拷贝有助于人类特异性基因表达。从广义上讲，我们展示了转座元件如何灵活地纳入细胞类型特异性基因调控网络，并引入一个通用的分析框架来剖析它们对哺乳动物调控进化的贡献。</w:t>
      </w:r>
    </w:p>
    <w:p>
      <w:pPr>
        <w:spacing w:before="0" w:after="200" w:lineRule="auto" w:line="276"/>
      </w:pPr>
      <w:r>
        <w:rPr>
          <w:b/>
        </w:rPr>
        <w:t xml:space="preserve">Abstract (EN): </w:t>
      </w:r>
      <w:r>
        <w:t>Transposable elements are hypothesized to have driven gene regulatory innovation, yet their contributions to primate brain development at the cell type level remain underexplored. Here, we use single-cell multiomics data from human, macaque, marmoset, and mouse cerebella to show that transposable element contributions to different cell types are shaped by varying degrees of constraints across cell types, as well as the preferential co-option of certain transposable elements in specific cell states. Using a sequence-based deep-learning model that predicts cell-type-specific chromatin accessibility, we systematically assess the co-option potential of transposable elements into cerebellar gene regulatory networks, identifying twelve transposable element subfamilies with complex regulatory sequences in their ancestral states that facilitate their co-option as cell-type-specific cis-regulatory elements. Preservation of these ancestral regulatory sequences, as well as the active chromatin environment surrounding the insertion site, is the major determinant of the accessibility of extant copies. Lineage-specific accessible copies contribute to human-specific gene expression. Broadly, we demonstrate how transposable elements can be flexibly co-opted into cell-type-specific gene regulatory networks, and introduce a generalizable analytical framework for dissecting their contribution to mammalian regulatory evolution.</w:t>
      </w:r>
    </w:p>
    <w:p>
      <w:pPr>
        <w:spacing w:before="120" w:after="120"/>
      </w:pPr>
      <w:r>
        <w:rPr>
          <w:sz w:val="18"/>
        </w:rPr>
        <w:t>——————————————————————————————————————————————————————————————————————</w:t>
      </w:r>
    </w:p>
    <w:p>
      <w:pPr>
        <w:spacing w:before="160" w:after="40" w:line="240" w:lineRule="auto"/>
      </w:pPr>
      <w:r>
        <w:rPr>
          <w:b/>
        </w:rPr>
        <w:t xml:space="preserve">[678] </w:t>
      </w:r>
      <w:hyperlink r:id="rId1654">
        <w:r>
          <w:rPr>
            <w:color w:val="1155CC"/>
            <w:u w:val="single"/>
          </w:rPr>
          <w:t>报告编者注“宿主遗传多样性促进埃博拉出血热的发病机制和抵抗力”</w:t>
        </w:r>
      </w:hyperlink>
    </w:p>
    <w:p>
      <w:pPr>
        <w:spacing w:before="0" w:after="80"/>
      </w:pPr>
      <w:r>
        <w:rPr>
          <w:i/>
          <w:sz w:val="20"/>
        </w:rPr>
        <w:t>EN: Editor’s Note for the Report “Host genetic diversity enables Ebola hemorrhagic fever pathogenesis and resistance”</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55">
        <w:r>
          <w:rPr>
            <w:color w:val="1155CC"/>
            <w:u w:val="single"/>
          </w:rPr>
          <w:t>10.1126/science.aek4288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[679] </w:t>
      </w:r>
      <w:hyperlink r:id="rId1656">
        <w:r>
          <w:rPr>
            <w:color w:val="1155CC"/>
            <w:u w:val="single"/>
          </w:rPr>
          <w:t>让抗菌知识具有感染力</w:t>
        </w:r>
      </w:hyperlink>
    </w:p>
    <w:p>
      <w:pPr>
        <w:spacing w:before="0" w:after="80"/>
      </w:pPr>
      <w:r>
        <w:rPr>
          <w:i/>
          <w:sz w:val="20"/>
        </w:rPr>
        <w:t>EN: Making antimicrobial knowledge contagious</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57">
        <w:r>
          <w:rPr>
            <w:color w:val="1155CC"/>
            <w:u w:val="single"/>
          </w:rPr>
          <w:t>10.1126/science.aeh0950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[680] </w:t>
      </w:r>
      <w:hyperlink r:id="rId1658">
        <w:r>
          <w:rPr>
            <w:color w:val="1155CC"/>
            <w:u w:val="single"/>
          </w:rPr>
          <w:t>中国的绳草清除加剧了侵蚀</w:t>
        </w:r>
      </w:hyperlink>
    </w:p>
    <w:p>
      <w:pPr>
        <w:spacing w:before="0" w:after="80"/>
      </w:pPr>
      <w:r>
        <w:rPr>
          <w:i/>
          <w:sz w:val="20"/>
        </w:rPr>
        <w:t>EN: China’s cordgrass removal increases erosion</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59">
        <w:r>
          <w:rPr>
            <w:color w:val="1155CC"/>
            <w:u w:val="single"/>
          </w:rPr>
          <w:t>10.1126/science.aej6290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[681] </w:t>
      </w:r>
      <w:hyperlink r:id="rId1660">
        <w:r>
          <w:rPr>
            <w:color w:val="1155CC"/>
            <w:u w:val="single"/>
          </w:rPr>
          <w:t>海洋酸化的见证</w:t>
        </w:r>
      </w:hyperlink>
    </w:p>
    <w:p>
      <w:pPr>
        <w:spacing w:before="0" w:after="80"/>
      </w:pPr>
      <w:r>
        <w:rPr>
          <w:i/>
          <w:sz w:val="20"/>
        </w:rPr>
        <w:t>EN: Witness to ocean acidification</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61">
        <w:r>
          <w:rPr>
            <w:color w:val="1155CC"/>
            <w:u w:val="single"/>
          </w:rPr>
          <w:t>10.1126/science.aek2948</w:t>
        </w:r>
      </w:hyperlink>
    </w:p>
    <w:p>
      <w:pPr>
        <w:spacing w:before="0" w:after="120"/>
      </w:pPr>
      <w:r>
        <w:rPr>
          <w:b/>
        </w:rPr>
        <w:t xml:space="preserve">Notes: </w:t>
      </w:r>
      <w:r>
        <w:t>abstract_source=crossref</w:t>
      </w:r>
    </w:p>
    <w:p>
      <w:pPr>
        <w:spacing w:before="0" w:after="80" w:lineRule="auto" w:line="276"/>
      </w:pPr>
      <w:r>
        <w:rPr>
          <w:b/>
        </w:rPr>
        <w:t xml:space="preserve">摘要（ZH）: </w:t>
      </w:r>
      <w:r>
        <w:t>钙质海洋浮游生物可以表明过去和现在的海洋酸化</w:t>
      </w:r>
    </w:p>
    <w:p>
      <w:pPr>
        <w:spacing w:before="0" w:after="200" w:lineRule="auto" w:line="276"/>
      </w:pPr>
      <w:r>
        <w:rPr>
          <w:b/>
        </w:rPr>
        <w:t xml:space="preserve">Abstract (EN): </w:t>
      </w:r>
      <w:r>
        <w:t>Calcareous marine plankton can indicate past and present ocean acidification</w:t>
      </w:r>
    </w:p>
    <w:p>
      <w:pPr>
        <w:spacing w:before="120" w:after="120"/>
      </w:pPr>
      <w:r>
        <w:rPr>
          <w:sz w:val="18"/>
        </w:rPr>
        <w:t>——————————————————————————————————————————————————————————————————————</w:t>
      </w:r>
    </w:p>
    <w:p>
      <w:pPr>
        <w:spacing w:before="160" w:after="40" w:line="240" w:lineRule="auto"/>
      </w:pPr>
      <w:r>
        <w:rPr>
          <w:b/>
        </w:rPr>
        <w:t xml:space="preserve">[682] </w:t>
      </w:r>
      <w:hyperlink r:id="rId1662">
        <w:r>
          <w:rPr>
            <w:color w:val="1155CC"/>
            <w:u w:val="single"/>
          </w:rPr>
          <w:t>艰难的推出</w:t>
        </w:r>
      </w:hyperlink>
    </w:p>
    <w:p>
      <w:pPr>
        <w:spacing w:before="0" w:after="80"/>
      </w:pPr>
      <w:r>
        <w:rPr>
          <w:i/>
          <w:sz w:val="20"/>
        </w:rPr>
        <w:t>EN: A rocky rollout</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63">
        <w:r>
          <w:rPr>
            <w:color w:val="1155CC"/>
            <w:u w:val="single"/>
          </w:rPr>
          <w:t>10.1126/science.ael0160</w:t>
        </w:r>
      </w:hyperlink>
    </w:p>
    <w:p>
      <w:pPr>
        <w:spacing w:before="0" w:after="120"/>
      </w:pPr>
      <w:r>
        <w:rPr>
          <w:b/>
        </w:rPr>
        <w:t xml:space="preserve">Notes: </w:t>
      </w:r>
      <w:r>
        <w:t>abstract_source=crossref</w:t>
      </w:r>
    </w:p>
    <w:p>
      <w:pPr>
        <w:spacing w:before="0" w:after="80" w:lineRule="auto" w:line="276"/>
      </w:pPr>
      <w:r>
        <w:rPr>
          <w:b/>
        </w:rPr>
        <w:t xml:space="preserve">摘要（ZH）: </w:t>
      </w:r>
      <w:r>
        <w:t>一种强大的新预防药物可能有助于结束艾滋病毒流行，但供应远远不足</w:t>
      </w:r>
    </w:p>
    <w:p>
      <w:pPr>
        <w:spacing w:before="0" w:after="200" w:lineRule="auto" w:line="276"/>
      </w:pPr>
      <w:r>
        <w:rPr>
          <w:b/>
        </w:rPr>
        <w:t xml:space="preserve">Abstract (EN): </w:t>
      </w:r>
      <w:r>
        <w:t>A powerful new prevention drug could help end the HIV epidemic—but supply is falling far short</w:t>
      </w:r>
    </w:p>
    <w:p>
      <w:pPr>
        <w:spacing w:before="120" w:after="120"/>
      </w:pPr>
      <w:r>
        <w:rPr>
          <w:sz w:val="18"/>
        </w:rPr>
        <w:t>——————————————————————————————————————————————————————————————————————</w:t>
      </w:r>
    </w:p>
    <w:p>
      <w:pPr>
        <w:spacing w:before="160" w:after="40" w:line="240" w:lineRule="auto"/>
      </w:pPr>
      <w:r>
        <w:rPr>
          <w:b/>
        </w:rPr>
        <w:t xml:space="preserve">[683] </w:t>
      </w:r>
      <w:hyperlink r:id="rId1664">
        <w:r>
          <w:rPr>
            <w:color w:val="1155CC"/>
            <w:u w:val="single"/>
          </w:rPr>
          <w:t>黑洞是如何结合的</w:t>
        </w:r>
      </w:hyperlink>
    </w:p>
    <w:p>
      <w:pPr>
        <w:spacing w:before="0" w:after="80"/>
      </w:pPr>
      <w:r>
        <w:rPr>
          <w:i/>
          <w:sz w:val="20"/>
        </w:rPr>
        <w:t>EN: How black holes get hitched</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65">
        <w:r>
          <w:rPr>
            <w:color w:val="1155CC"/>
            <w:u w:val="single"/>
          </w:rPr>
          <w:t>10.1126/science.ael0162</w:t>
        </w:r>
      </w:hyperlink>
    </w:p>
    <w:p>
      <w:pPr>
        <w:spacing w:before="0" w:after="120"/>
      </w:pPr>
      <w:r>
        <w:rPr>
          <w:b/>
        </w:rPr>
        <w:t xml:space="preserve">Notes: </w:t>
      </w:r>
      <w:r>
        <w:t>abstract_source=crossref</w:t>
      </w:r>
    </w:p>
    <w:p>
      <w:pPr>
        <w:spacing w:before="0" w:after="80" w:lineRule="auto" w:line="276"/>
      </w:pPr>
      <w:r>
        <w:rPr>
          <w:b/>
        </w:rPr>
        <w:t xml:space="preserve">摘要（ZH）: </w:t>
      </w:r>
      <w:r>
        <w:t>对数百次碰撞的分析发现黑洞至少以三种方式配对</w:t>
      </w:r>
    </w:p>
    <w:p>
      <w:pPr>
        <w:spacing w:before="0" w:after="200" w:lineRule="auto" w:line="276"/>
      </w:pPr>
      <w:r>
        <w:rPr>
          <w:b/>
        </w:rPr>
        <w:t xml:space="preserve">Abstract (EN): </w:t>
      </w:r>
      <w:r>
        <w:t>Analyses of hundreds of collisions find black holes pair up in at least three ways</w:t>
      </w:r>
    </w:p>
    <w:p>
      <w:pPr>
        <w:spacing w:before="120" w:after="120"/>
      </w:pPr>
      <w:r>
        <w:rPr>
          <w:sz w:val="18"/>
        </w:rPr>
        <w:t>——————————————————————————————————————————————————————————————————————</w:t>
      </w:r>
    </w:p>
    <w:p>
      <w:pPr>
        <w:spacing w:before="160" w:after="40" w:line="240" w:lineRule="auto"/>
      </w:pPr>
      <w:r>
        <w:rPr>
          <w:b/>
        </w:rPr>
        <w:t xml:space="preserve">[684] </w:t>
      </w:r>
      <w:hyperlink r:id="rId1666">
        <w:r>
          <w:rPr>
            <w:color w:val="1155CC"/>
            <w:u w:val="single"/>
          </w:rPr>
          <w:t>为什么X染色体富含L1移动元件</w:t>
        </w:r>
      </w:hyperlink>
    </w:p>
    <w:p>
      <w:pPr>
        <w:spacing w:before="0" w:after="80"/>
      </w:pPr>
      <w:r>
        <w:rPr>
          <w:i/>
          <w:sz w:val="20"/>
        </w:rPr>
        <w:t>EN: Why the X chromosome is rich in L1 mobile elements</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67">
        <w:r>
          <w:rPr>
            <w:color w:val="1155CC"/>
            <w:u w:val="single"/>
          </w:rPr>
          <w:t>10.1126/science.aej3543</w:t>
        </w:r>
      </w:hyperlink>
    </w:p>
    <w:p>
      <w:pPr>
        <w:spacing w:before="0" w:after="120"/>
      </w:pPr>
      <w:r>
        <w:rPr>
          <w:b/>
        </w:rPr>
        <w:t xml:space="preserve">Notes: </w:t>
      </w:r>
      <w:r>
        <w:t>abstract_source=crossref</w:t>
      </w:r>
    </w:p>
    <w:p>
      <w:pPr>
        <w:spacing w:before="0" w:after="80" w:lineRule="auto" w:line="276"/>
      </w:pPr>
      <w:r>
        <w:rPr>
          <w:b/>
        </w:rPr>
        <w:t xml:space="preserve">摘要（ZH）: </w:t>
      </w:r>
      <w:r>
        <w:t>优先插入复制晚期不活跃的 X 解释了该染色体中 L1 的积累</w:t>
      </w:r>
    </w:p>
    <w:p>
      <w:pPr>
        <w:spacing w:before="0" w:after="200" w:lineRule="auto" w:line="276"/>
      </w:pPr>
      <w:r>
        <w:rPr>
          <w:b/>
        </w:rPr>
        <w:t xml:space="preserve">Abstract (EN): </w:t>
      </w:r>
      <w:r>
        <w:t>Preferential insertion into the late-replicating inactive X explains L1 accumulation in this chromosome</w:t>
      </w:r>
    </w:p>
    <w:p>
      <w:pPr>
        <w:spacing w:before="120" w:after="120"/>
      </w:pPr>
      <w:r>
        <w:rPr>
          <w:sz w:val="18"/>
        </w:rPr>
        <w:t>——————————————————————————————————————————————————————————————————————</w:t>
      </w:r>
    </w:p>
    <w:p>
      <w:pPr>
        <w:spacing w:before="160" w:after="40" w:line="240" w:lineRule="auto"/>
      </w:pPr>
      <w:r>
        <w:rPr>
          <w:b/>
        </w:rPr>
        <w:t xml:space="preserve">[685] </w:t>
      </w:r>
      <w:hyperlink r:id="rId1668">
        <w:r>
          <w:rPr>
            <w:color w:val="1155CC"/>
            <w:u w:val="single"/>
          </w:rPr>
          <w:t>批评者称黄金时代报告错失良机</w:t>
        </w:r>
      </w:hyperlink>
    </w:p>
    <w:p>
      <w:pPr>
        <w:spacing w:before="0" w:after="80"/>
      </w:pPr>
      <w:r>
        <w:rPr>
          <w:i/>
          <w:sz w:val="20"/>
        </w:rPr>
        <w:t>EN: Golden Age report is a missed opportunity, critics say</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69">
        <w:r>
          <w:rPr>
            <w:color w:val="1155CC"/>
            <w:u w:val="single"/>
          </w:rPr>
          <w:t>10.1126/science.ael0165</w:t>
        </w:r>
      </w:hyperlink>
    </w:p>
    <w:p>
      <w:pPr>
        <w:spacing w:before="0" w:after="120"/>
      </w:pPr>
      <w:r>
        <w:rPr>
          <w:b/>
        </w:rPr>
        <w:t xml:space="preserve">Notes: </w:t>
      </w:r>
      <w:r>
        <w:t>abstract_source=crossref</w:t>
      </w:r>
    </w:p>
    <w:p>
      <w:pPr>
        <w:spacing w:before="0" w:after="80" w:lineRule="auto" w:line="276"/>
      </w:pPr>
      <w:r>
        <w:rPr>
          <w:b/>
        </w:rPr>
        <w:t xml:space="preserve">摘要（ZH）: </w:t>
      </w:r>
      <w:r>
        <w:t>他们担心尝试动摇“钙化系统”可能弊大于利</w:t>
      </w:r>
    </w:p>
    <w:p>
      <w:pPr>
        <w:spacing w:before="0" w:after="200" w:lineRule="auto" w:line="276"/>
      </w:pPr>
      <w:r>
        <w:rPr>
          <w:b/>
        </w:rPr>
        <w:t xml:space="preserve">Abstract (EN): </w:t>
      </w:r>
      <w:r>
        <w:t>They worry attempt to shake up a “calcified system” could do more harm than good</w:t>
      </w:r>
    </w:p>
    <w:p>
      <w:pPr>
        <w:spacing w:before="120" w:after="120"/>
      </w:pPr>
      <w:r>
        <w:rPr>
          <w:sz w:val="18"/>
        </w:rPr>
        <w:t>——————————————————————————————————————————————————————————————————————</w:t>
      </w:r>
    </w:p>
    <w:p>
      <w:pPr>
        <w:spacing w:before="160" w:after="40" w:line="240" w:lineRule="auto"/>
      </w:pPr>
      <w:r>
        <w:rPr>
          <w:b/>
        </w:rPr>
        <w:t xml:space="preserve">[686] </w:t>
      </w:r>
      <w:hyperlink r:id="rId1670">
        <w:r>
          <w:rPr>
            <w:color w:val="1155CC"/>
            <w:u w:val="single"/>
          </w:rPr>
          <w:t>英国科学界是流失而不是危机</w:t>
        </w:r>
      </w:hyperlink>
    </w:p>
    <w:p>
      <w:pPr>
        <w:spacing w:before="0" w:after="80"/>
      </w:pPr>
      <w:r>
        <w:rPr>
          <w:i/>
          <w:sz w:val="20"/>
        </w:rPr>
        <w:t>EN: Churn, not crisis, for UK science</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71">
        <w:r>
          <w:rPr>
            <w:color w:val="1155CC"/>
            <w:u w:val="single"/>
          </w:rPr>
          <w:t>10.1126/science.aek8701</w:t>
        </w:r>
      </w:hyperlink>
    </w:p>
    <w:p>
      <w:pPr>
        <w:spacing w:before="0" w:after="120"/>
      </w:pPr>
      <w:r>
        <w:rPr>
          <w:b/>
        </w:rPr>
        <w:t xml:space="preserve">Notes: </w:t>
      </w:r>
      <w:r>
        <w:t>abstract_source=crossref</w:t>
      </w:r>
    </w:p>
    <w:p>
      <w:pPr>
        <w:spacing w:before="0" w:after="80" w:lineRule="auto" w:line="276"/>
      </w:pPr>
      <w:r>
        <w:rPr>
          <w:b/>
        </w:rPr>
        <w:t xml:space="preserve">摘要（ZH）: </w:t>
      </w:r>
      <w:r>
        <w:t>当安迪·伯纳姆上周就任英国首相时，他的第一个行动就是废除科学、创新和技术部（DSIT），将其并入一个新的超级部</w:t>
      </w:r>
      <w:r>
        <w:t xml:space="preserve"> </w:t>
      </w:r>
      <w:r>
        <w:t>商业、创新、科学和贸易</w:t>
      </w:r>
      <w:r>
        <w:t xml:space="preserve"> </w:t>
      </w:r>
      <w:r>
        <w:t>。科学部长，</w:t>
      </w:r>
      <w:r>
        <w:t xml:space="preserve"> </w:t>
      </w:r>
      <w:r>
        <w:t>帕特里克·瓦朗斯</w:t>
      </w:r>
      <w:r>
        <w:t xml:space="preserve"> </w:t>
      </w:r>
      <w:r>
        <w:t>，同日下台。从联邦研究系统面临压力的美国来看，英国的改组可能很容易被视为类似的动荡，并证明政治不稳定正在腐蚀大西洋两岸的科学。这样的解读是错误的。英国重新安排了其科学政策的机制，而不是破坏其基础。这一变化可能会加强英国研究对经济复兴的贡献，伯纳姆已经完成了他的决定性使命。</w:t>
      </w:r>
    </w:p>
    <w:p>
      <w:pPr>
        <w:spacing w:before="0" w:after="200" w:lineRule="auto" w:line="276"/>
      </w:pPr>
      <w:r>
        <w:rPr>
          <w:b/>
        </w:rPr>
        <w:t xml:space="preserve">Abstract (EN): </w:t>
      </w:r>
      <w:r>
        <w:t>When Andy Burnham became the United Kingdom’s prime minister last week, among his first acts was to abolish the Department for Science, Innovation and Technology (DSIT), folding it into a new superministry for</w:t>
      </w:r>
      <w:r>
        <w:t xml:space="preserve"> </w:t>
      </w:r>
      <w:r>
        <w:t>Business, Innovation, Science and Trade</w:t>
      </w:r>
      <w:r>
        <w:t xml:space="preserve"> </w:t>
      </w:r>
      <w:r>
        <w:t>. The science minister,</w:t>
      </w:r>
      <w:r>
        <w:t xml:space="preserve"> </w:t>
      </w:r>
      <w:r>
        <w:t>Patrick Vallance</w:t>
      </w:r>
      <w:r>
        <w:t xml:space="preserve"> </w:t>
      </w:r>
      <w:r>
        <w:t>, stepped down the same day. Viewed from the United States, where the federal research system is under pressure, it may be tempting to see Britain’s reshuffle as kindred turmoil and proof that political instability is corroding science on both sides of the Atlantic. That reading would be wrong. Britain has rearranged the machinery of its science policy, not undermined its foundations. The change could sharpen the contribution of UK research to the economic renewal that Burnham has made his defining mission.</w:t>
      </w:r>
    </w:p>
    <w:p>
      <w:pPr>
        <w:spacing w:before="120" w:after="120"/>
      </w:pPr>
      <w:r>
        <w:rPr>
          <w:sz w:val="18"/>
        </w:rPr>
        <w:t>——————————————————————————————————————————————————————————————————————</w:t>
      </w:r>
    </w:p>
    <w:p>
      <w:pPr>
        <w:spacing w:before="160" w:after="40" w:line="240" w:lineRule="auto"/>
      </w:pPr>
      <w:r>
        <w:rPr>
          <w:b/>
        </w:rPr>
        <w:t xml:space="preserve">[687] </w:t>
      </w:r>
      <w:hyperlink r:id="rId1672">
        <w:r>
          <w:rPr>
            <w:color w:val="1155CC"/>
            <w:u w:val="single"/>
          </w:rPr>
          <w:t>美国公布第一笔创世纪任务资助人工智能研究</w:t>
        </w:r>
      </w:hyperlink>
    </w:p>
    <w:p>
      <w:pPr>
        <w:spacing w:before="0" w:after="80"/>
      </w:pPr>
      <w:r>
        <w:rPr>
          <w:i/>
          <w:sz w:val="20"/>
        </w:rPr>
        <w:t>EN: U.S. unveils first Genesis Mission grants for AI in research</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73">
        <w:r>
          <w:rPr>
            <w:color w:val="1155CC"/>
            <w:u w:val="single"/>
          </w:rPr>
          <w:t>10.1126/science.ael0164</w:t>
        </w:r>
      </w:hyperlink>
    </w:p>
    <w:p>
      <w:pPr>
        <w:spacing w:before="0" w:after="120"/>
      </w:pPr>
      <w:r>
        <w:rPr>
          <w:b/>
        </w:rPr>
        <w:t xml:space="preserve">Notes: </w:t>
      </w:r>
      <w:r>
        <w:t>abstract_source=crossref</w:t>
      </w:r>
    </w:p>
    <w:p>
      <w:pPr>
        <w:spacing w:before="0" w:after="80" w:lineRule="auto" w:line="276"/>
      </w:pPr>
      <w:r>
        <w:rPr>
          <w:b/>
        </w:rPr>
        <w:t xml:space="preserve">摘要（ZH）: </w:t>
      </w:r>
      <w:r>
        <w:t>278 名获奖者现在面临为期 9 个月的竞赛，以证明他们值得获得额外资助</w:t>
      </w:r>
    </w:p>
    <w:p>
      <w:pPr>
        <w:spacing w:before="0" w:after="200" w:lineRule="auto" w:line="276"/>
      </w:pPr>
      <w:r>
        <w:rPr>
          <w:b/>
        </w:rPr>
        <w:t xml:space="preserve">Abstract (EN): </w:t>
      </w:r>
      <w:r>
        <w:t>The 278 winners now face a 9-month race to prove they deserve additional funding</w:t>
      </w:r>
    </w:p>
    <w:p>
      <w:pPr>
        <w:spacing w:before="120" w:after="120"/>
      </w:pPr>
      <w:r>
        <w:rPr>
          <w:sz w:val="18"/>
        </w:rPr>
        <w:t>——————————————————————————————————————————————————————————————————————</w:t>
      </w:r>
    </w:p>
    <w:p>
      <w:pPr>
        <w:spacing w:before="160" w:after="40" w:line="240" w:lineRule="auto"/>
      </w:pPr>
      <w:r>
        <w:rPr>
          <w:b/>
        </w:rPr>
        <w:t xml:space="preserve">[688] </w:t>
      </w:r>
      <w:hyperlink r:id="rId1674">
        <w:r>
          <w:rPr>
            <w:color w:val="1155CC"/>
            <w:u w:val="single"/>
          </w:rPr>
          <w:t>人工智能的顶级初创公司几乎没有发表他们的研究成果</w:t>
        </w:r>
      </w:hyperlink>
    </w:p>
    <w:p>
      <w:pPr>
        <w:spacing w:before="0" w:after="80"/>
      </w:pPr>
      <w:r>
        <w:rPr>
          <w:i/>
          <w:sz w:val="20"/>
        </w:rPr>
        <w:t>EN: AI’s top startups are barely publishing their research</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75">
        <w:r>
          <w:rPr>
            <w:color w:val="1155CC"/>
            <w:u w:val="single"/>
          </w:rPr>
          <w:t>10.1126/science.ael0166</w:t>
        </w:r>
      </w:hyperlink>
    </w:p>
    <w:p>
      <w:pPr>
        <w:spacing w:before="0" w:after="120"/>
      </w:pPr>
      <w:r>
        <w:rPr>
          <w:b/>
        </w:rPr>
        <w:t xml:space="preserve">Notes: </w:t>
      </w:r>
      <w:r>
        <w:t>abstract_source=crossref</w:t>
      </w:r>
    </w:p>
    <w:p>
      <w:pPr>
        <w:spacing w:before="0" w:after="80" w:lineRule="auto" w:line="276"/>
      </w:pPr>
      <w:r>
        <w:rPr>
          <w:b/>
        </w:rPr>
        <w:t xml:space="preserve">摘要（ZH）: </w:t>
      </w:r>
      <w:r>
        <w:t>超过一半的人工智能“独角兽”从未发表过论文或预印本</w:t>
      </w:r>
    </w:p>
    <w:p>
      <w:pPr>
        <w:spacing w:before="0" w:after="200" w:lineRule="auto" w:line="276"/>
      </w:pPr>
      <w:r>
        <w:rPr>
          <w:b/>
        </w:rPr>
        <w:t xml:space="preserve">Abstract (EN): </w:t>
      </w:r>
      <w:r>
        <w:t>More than half of AI “unicorns” have never published a paper or preprint</w:t>
      </w:r>
    </w:p>
    <w:p>
      <w:pPr>
        <w:spacing w:before="120" w:after="120"/>
      </w:pPr>
      <w:r>
        <w:rPr>
          <w:sz w:val="18"/>
        </w:rPr>
        <w:t>——————————————————————————————————————————————————————————————————————</w:t>
      </w:r>
    </w:p>
    <w:p>
      <w:pPr>
        <w:spacing w:before="160" w:after="40" w:line="240" w:lineRule="auto"/>
      </w:pPr>
      <w:r>
        <w:rPr>
          <w:b/>
        </w:rPr>
        <w:t xml:space="preserve">[689] </w:t>
      </w:r>
      <w:hyperlink r:id="rId1676">
        <w:r>
          <w:rPr>
            <w:color w:val="1155CC"/>
            <w:u w:val="single"/>
          </w:rPr>
          <w:t>古代DNA揭示天花如何传播到美洲</w:t>
        </w:r>
      </w:hyperlink>
    </w:p>
    <w:p>
      <w:pPr>
        <w:spacing w:before="0" w:after="80"/>
      </w:pPr>
      <w:r>
        <w:rPr>
          <w:i/>
          <w:sz w:val="20"/>
        </w:rPr>
        <w:t>EN: Ancient DNA shows how smallpox got to the Americas</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77">
        <w:r>
          <w:rPr>
            <w:color w:val="1155CC"/>
            <w:u w:val="single"/>
          </w:rPr>
          <w:t>10.1126/science.ael0167</w:t>
        </w:r>
      </w:hyperlink>
    </w:p>
    <w:p>
      <w:pPr>
        <w:spacing w:before="0" w:after="120"/>
      </w:pPr>
      <w:r>
        <w:rPr>
          <w:b/>
        </w:rPr>
        <w:t xml:space="preserve">Notes: </w:t>
      </w:r>
      <w:r>
        <w:t>abstract_source=crossref</w:t>
      </w:r>
    </w:p>
    <w:p>
      <w:pPr>
        <w:spacing w:before="0" w:after="80" w:lineRule="auto" w:line="276"/>
      </w:pPr>
      <w:r>
        <w:rPr>
          <w:b/>
        </w:rPr>
        <w:t xml:space="preserve">摘要（ZH）: </w:t>
      </w:r>
      <w:r>
        <w:t>“里程碑式”论文发现欧洲人接触传播了这种疾病</w:t>
      </w:r>
    </w:p>
    <w:p>
      <w:pPr>
        <w:spacing w:before="0" w:after="200" w:lineRule="auto" w:line="276"/>
      </w:pPr>
      <w:r>
        <w:rPr>
          <w:b/>
        </w:rPr>
        <w:t xml:space="preserve">Abstract (EN): </w:t>
      </w:r>
      <w:r>
        <w:t>“ Landmark” paper finds European contact introduced the disease</w:t>
      </w:r>
    </w:p>
    <w:p>
      <w:pPr>
        <w:spacing w:before="120" w:after="120"/>
      </w:pPr>
      <w:r>
        <w:rPr>
          <w:sz w:val="18"/>
        </w:rPr>
        <w:t>——————————————————————————————————————————————————————————————————————</w:t>
      </w:r>
    </w:p>
    <w:p>
      <w:pPr>
        <w:spacing w:before="160" w:after="40" w:line="240" w:lineRule="auto"/>
      </w:pPr>
      <w:r>
        <w:rPr>
          <w:b/>
        </w:rPr>
        <w:t xml:space="preserve">[690] </w:t>
      </w:r>
      <w:hyperlink r:id="rId1678">
        <w:r>
          <w:rPr>
            <w:color w:val="1155CC"/>
            <w:u w:val="single"/>
          </w:rPr>
          <w:t>流畅性的危险</w:t>
        </w:r>
      </w:hyperlink>
    </w:p>
    <w:p>
      <w:pPr>
        <w:spacing w:before="0" w:after="80"/>
      </w:pPr>
      <w:r>
        <w:rPr>
          <w:i/>
          <w:sz w:val="20"/>
        </w:rPr>
        <w:t>EN: The perils of fluency</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79">
        <w:r>
          <w:rPr>
            <w:color w:val="1155CC"/>
            <w:u w:val="single"/>
          </w:rPr>
          <w:t>10.1126/science.aek9790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[691] </w:t>
      </w:r>
      <w:hyperlink r:id="rId1680">
        <w:r>
          <w:rPr>
            <w:color w:val="1155CC"/>
            <w:u w:val="single"/>
          </w:rPr>
          <w:t>人口普查中禁止使用隐私保护工具</w:t>
        </w:r>
      </w:hyperlink>
    </w:p>
    <w:p>
      <w:pPr>
        <w:spacing w:before="0" w:after="80"/>
      </w:pPr>
      <w:r>
        <w:rPr>
          <w:i/>
          <w:sz w:val="20"/>
        </w:rPr>
        <w:t>EN: Privacy-preserving tools banned in census</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81">
        <w:r>
          <w:rPr>
            <w:color w:val="1155CC"/>
            <w:u w:val="single"/>
          </w:rPr>
          <w:t>10.1126/science.ael0161</w:t>
        </w:r>
      </w:hyperlink>
    </w:p>
    <w:p>
      <w:pPr>
        <w:spacing w:before="0" w:after="120"/>
      </w:pPr>
      <w:r>
        <w:rPr>
          <w:b/>
        </w:rPr>
        <w:t xml:space="preserve">Notes: </w:t>
      </w:r>
      <w:r>
        <w:t>abstract_source=crossref</w:t>
      </w:r>
    </w:p>
    <w:p>
      <w:pPr>
        <w:spacing w:before="0" w:after="80" w:lineRule="auto" w:line="276"/>
      </w:pPr>
      <w:r>
        <w:rPr>
          <w:b/>
        </w:rPr>
        <w:t xml:space="preserve">摘要（ZH）: </w:t>
      </w:r>
      <w:r>
        <w:t>批评者称目标是减少移民并增加共和党在国会的席位</w:t>
      </w:r>
    </w:p>
    <w:p>
      <w:pPr>
        <w:spacing w:before="0" w:after="200" w:lineRule="auto" w:line="276"/>
      </w:pPr>
      <w:r>
        <w:rPr>
          <w:b/>
        </w:rPr>
        <w:t xml:space="preserve">Abstract (EN): </w:t>
      </w:r>
      <w:r>
        <w:t>Critics say goal is to reduce immigration and add Republican seats in Congress</w:t>
      </w:r>
    </w:p>
    <w:p>
      <w:pPr>
        <w:spacing w:before="120" w:after="120"/>
      </w:pPr>
      <w:r>
        <w:rPr>
          <w:sz w:val="18"/>
        </w:rPr>
        <w:t>——————————————————————————————————————————————————————————————————————</w:t>
      </w:r>
    </w:p>
    <w:p>
      <w:pPr>
        <w:spacing w:before="160" w:after="40" w:line="240" w:lineRule="auto"/>
      </w:pPr>
      <w:r>
        <w:rPr>
          <w:b/>
        </w:rPr>
        <w:t xml:space="preserve">[692] </w:t>
      </w:r>
      <w:hyperlink r:id="rId1682">
        <w:r>
          <w:rPr>
            <w:color w:val="1155CC"/>
            <w:u w:val="single"/>
          </w:rPr>
          <w:t>NIH 再次终止政治敏感资助</w:t>
        </w:r>
      </w:hyperlink>
    </w:p>
    <w:p>
      <w:pPr>
        <w:spacing w:before="0" w:after="80"/>
      </w:pPr>
      <w:r>
        <w:rPr>
          <w:i/>
          <w:sz w:val="20"/>
        </w:rPr>
        <w:t>EN: NIH is again terminating politically sensitive grants</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83">
        <w:r>
          <w:rPr>
            <w:color w:val="1155CC"/>
            <w:u w:val="single"/>
          </w:rPr>
          <w:t>10.1126/science.ael0163</w:t>
        </w:r>
      </w:hyperlink>
    </w:p>
    <w:p>
      <w:pPr>
        <w:spacing w:before="0" w:after="120"/>
      </w:pPr>
      <w:r>
        <w:rPr>
          <w:b/>
        </w:rPr>
        <w:t xml:space="preserve">Notes: </w:t>
      </w:r>
      <w:r>
        <w:t>abstract_source=crossref</w:t>
      </w:r>
    </w:p>
    <w:p>
      <w:pPr>
        <w:spacing w:before="0" w:after="80" w:lineRule="auto" w:line="276"/>
      </w:pPr>
      <w:r>
        <w:rPr>
          <w:b/>
        </w:rPr>
        <w:t xml:space="preserve">摘要（ZH）: </w:t>
      </w:r>
      <w:r>
        <w:t>随着健康差异项目的取消，该机构可能正在测试新的方法来合法地取消白宫不喜欢的拨款</w:t>
      </w:r>
    </w:p>
    <w:p>
      <w:pPr>
        <w:spacing w:before="0" w:after="200" w:lineRule="auto" w:line="276"/>
      </w:pPr>
      <w:r>
        <w:rPr>
          <w:b/>
        </w:rPr>
        <w:t xml:space="preserve">Abstract (EN): </w:t>
      </w:r>
      <w:r>
        <w:t>With cancellation of health disparities project, agency may be testing new way to legally kill grants disliked by White House</w:t>
      </w:r>
    </w:p>
    <w:p>
      <w:pPr>
        <w:spacing w:before="120" w:after="120"/>
      </w:pPr>
      <w:r>
        <w:rPr>
          <w:sz w:val="18"/>
        </w:rPr>
        <w:t>——————————————————————————————————————————————————————————————————————</w:t>
      </w:r>
    </w:p>
    <w:p>
      <w:pPr>
        <w:spacing w:before="160" w:after="40" w:line="240" w:lineRule="auto"/>
      </w:pPr>
      <w:r>
        <w:rPr>
          <w:b/>
        </w:rPr>
        <w:t xml:space="preserve">[693] </w:t>
      </w:r>
      <w:hyperlink r:id="rId1684">
        <w:r>
          <w:rPr>
            <w:color w:val="1155CC"/>
            <w:u w:val="single"/>
          </w:rPr>
          <w:t>表面脑刺激</w:t>
        </w:r>
      </w:hyperlink>
    </w:p>
    <w:p>
      <w:pPr>
        <w:spacing w:before="0" w:after="80"/>
      </w:pPr>
      <w:r>
        <w:rPr>
          <w:i/>
          <w:sz w:val="20"/>
        </w:rPr>
        <w:t>EN: Surfacing brain stimulation</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85">
        <w:r>
          <w:rPr>
            <w:color w:val="1155CC"/>
            <w:u w:val="single"/>
          </w:rPr>
          <w:t>10.1126/science.aej5902</w:t>
        </w:r>
      </w:hyperlink>
    </w:p>
    <w:p>
      <w:pPr>
        <w:spacing w:before="0" w:after="120"/>
      </w:pPr>
      <w:r>
        <w:rPr>
          <w:b/>
        </w:rPr>
        <w:t xml:space="preserve">Notes: </w:t>
      </w:r>
      <w:r>
        <w:t>abstract_source=crossref</w:t>
      </w:r>
    </w:p>
    <w:p>
      <w:pPr>
        <w:spacing w:before="0" w:after="80" w:lineRule="auto" w:line="276"/>
      </w:pPr>
      <w:r>
        <w:rPr>
          <w:b/>
        </w:rPr>
        <w:t xml:space="preserve">摘要（ZH）: </w:t>
      </w:r>
      <w:r>
        <w:t>大脑功能回路可以指导精确的表面脑刺激</w:t>
      </w:r>
    </w:p>
    <w:p>
      <w:pPr>
        <w:spacing w:before="0" w:after="200" w:lineRule="auto" w:line="276"/>
      </w:pPr>
      <w:r>
        <w:rPr>
          <w:b/>
        </w:rPr>
        <w:t xml:space="preserve">Abstract (EN): </w:t>
      </w:r>
      <w:r>
        <w:t>Brain functional circuits can guide precision surface brain stimulation</w:t>
      </w:r>
    </w:p>
    <w:p>
      <w:pPr>
        <w:spacing w:before="120" w:after="120"/>
      </w:pPr>
      <w:r>
        <w:rPr>
          <w:sz w:val="18"/>
        </w:rPr>
        <w:t>——————————————————————————————————————————————————————————————————————</w:t>
      </w:r>
    </w:p>
    <w:p>
      <w:pPr>
        <w:spacing w:before="160" w:after="40" w:line="240" w:lineRule="auto"/>
      </w:pPr>
      <w:r>
        <w:rPr>
          <w:b/>
        </w:rPr>
        <w:t xml:space="preserve">[694] </w:t>
      </w:r>
      <w:hyperlink r:id="rId1686">
        <w:r>
          <w:rPr>
            <w:color w:val="1155CC"/>
            <w:u w:val="single"/>
          </w:rPr>
          <w:t>哺乳动物玻璃体胶原纤维的分子结构</w:t>
        </w:r>
      </w:hyperlink>
    </w:p>
    <w:p>
      <w:pPr>
        <w:spacing w:before="0" w:after="80"/>
      </w:pPr>
      <w:r>
        <w:rPr>
          <w:i/>
          <w:sz w:val="20"/>
        </w:rPr>
        <w:t>EN: The molecular architecture of mammalian vitreous body collagen fibrils</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87">
        <w:r>
          <w:rPr>
            <w:color w:val="1155CC"/>
            <w:u w:val="single"/>
          </w:rPr>
          <w:t>10.1126/science.aec2906</w:t>
        </w:r>
      </w:hyperlink>
    </w:p>
    <w:p>
      <w:pPr>
        <w:spacing w:before="0" w:after="120"/>
      </w:pPr>
      <w:r>
        <w:rPr>
          <w:b/>
        </w:rPr>
        <w:t xml:space="preserve">Notes: </w:t>
      </w:r>
      <w:r>
        <w:t>abstract_source=crossref</w:t>
      </w:r>
    </w:p>
    <w:p>
      <w:pPr>
        <w:spacing w:before="0" w:after="80" w:lineRule="auto" w:line="276"/>
      </w:pPr>
      <w:r>
        <w:rPr>
          <w:b/>
        </w:rPr>
        <w:t xml:space="preserve">摘要（ZH）: </w:t>
      </w:r>
      <w:r>
        <w:t>胶原蛋白是细胞外基质的基本成分，长期以来一直难以对其进行高分辨率结构表征。使用定制的系统和针对长周期丝进行优化的冷冻电子显微镜处理，我们确定了猪玻璃体的天然胶原原纤维的结构，局部分辨率从 2.6 埃延伸到 7 埃。每个 67 纳米周期单元包含 II、V/XI 和 IX 型胶原蛋白三螺旋以及光学蛋白，化学计量比为 8:4:4:4，这揭示了它们详细的高阶分子堆积。丰富的半乳糖-葡萄糖二糖修饰保守的-甘氨酸-X-羟基赖氨酸-基序中的羟基赖氨酸残基，介导原纤维堆积和结构稳定性。我们的结构揭示了胶原蛋白原纤维的聚糖介导的组装原理，并阐明了玻璃体中胶原蛋白的结构功能基础。</w:t>
      </w:r>
    </w:p>
    <w:p>
      <w:pPr>
        <w:spacing w:before="0" w:after="200" w:lineRule="auto" w:line="276"/>
      </w:pPr>
      <w:r>
        <w:rPr>
          <w:b/>
        </w:rPr>
        <w:t xml:space="preserve">Abstract (EN): </w:t>
      </w:r>
      <w:r>
        <w:t>Collagen, a fundamental constituent of the extracellular matrix, has long remained elusive to high-resolution structural characterization. Using a tailored system and optimized cryo–electron microscopy processing for long-period filaments, we determined the structure of native collagen fibrils from the porcine vitreous body, with local resolutions extending from 2.6 to 7 angstroms. Each 67-nanometer periodic unit contains type II, V/XI, and IX collagen triple helices together with opticin, at a stoichiometry of 8:4:4:4, which reveals their detailed higher-order molecular packing. Abundant galactose-glucose disaccharides modify hydroxylysine residues in conserved -glycine-X-hydroxylysine- motifs, mediating fibril packing and structural stability. Our structure uncovers the glycan-mediated assembly principle of collagen fibrils and clarifies the structure-function basis of collagens in the vitreous body.</w:t>
      </w:r>
    </w:p>
    <w:p>
      <w:pPr>
        <w:spacing w:before="120" w:after="120"/>
      </w:pPr>
      <w:r>
        <w:rPr>
          <w:sz w:val="18"/>
        </w:rPr>
        <w:t>——————————————————————————————————————————————————————————————————————</w:t>
      </w:r>
    </w:p>
    <w:p>
      <w:pPr>
        <w:spacing w:before="160" w:after="40" w:line="240" w:lineRule="auto"/>
      </w:pPr>
      <w:r>
        <w:rPr>
          <w:b/>
        </w:rPr>
        <w:t xml:space="preserve">[695] </w:t>
      </w:r>
      <w:hyperlink r:id="rId1688">
        <w:r>
          <w:rPr>
            <w:color w:val="1155CC"/>
            <w:u w:val="single"/>
          </w:rPr>
          <w:t>严格并不意味着准备就绪：循证政策的 PERL 框架</w:t>
        </w:r>
      </w:hyperlink>
    </w:p>
    <w:p>
      <w:pPr>
        <w:spacing w:before="0" w:after="80"/>
      </w:pPr>
      <w:r>
        <w:rPr>
          <w:i/>
          <w:sz w:val="20"/>
        </w:rPr>
        <w:t>EN: Rigor is not readiness: The PERL framework for evidence-based policy</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89">
        <w:r>
          <w:rPr>
            <w:color w:val="1155CC"/>
            <w:u w:val="single"/>
          </w:rPr>
          <w:t>10.1126/science.aef3529</w:t>
        </w:r>
      </w:hyperlink>
    </w:p>
    <w:p>
      <w:pPr>
        <w:spacing w:before="0" w:after="120"/>
      </w:pPr>
      <w:r>
        <w:rPr>
          <w:b/>
        </w:rPr>
        <w:t xml:space="preserve">Notes: </w:t>
      </w:r>
      <w:r>
        <w:t>abstract_source=crossref</w:t>
      </w:r>
    </w:p>
    <w:p>
      <w:pPr>
        <w:spacing w:before="0" w:after="80" w:lineRule="auto" w:line="276"/>
      </w:pPr>
      <w:r>
        <w:rPr>
          <w:b/>
        </w:rPr>
        <w:t xml:space="preserve">摘要（ZH）: </w:t>
      </w:r>
      <w:r>
        <w:t>政策证据准备水平帮助决策者评估证据成熟度和不确定性</w:t>
      </w:r>
    </w:p>
    <w:p>
      <w:pPr>
        <w:spacing w:before="0" w:after="200" w:lineRule="auto" w:line="276"/>
      </w:pPr>
      <w:r>
        <w:rPr>
          <w:b/>
        </w:rPr>
        <w:t xml:space="preserve">Abstract (EN): </w:t>
      </w:r>
      <w:r>
        <w:t>Policy Evidence Readiness Levels help decision-makers assess evidence maturity and uncertainty</w:t>
      </w:r>
    </w:p>
    <w:p>
      <w:pPr>
        <w:spacing w:before="120" w:after="120"/>
      </w:pPr>
      <w:r>
        <w:rPr>
          <w:sz w:val="18"/>
        </w:rPr>
        <w:t>——————————————————————————————————————————————————————————————————————</w:t>
      </w:r>
    </w:p>
    <w:p>
      <w:pPr>
        <w:spacing w:before="160" w:after="40" w:line="240" w:lineRule="auto"/>
      </w:pPr>
      <w:r>
        <w:rPr>
          <w:b/>
        </w:rPr>
        <w:t xml:space="preserve">[696] </w:t>
      </w:r>
      <w:hyperlink r:id="rId1690">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91">
        <w:r>
          <w:rPr>
            <w:color w:val="1155CC"/>
            <w:u w:val="single"/>
          </w:rPr>
          <w:t>10.1126/science.aek9788</w:t>
        </w:r>
      </w:hyperlink>
    </w:p>
    <w:p>
      <w:pPr>
        <w:spacing w:before="0" w:after="120"/>
      </w:pPr>
      <w:r>
        <w:rPr>
          <w:b/>
        </w:rPr>
        <w:t xml:space="preserve">Notes: </w:t>
      </w:r>
      <w:r>
        <w:t>abstract_source=crossref</w:t>
      </w:r>
    </w:p>
    <w:p>
      <w:pPr>
        <w:spacing w:before="0" w:after="80" w:lineRule="auto" w:line="276"/>
      </w:pPr>
      <w:r>
        <w:rPr>
          <w:b/>
        </w:rPr>
        <w:t xml:space="preserve">摘要（ZH）: </w:t>
      </w:r>
      <w:r>
        <w:t>亮点来自</w:t>
      </w:r>
      <w:r>
        <w:t xml:space="preserve"> </w:t>
      </w:r>
      <w:r>
        <w:t>科学</w:t>
      </w:r>
      <w:r>
        <w:t xml:space="preserve"> </w:t>
      </w:r>
      <w:r>
        <w:t>期刊家族</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[697] </w:t>
      </w:r>
      <w:hyperlink r:id="rId1692">
        <w:r>
          <w:rPr>
            <w:color w:val="1155CC"/>
            <w:u w:val="single"/>
          </w:rPr>
          <w:t>当哺乳动物穿越大陆时</w:t>
        </w:r>
      </w:hyperlink>
    </w:p>
    <w:p>
      <w:pPr>
        <w:spacing w:before="0" w:after="80"/>
      </w:pPr>
      <w:r>
        <w:rPr>
          <w:i/>
          <w:sz w:val="20"/>
        </w:rPr>
        <w:t>EN: When mammals crossed between continents</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93">
        <w:r>
          <w:rPr>
            <w:color w:val="1155CC"/>
            <w:u w:val="single"/>
          </w:rPr>
          <w:t>10.1126/science.aei5362</w:t>
        </w:r>
      </w:hyperlink>
    </w:p>
    <w:p>
      <w:pPr>
        <w:spacing w:before="0" w:after="120"/>
      </w:pPr>
      <w:r>
        <w:rPr>
          <w:b/>
        </w:rPr>
        <w:t xml:space="preserve">Notes: </w:t>
      </w:r>
      <w:r>
        <w:t>abstract_source=crossref</w:t>
      </w:r>
    </w:p>
    <w:p>
      <w:pPr>
        <w:spacing w:before="0" w:after="80" w:lineRule="auto" w:line="276"/>
      </w:pPr>
      <w:r>
        <w:rPr>
          <w:b/>
        </w:rPr>
        <w:t xml:space="preserve">摘要（ZH）: </w:t>
      </w:r>
      <w:r>
        <w:t>大美国生物交换中心揭示了现代物种入侵的动态</w:t>
      </w:r>
    </w:p>
    <w:p>
      <w:pPr>
        <w:spacing w:before="0" w:after="200" w:lineRule="auto" w:line="276"/>
      </w:pPr>
      <w:r>
        <w:rPr>
          <w:b/>
        </w:rPr>
        <w:t xml:space="preserve">Abstract (EN): </w:t>
      </w:r>
      <w:r>
        <w:t>The Great American Biotic Interchange informs the dynamics of modern species invasions</w:t>
      </w:r>
    </w:p>
    <w:p>
      <w:pPr>
        <w:spacing w:before="120" w:after="120"/>
      </w:pPr>
      <w:r>
        <w:rPr>
          <w:sz w:val="18"/>
        </w:rPr>
        <w:t>——————————————————————————————————————————————————————————————————————</w:t>
      </w:r>
    </w:p>
    <w:p>
      <w:pPr>
        <w:spacing w:before="160" w:after="40" w:line="240" w:lineRule="auto"/>
      </w:pPr>
      <w:r>
        <w:rPr>
          <w:b/>
        </w:rPr>
        <w:t xml:space="preserve">[698] </w:t>
      </w:r>
      <w:hyperlink r:id="rId1694">
        <w:r>
          <w:rPr>
            <w:color w:val="1155CC"/>
            <w:u w:val="single"/>
          </w:rPr>
          <w:t>单一细胞器的衰老和疾病特征</w:t>
        </w:r>
      </w:hyperlink>
    </w:p>
    <w:p>
      <w:pPr>
        <w:spacing w:before="0" w:after="80"/>
      </w:pPr>
      <w:r>
        <w:rPr>
          <w:i/>
          <w:sz w:val="20"/>
        </w:rPr>
        <w:t>EN: Signatures of aging and disease in a single organelle</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95">
        <w:r>
          <w:rPr>
            <w:color w:val="1155CC"/>
            <w:u w:val="single"/>
          </w:rPr>
          <w:t>10.1126/science.aej5901</w:t>
        </w:r>
      </w:hyperlink>
    </w:p>
    <w:p>
      <w:pPr>
        <w:spacing w:before="0" w:after="120"/>
      </w:pPr>
      <w:r>
        <w:rPr>
          <w:b/>
        </w:rPr>
        <w:t xml:space="preserve">Notes: </w:t>
      </w:r>
      <w:r>
        <w:t>abstract_source=crossref</w:t>
      </w:r>
    </w:p>
    <w:p>
      <w:pPr>
        <w:spacing w:before="0" w:after="80" w:lineRule="auto" w:line="276"/>
      </w:pPr>
      <w:r>
        <w:rPr>
          <w:b/>
        </w:rPr>
        <w:t xml:space="preserve">摘要（ZH）: </w:t>
      </w:r>
      <w:r>
        <w:t>溶酶体代谢物的变化与器官衰老和溶酶体贮积病有关</w:t>
      </w:r>
    </w:p>
    <w:p>
      <w:pPr>
        <w:spacing w:before="0" w:after="200" w:lineRule="auto" w:line="276"/>
      </w:pPr>
      <w:r>
        <w:rPr>
          <w:b/>
        </w:rPr>
        <w:t xml:space="preserve">Abstract (EN): </w:t>
      </w:r>
      <w:r>
        <w:t>Changes in lysosomal metabolites are associated with both aging organs and lysosomal storage diseases</w:t>
      </w:r>
    </w:p>
    <w:p>
      <w:pPr>
        <w:spacing w:before="120" w:after="120"/>
      </w:pPr>
      <w:r>
        <w:rPr>
          <w:sz w:val="18"/>
        </w:rPr>
        <w:t>——————————————————————————————————————————————————————————————————————</w:t>
      </w:r>
    </w:p>
    <w:p>
      <w:pPr>
        <w:spacing w:before="160" w:after="40" w:line="240" w:lineRule="auto"/>
      </w:pPr>
      <w:r>
        <w:rPr>
          <w:b/>
        </w:rPr>
        <w:t xml:space="preserve">[699] </w:t>
      </w:r>
      <w:hyperlink r:id="rId1696">
        <w:r>
          <w:rPr>
            <w:color w:val="1155CC"/>
            <w:u w:val="single"/>
          </w:rPr>
          <w:t>磁性杂质中近藤相关性的精确量子多体处理</w:t>
        </w:r>
      </w:hyperlink>
    </w:p>
    <w:p>
      <w:pPr>
        <w:spacing w:before="0" w:after="80"/>
      </w:pPr>
      <w:r>
        <w:rPr>
          <w:i/>
          <w:sz w:val="20"/>
        </w:rPr>
        <w:t>EN: Toward an exact quantum many-body treatment of Kondo correlation in magnetic impurities</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97">
        <w:r>
          <w:rPr>
            <w:color w:val="1155CC"/>
            <w:u w:val="single"/>
          </w:rPr>
          <w:t>10.1126/science.adq7402</w:t>
        </w:r>
      </w:hyperlink>
    </w:p>
    <w:p>
      <w:pPr>
        <w:spacing w:before="0" w:after="120"/>
      </w:pPr>
      <w:r>
        <w:rPr>
          <w:b/>
        </w:rPr>
        <w:t xml:space="preserve">Notes: </w:t>
      </w:r>
      <w:r>
        <w:t>abstract_source=crossref</w:t>
      </w:r>
    </w:p>
    <w:p>
      <w:pPr>
        <w:spacing w:before="0" w:after="80" w:lineRule="auto" w:line="276"/>
      </w:pPr>
      <w:r>
        <w:rPr>
          <w:b/>
        </w:rPr>
        <w:t xml:space="preserve">摘要（ZH）: </w:t>
      </w:r>
      <w:r>
        <w:t>近藤效应是一种典型的量子现象，由磁性杂质中的局域电子与金属主体中的流动电子之间的相互作用产生。尽管这种现象几十年来一直作为量子多体方法的试验场，但对具有材料特异性的近藤物理学的精确描述仍然具有挑战性。在这里，我们提出了一种系统的从头算方法，以收敛于近藤相关性的精确零温度电子处理。在一系列 3d 过渡金属中，我们提取了与微妙的实验趋势相匹配的近藤温度，其精度超过了标准模型。我们进一步对这些趋势的起源进行了微观洞察。更广泛地说，我们展示了从完全从头开始的多体模拟并推动融合预测领域的可能性。</w:t>
      </w:r>
    </w:p>
    <w:p>
      <w:pPr>
        <w:spacing w:before="0" w:after="200" w:lineRule="auto" w:line="276"/>
      </w:pPr>
      <w:r>
        <w:rPr>
          <w:b/>
        </w:rPr>
        <w:t xml:space="preserve">Abstract (EN): </w:t>
      </w:r>
      <w:r>
        <w:t>The Kondo effect is a prototypical quantum phenomenon arising from the interaction between localized electrons in a magnetic impurity and itinerant electrons in a metallic host. Although this phenomenon has served as the testing ground for quantum many-body methods for decades, the precise description of Kondo physics with material specificity remains challenging. Here, we present a systematic ab initio approach to converge toward an exact zero-temperature electronic treatment of Kondo correlations. Across a series of 3d transition metals, we extracted Kondo temperatures matching subtle experimental trends, with accuracy exceeding that of standard models. We further obtained microscopic insight into the origin of these trends. More broadly, we demonstrate the possibility to start from fully ab initio many-body simulations and push toward the realm of converged predictions.</w:t>
      </w:r>
    </w:p>
    <w:p>
      <w:pPr>
        <w:spacing w:before="120" w:after="120"/>
      </w:pPr>
      <w:r>
        <w:rPr>
          <w:sz w:val="18"/>
        </w:rPr>
        <w:t>——————————————————————————————————————————————————————————————————————</w:t>
      </w:r>
    </w:p>
    <w:p>
      <w:pPr>
        <w:spacing w:before="160" w:after="40" w:line="240" w:lineRule="auto"/>
      </w:pPr>
      <w:r>
        <w:rPr>
          <w:b/>
        </w:rPr>
        <w:t xml:space="preserve">[700] </w:t>
      </w:r>
      <w:hyperlink r:id="rId1698">
        <w:r>
          <w:rPr>
            <w:color w:val="1155CC"/>
            <w:u w:val="single"/>
          </w:rPr>
          <w:t>超越尺度：用于渔业保护和恢复的海洋考古基因组学</w:t>
        </w:r>
      </w:hyperlink>
    </w:p>
    <w:p>
      <w:pPr>
        <w:spacing w:before="0" w:after="80"/>
      </w:pPr>
      <w:r>
        <w:rPr>
          <w:i/>
          <w:sz w:val="20"/>
        </w:rPr>
        <w:t>EN: Beyond the scales: Marine archaeogenomics for the conservation and restoration of fisheries</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699">
        <w:r>
          <w:rPr>
            <w:color w:val="1155CC"/>
            <w:u w:val="single"/>
          </w:rPr>
          <w:t>10.1126/science.aeg0333</w:t>
        </w:r>
      </w:hyperlink>
    </w:p>
    <w:p>
      <w:pPr>
        <w:spacing w:before="0" w:after="120"/>
      </w:pPr>
      <w:r>
        <w:rPr>
          <w:b/>
        </w:rPr>
        <w:t xml:space="preserve">Notes: </w:t>
      </w:r>
      <w:r>
        <w:t>abstract_source=crossref</w:t>
      </w:r>
    </w:p>
    <w:p>
      <w:pPr>
        <w:spacing w:before="0" w:after="80" w:lineRule="auto" w:line="276"/>
      </w:pPr>
      <w:r>
        <w:rPr>
          <w:b/>
        </w:rPr>
        <w:t xml:space="preserve">摘要（ZH）: </w:t>
      </w:r>
      <w:r>
        <w:t>保护和恢复海洋环境对于粮食安全和减缓气候变化至关重要。然而历史和考古研究表明，保护和管理往往依赖于已经受到长期人类影响形成的生态系统中的任意生态基线。考古基因组学是古代 DNA (aDNA) 和全基因组测序的结合，为了解这些影响提供了宝贵的见解。实验室和计算技术的最新改进使得能够评估过去的鱼类种群动态、迁徙模式、历史贸易路线、长期人为压力以及对环境变化的反应。本综述汇编了考古鱼类遗骸的aDNA研究，重点关注2020年至2025年利用全基因组分析来调查历史渔业和海洋生态系统变化的研究。我们强调考古基因组学在为全球恢复、保护、可持续渔业管理和气候适应战略提供信息方面日益增长的潜力。</w:t>
      </w:r>
    </w:p>
    <w:p>
      <w:pPr>
        <w:spacing w:before="0" w:after="200" w:lineRule="auto" w:line="276"/>
      </w:pPr>
      <w:r>
        <w:rPr>
          <w:b/>
        </w:rPr>
        <w:t xml:space="preserve">Abstract (EN): </w:t>
      </w:r>
      <w:r>
        <w:t>Protection and restoration of marine environments are essential for food security and climate change mitigation. Yet historical and archaeological research have shown that conservation and management often rely on arbitrary ecological baselines in ecosystems already shaped by long-term human impacts. Archaeogenomics, the combination of ancient DNA (aDNA) and whole-genome sequencing, provides invaluable insights into these impacts. Recent improvements in laboratory and computational techniques enable the assessment of past fish population dynamics, migration patterns, historical trade routes, long-term anthropogenic pressures, and responses to environmental change. This Review compiles aDNA research on archaeological fish remains, emphasizing studies from 2020 to 2025 that used whole-genome analysis to investigate historical fisheries and marine ecosystem change. We highlight the growing potential of archaeogenomics to inform restoration, conservation, sustainable fisheries management, and climate adaptation strategies worldwide.</w:t>
      </w:r>
    </w:p>
    <w:p>
      <w:pPr>
        <w:spacing w:before="120" w:after="120"/>
      </w:pPr>
      <w:r>
        <w:rPr>
          <w:sz w:val="18"/>
        </w:rPr>
        <w:t>——————————————————————————————————————————————————————————————————————</w:t>
      </w:r>
    </w:p>
    <w:p>
      <w:pPr>
        <w:spacing w:before="160" w:after="40" w:line="240" w:lineRule="auto"/>
      </w:pPr>
      <w:r>
        <w:rPr>
          <w:b/>
        </w:rPr>
        <w:t xml:space="preserve">[701] </w:t>
      </w:r>
      <w:hyperlink r:id="rId1700">
        <w:r>
          <w:rPr>
            <w:color w:val="1155CC"/>
            <w:u w:val="single"/>
          </w:rPr>
          <w:t>南美洲早期天花的基因组特征</w:t>
        </w:r>
      </w:hyperlink>
    </w:p>
    <w:p>
      <w:pPr>
        <w:spacing w:before="0" w:after="80"/>
      </w:pPr>
      <w:r>
        <w:rPr>
          <w:i/>
          <w:sz w:val="20"/>
        </w:rPr>
        <w:t>EN: The genomic identity of early smallpox in South America</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701">
        <w:r>
          <w:rPr>
            <w:color w:val="1155CC"/>
            <w:u w:val="single"/>
          </w:rPr>
          <w:t>10.1126/science.aee6957</w:t>
        </w:r>
      </w:hyperlink>
    </w:p>
    <w:p>
      <w:pPr>
        <w:spacing w:before="0" w:after="120"/>
      </w:pPr>
      <w:r>
        <w:rPr>
          <w:b/>
        </w:rPr>
        <w:t xml:space="preserve">Notes: </w:t>
      </w:r>
      <w:r>
        <w:t>abstract_source=crossref</w:t>
      </w:r>
    </w:p>
    <w:p>
      <w:pPr>
        <w:spacing w:before="0" w:after="80" w:lineRule="auto" w:line="276"/>
      </w:pPr>
      <w:r>
        <w:rPr>
          <w:b/>
        </w:rPr>
        <w:t xml:space="preserve">摘要（ZH）: </w:t>
      </w:r>
      <w:r>
        <w:t>天花是欧洲接触后美洲人口锐减的主要原因，但致病菌株的遗传身份仍不清楚。在这里，我们报告了美洲第一个古代天花基因组，可追溯到大约公元 1492 年至 1631 年，从智利北部的两个印加殖民地个体中发现。这些基因组形成了一个现已灭绝的谱系，该谱系在公元 1296 年左右分化，在中世纪早期欧洲菌株分裂之后但在现代天花谱系出现之前，为天花通过欧洲殖民传入提供了直接的分子证据。我们进一步确定了直到 16 世纪末基因失活的恒定节奏，随后是一个限制阶段和随后的替代率反弹，将天花病毒的进化与人类人口学和流行病学的重大转变联系起来。</w:t>
      </w:r>
    </w:p>
    <w:p>
      <w:pPr>
        <w:spacing w:before="0" w:after="200" w:lineRule="auto" w:line="276"/>
      </w:pPr>
      <w:r>
        <w:rPr>
          <w:b/>
        </w:rPr>
        <w:t xml:space="preserve">Abstract (EN): </w:t>
      </w:r>
      <w:r>
        <w:t>Smallpox was a major driver of population collapse in the Americas after European contact, yet the genetic identity of the causal strains remains unknown. Here, we report the first ancient smallpox genomes in the Americas, dating to approximately 1492–1631 common era (CE), recovered from two Inca-Colonial individuals in northern Chile. These genomes form a now-extinct lineage that diverged around 1296 CE, after the splitting of early medieval European strains but before the emergence of modern variola lineages, providing direct molecular evidence for smallpox introduction through European colonization. We further identify a constant tempo of gene inactivation until the late 16th century, followed by a phase of constraint and a subsequent rebound in substitution rates, linking variola virus evolution to major shifts in human demography and epidemiology.</w:t>
      </w:r>
    </w:p>
    <w:p>
      <w:pPr>
        <w:spacing w:before="120" w:after="120"/>
      </w:pPr>
      <w:r>
        <w:rPr>
          <w:sz w:val="18"/>
        </w:rPr>
        <w:t>——————————————————————————————————————————————————————————————————————</w:t>
      </w:r>
    </w:p>
    <w:p>
      <w:pPr>
        <w:spacing w:before="160" w:after="40" w:line="240" w:lineRule="auto"/>
      </w:pPr>
      <w:r>
        <w:rPr>
          <w:b/>
        </w:rPr>
        <w:t xml:space="preserve">[702] </w:t>
      </w:r>
      <w:hyperlink r:id="rId1702">
        <w:r>
          <w:rPr>
            <w:color w:val="1155CC"/>
            <w:u w:val="single"/>
          </w:rPr>
          <w:t>氟化钾催化 Appel 氟化醇</w:t>
        </w:r>
      </w:hyperlink>
    </w:p>
    <w:p>
      <w:pPr>
        <w:spacing w:before="0" w:after="80"/>
      </w:pPr>
      <w:r>
        <w:rPr>
          <w:i/>
          <w:sz w:val="20"/>
        </w:rPr>
        <w:t>EN: Catalytic Appel fluorination of alcohols with potassium fluoride</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703">
        <w:r>
          <w:rPr>
            <w:color w:val="1155CC"/>
            <w:u w:val="single"/>
          </w:rPr>
          <w:t>10.1126/science.aec6298</w:t>
        </w:r>
      </w:hyperlink>
    </w:p>
    <w:p>
      <w:pPr>
        <w:spacing w:before="0" w:after="120"/>
      </w:pPr>
      <w:r>
        <w:rPr>
          <w:b/>
        </w:rPr>
        <w:t xml:space="preserve">Notes: </w:t>
      </w:r>
      <w:r>
        <w:t>abstract_source=crossref</w:t>
      </w:r>
    </w:p>
    <w:p>
      <w:pPr>
        <w:spacing w:before="0" w:after="80" w:lineRule="auto" w:line="276"/>
      </w:pPr>
      <w:r>
        <w:rPr>
          <w:b/>
        </w:rPr>
        <w:t xml:space="preserve">摘要（ZH）: </w:t>
      </w:r>
      <w:r>
        <w:t>阿佩尔卤化反应广泛用于将醇转化为烷基卤，但不适合制备烷基氟，因为氟化物以二氟正膦的形式被螯合。在这项工作中，我们引入了实验室稳定的新戊氧基鏻盐来解决这一持久的挑战。使用这些试剂，各种醇在氢键相转移催化下用氟化钾进行氟化，这为醇的对映选择性氟化提供了一条途径。从机理上讲，形成新戊氧基氟正膦，其优先于二氟正膦形成而与醇底物发生可逆交换。该催化剂有助于氟化钾溶解和磷-氟键解离，导致烷氧基鏻氟离子对进行立体反转氟化。转化率是由于催化剂与氟化物的结合力强于反应副产物氧化膦，氧化膦可作为合成鏻试剂的起始材料进行回收。</w:t>
      </w:r>
    </w:p>
    <w:p>
      <w:pPr>
        <w:spacing w:before="0" w:after="200" w:lineRule="auto" w:line="276"/>
      </w:pPr>
      <w:r>
        <w:rPr>
          <w:b/>
        </w:rPr>
        <w:t xml:space="preserve">Abstract (EN): </w:t>
      </w:r>
      <w:r>
        <w:t>Appel halogenation reactions are widely used to convert alcohols to alkyl halides but are not suitable to prepare alkyl fluorides because fluoride is sequestered as a difluorophosphorane. In this work, we introduce bench-stable neopentoxyphosphonium salts to solve this enduring challenge. With these reagents, various alcohols undergo fluorination with potassium fluoride under hydrogen bonding phase-transfer catalysis, a manifold offering a pathway to enantioselective fluorination of alcohols. Mechanistically, a neopentoxyfluorophosphorane is formed, which undergoes reversible exchange with the alcohol substrate in preference to difluorophosphorane formation. The catalyst assists with potassium fluoride solubilization and with phosphorus–fluorine bond dissociation, leading to the alkoxyphosphonium fluoride ion pair undergoing stereoinvertive fluorination. Turnover results from stronger binding of the catalyst to fluoride than phosphine oxide, the by-product of the reaction, which is recyclable as starting material for the synthesis of the phosphonium reagents.</w:t>
      </w:r>
    </w:p>
    <w:p>
      <w:pPr>
        <w:spacing w:before="120" w:after="120"/>
      </w:pPr>
      <w:r>
        <w:rPr>
          <w:sz w:val="18"/>
        </w:rPr>
        <w:t>——————————————————————————————————————————————————————————————————————</w:t>
      </w:r>
    </w:p>
    <w:p>
      <w:pPr>
        <w:spacing w:before="160" w:after="40" w:line="240" w:lineRule="auto"/>
      </w:pPr>
      <w:r>
        <w:rPr>
          <w:b/>
        </w:rPr>
        <w:t xml:space="preserve">[703] </w:t>
      </w:r>
      <w:hyperlink r:id="rId1704">
        <w:r>
          <w:rPr>
            <w:color w:val="1155CC"/>
            <w:u w:val="single"/>
          </w:rPr>
          <w:t>一千万年的生物地理围栏为大美国生物交汇处做好了准备</w:t>
        </w:r>
      </w:hyperlink>
    </w:p>
    <w:p>
      <w:pPr>
        <w:spacing w:before="0" w:after="80"/>
      </w:pPr>
      <w:r>
        <w:rPr>
          <w:i/>
          <w:sz w:val="20"/>
        </w:rPr>
        <w:t>EN: A 10-million-year biogeographic holding pen primed the Great American Biotic Interchange</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705">
        <w:r>
          <w:rPr>
            <w:color w:val="1155CC"/>
            <w:u w:val="single"/>
          </w:rPr>
          <w:t>10.1126/science.aef2893</w:t>
        </w:r>
      </w:hyperlink>
    </w:p>
    <w:p>
      <w:pPr>
        <w:spacing w:before="0" w:after="120"/>
      </w:pPr>
      <w:r>
        <w:rPr>
          <w:b/>
        </w:rPr>
        <w:t xml:space="preserve">Notes: </w:t>
      </w:r>
      <w:r>
        <w:t>abstract_source=crossref</w:t>
      </w:r>
    </w:p>
    <w:p>
      <w:pPr>
        <w:spacing w:before="0" w:after="80" w:lineRule="auto" w:line="276"/>
      </w:pPr>
      <w:r>
        <w:rPr>
          <w:b/>
        </w:rPr>
        <w:t xml:space="preserve">摘要（ZH）: </w:t>
      </w:r>
      <w:r>
        <w:t>类群在北美和南美洲之间跨越巴拿马陆桥（被称为大美洲生物交汇处（GABI））的移动，在美洲建立了现代哺乳动物群落，预示着所谓的南美动物群“绝妙隔离”的决定性结束。由于缺乏实质性的低纬度记录，之前对这种模式的研究依赖于南美洲和北美温带的化石，得出脉冲交换开始于大约 280 万年前 (mya) 的结论。根据墨西哥新的低纬度化石数据，我们发现了长期三相交换的证据。第一阶段包括北部高纬度哺乳动物在 10 米开始在墨西哥“围栏”中的初步积累。扩散开始于第二阶段，具有较强的南北梯度和不断增加的生物地理联系（7 至 3 mya）。最后阶段包括已经详细描述的分类脉冲（从~2.8 mya）。</w:t>
      </w:r>
    </w:p>
    <w:p>
      <w:pPr>
        <w:spacing w:before="0" w:after="200" w:lineRule="auto" w:line="276"/>
      </w:pPr>
      <w:r>
        <w:rPr>
          <w:b/>
        </w:rPr>
        <w:t xml:space="preserve">Abstract (EN): </w:t>
      </w:r>
      <w:r>
        <w:t>The movement of taxa between North and South America across the Panamanian land bridge, known as the Great American Biotic Interchange (GABI), established modern-day mammal assemblages in the Americas, heralding the decisive end of what has been called the “splendid isolation” of the South American fauna. Lacking substantive low-latitude records, previous work on this pattern relied on South American and temperate North American fossils to conclude that pulsed interchanges began about 2.8 million years ago (mya). Based on new low-latitude fossil data from México, we found evidence for a prolonged, triphasic interchange. Phase 1 consisted of the initial accumulation of northern higher-latitude mammals in a Mexican “holding pen” beginning 10 mya. Dispersal began in phase 2, with a strong north-south gradient and increasing biogeographic connections (7 to 3 mya). The final phase consisted of the already well-described taxonomic pulses (from ~2.8 mya).</w:t>
      </w:r>
    </w:p>
    <w:p>
      <w:pPr>
        <w:spacing w:before="120" w:after="120"/>
      </w:pPr>
      <w:r>
        <w:rPr>
          <w:sz w:val="18"/>
        </w:rPr>
        <w:t>——————————————————————————————————————————————————————————————————————</w:t>
      </w:r>
    </w:p>
    <w:p>
      <w:pPr>
        <w:spacing w:before="160" w:after="40" w:line="240" w:lineRule="auto"/>
      </w:pPr>
      <w:r>
        <w:rPr>
          <w:b/>
        </w:rPr>
        <w:t xml:space="preserve">[704] </w:t>
      </w:r>
      <w:hyperlink r:id="rId1706">
        <w:r>
          <w:rPr>
            <w:color w:val="1155CC"/>
            <w:u w:val="single"/>
          </w:rPr>
          <w:t>钙同位素将海洋酸化与阿普第-阿尔布有孔虫灭绝联系起来</w:t>
        </w:r>
      </w:hyperlink>
    </w:p>
    <w:p>
      <w:pPr>
        <w:spacing w:before="0" w:after="80"/>
      </w:pPr>
      <w:r>
        <w:rPr>
          <w:i/>
          <w:sz w:val="20"/>
        </w:rPr>
        <w:t>EN: Calcium isotopes link ocean acidification to Aptian–Albian foraminiferal extinctions</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707">
        <w:r>
          <w:rPr>
            <w:color w:val="1155CC"/>
            <w:u w:val="single"/>
          </w:rPr>
          <w:t>10.1126/science.aed9359</w:t>
        </w:r>
      </w:hyperlink>
    </w:p>
    <w:p>
      <w:pPr>
        <w:spacing w:before="0" w:after="120"/>
      </w:pPr>
      <w:r>
        <w:rPr>
          <w:b/>
        </w:rPr>
        <w:t xml:space="preserve">Notes: </w:t>
      </w:r>
      <w:r>
        <w:t>abstract_source=crossref</w:t>
      </w:r>
    </w:p>
    <w:p>
      <w:pPr>
        <w:spacing w:before="0" w:after="80" w:lineRule="auto" w:line="276"/>
      </w:pPr>
      <w:r>
        <w:rPr>
          <w:b/>
        </w:rPr>
        <w:t xml:space="preserve">摘要（ZH）: </w:t>
      </w:r>
      <w:r>
        <w:t>浮游有孔虫进化史上的第二大灭绝事件发生在阿普第安-阿尔布阶边界。这种灭绝可能反映了与海洋缺氧事件 1b 相关的海洋酸化 (OA)。作为钙同位素比 (δ</w:t>
      </w:r>
      <w:r>
        <w:t xml:space="preserve"> </w:t>
      </w:r>
      <w:r>
        <w:t>44/40</w:t>
      </w:r>
      <w:r>
        <w:t xml:space="preserve"> </w:t>
      </w:r>
      <w:r>
        <w:t>Ca) 可以追踪生物钙化率对 OA 的反应，我们测量了 δ</w:t>
      </w:r>
      <w:r>
        <w:t xml:space="preserve"> </w:t>
      </w:r>
      <w:r>
        <w:t>44/40</w:t>
      </w:r>
      <w:r>
        <w:t xml:space="preserve"> </w:t>
      </w:r>
      <w:r>
        <w:t>南大西洋阿普第-阿尔布边界的浮游和底栖有孔虫、散装碳酸盐和自生方解石的 Ca 记录。底栖和散装 δ</w:t>
      </w:r>
      <w:r>
        <w:t xml:space="preserve"> </w:t>
      </w:r>
      <w:r>
        <w:t>44/40</w:t>
      </w:r>
      <w:r>
        <w:t xml:space="preserve"> </w:t>
      </w:r>
      <w:r>
        <w:t>Ca 数据显示出明显的负偏移和正偏移序列，类似于 δ</w:t>
      </w:r>
      <w:r>
        <w:t xml:space="preserve"> </w:t>
      </w:r>
      <w:r>
        <w:t>44/40</w:t>
      </w:r>
      <w:r>
        <w:t xml:space="preserve"> </w:t>
      </w:r>
      <w:r>
        <w:t>其他 OA 事件中的 Ca 变化。浮游δ</w:t>
      </w:r>
      <w:r>
        <w:t xml:space="preserve"> </w:t>
      </w:r>
      <w:r>
        <w:t>44/40</w:t>
      </w:r>
      <w:r>
        <w:t xml:space="preserve"> </w:t>
      </w:r>
      <w:r>
        <w:t>Ca 值显着增加，钙化率降低，浮游有孔虫的尺寸、多样性和壳厚度也随之减小。这些结果表明，OA 导致了 Aptian-Albian 边界浮游有孔虫的灭绝。</w:t>
      </w:r>
    </w:p>
    <w:p>
      <w:pPr>
        <w:spacing w:before="0" w:after="200" w:lineRule="auto" w:line="276"/>
      </w:pPr>
      <w:r>
        <w:rPr>
          <w:b/>
        </w:rPr>
        <w:t xml:space="preserve">Abstract (EN): </w:t>
      </w:r>
      <w:r>
        <w:t>The second-largest extinction event in the evolutionary history of planktic foraminifera occurred at the Aptian–Albian boundary. This extinction may reflect ocean acidification (OA) associated with Oceanic Anoxic Event 1b. As calcium isotope ratios (δ</w:t>
      </w:r>
      <w:r>
        <w:t xml:space="preserve"> </w:t>
      </w:r>
      <w:r>
        <w:t>44/40</w:t>
      </w:r>
      <w:r>
        <w:t xml:space="preserve"> </w:t>
      </w:r>
      <w:r>
        <w:t>Ca) can track how biocalcification rates respond to OA, we measured δ</w:t>
      </w:r>
      <w:r>
        <w:t xml:space="preserve"> </w:t>
      </w:r>
      <w:r>
        <w:t>44/40</w:t>
      </w:r>
      <w:r>
        <w:t xml:space="preserve"> </w:t>
      </w:r>
      <w:r>
        <w:t>Ca records for planktic and benthic foraminifera, bulk carbonates, and authigenic calcite across the Aptian–Albian boundary in the South Atlantic. Benthic and bulk δ</w:t>
      </w:r>
      <w:r>
        <w:t xml:space="preserve"> </w:t>
      </w:r>
      <w:r>
        <w:t>44/40</w:t>
      </w:r>
      <w:r>
        <w:t xml:space="preserve"> </w:t>
      </w:r>
      <w:r>
        <w:t>Ca data display a distinct sequence of negative and positive excursions, similar to δ</w:t>
      </w:r>
      <w:r>
        <w:t xml:space="preserve"> </w:t>
      </w:r>
      <w:r>
        <w:t>44/40</w:t>
      </w:r>
      <w:r>
        <w:t xml:space="preserve"> </w:t>
      </w:r>
      <w:r>
        <w:t>Ca variations across other OA events. Planktic δ</w:t>
      </w:r>
      <w:r>
        <w:t xml:space="preserve"> </w:t>
      </w:r>
      <w:r>
        <w:t>44/40</w:t>
      </w:r>
      <w:r>
        <w:t xml:space="preserve"> </w:t>
      </w:r>
      <w:r>
        <w:t>Ca values increase markedly, tracking a reduction in calcification rates coincident with decreases in the size, diversity, and shell thickness of planktic foraminifera. These results suggest that OA drove extinctions of planktic foraminifera at the Aptian–Albian boundary.</w:t>
      </w:r>
    </w:p>
    <w:p>
      <w:pPr>
        <w:spacing w:before="120" w:after="120"/>
      </w:pPr>
      <w:r>
        <w:rPr>
          <w:sz w:val="18"/>
        </w:rPr>
        <w:t>——————————————————————————————————————————————————————————————————————</w:t>
      </w:r>
    </w:p>
    <w:p>
      <w:pPr>
        <w:spacing w:before="160" w:after="40" w:line="240" w:lineRule="auto"/>
      </w:pPr>
      <w:r>
        <w:rPr>
          <w:b/>
        </w:rPr>
        <w:t xml:space="preserve">[705] </w:t>
      </w:r>
      <w:hyperlink r:id="rId1708">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709">
        <w:r>
          <w:rPr>
            <w:color w:val="1155CC"/>
            <w:u w:val="single"/>
          </w:rPr>
          <w:t>10.1126/science.aek9789</w:t>
        </w:r>
      </w:hyperlink>
    </w:p>
    <w:p>
      <w:pPr>
        <w:spacing w:before="0" w:after="120"/>
      </w:pPr>
      <w:r>
        <w:rPr>
          <w:b/>
        </w:rPr>
        <w:t xml:space="preserve">Notes: </w:t>
      </w:r>
      <w:r>
        <w:t>abstract_source=crossref</w:t>
      </w:r>
    </w:p>
    <w:p>
      <w:pPr>
        <w:spacing w:before="0" w:after="80" w:lineRule="auto" w:line="276"/>
      </w:pPr>
      <w:r>
        <w:rPr>
          <w:b/>
        </w:rPr>
        <w:t xml:space="preserve">摘要（ZH）: </w:t>
      </w:r>
      <w:r>
        <w:t>编辑精选当前科学文献</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[706] </w:t>
      </w:r>
      <w:hyperlink r:id="rId1710">
        <w:r>
          <w:rPr>
            <w:color w:val="1155CC"/>
            <w:u w:val="single"/>
          </w:rPr>
          <w:t>怀疑中的乐观</w:t>
        </w:r>
      </w:hyperlink>
    </w:p>
    <w:p>
      <w:pPr>
        <w:spacing w:before="0" w:after="80"/>
      </w:pPr>
      <w:r>
        <w:rPr>
          <w:i/>
          <w:sz w:val="20"/>
        </w:rPr>
        <w:t>EN: The optimism of doubt</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711">
        <w:r>
          <w:rPr>
            <w:color w:val="1155CC"/>
            <w:u w:val="single"/>
          </w:rPr>
          <w:t>10.1126/science.aei1519</w:t>
        </w:r>
      </w:hyperlink>
    </w:p>
    <w:p>
      <w:pPr>
        <w:spacing w:before="0" w:after="120"/>
      </w:pPr>
      <w:r>
        <w:rPr>
          <w:b/>
        </w:rPr>
        <w:t xml:space="preserve">Notes: </w:t>
      </w:r>
      <w:r>
        <w:t>abstract_source=crossref</w:t>
      </w:r>
    </w:p>
    <w:p>
      <w:pPr>
        <w:spacing w:before="0" w:after="80" w:lineRule="auto" w:line="276"/>
      </w:pPr>
      <w:r>
        <w:rPr>
          <w:b/>
        </w:rPr>
        <w:t xml:space="preserve">摘要（ZH）: </w:t>
      </w:r>
      <w:r>
        <w:t>拥抱不确定性，而不是消除不确定性，才是科学的强大力量</w:t>
      </w:r>
    </w:p>
    <w:p>
      <w:pPr>
        <w:spacing w:before="0" w:after="200" w:lineRule="auto" w:line="276"/>
      </w:pPr>
      <w:r>
        <w:rPr>
          <w:b/>
        </w:rPr>
        <w:t xml:space="preserve">Abstract (EN): </w:t>
      </w:r>
      <w:r>
        <w:t>Embracing uncertainty, not banishing it, is what makes science powerful</w:t>
      </w:r>
    </w:p>
    <w:p>
      <w:pPr>
        <w:spacing w:before="120" w:after="120"/>
      </w:pPr>
      <w:r>
        <w:rPr>
          <w:sz w:val="18"/>
        </w:rPr>
        <w:t>——————————————————————————————————————————————————————————————————————</w:t>
      </w:r>
    </w:p>
    <w:p>
      <w:pPr>
        <w:spacing w:before="160" w:after="40" w:line="240" w:lineRule="auto"/>
      </w:pPr>
      <w:r>
        <w:rPr>
          <w:b/>
        </w:rPr>
        <w:t xml:space="preserve">[707] </w:t>
      </w:r>
      <w:hyperlink r:id="rId1712">
        <w:r>
          <w:rPr>
            <w:color w:val="1155CC"/>
            <w:u w:val="single"/>
          </w:rPr>
          <w:t>克里克：运动中的思想</w:t>
        </w:r>
      </w:hyperlink>
    </w:p>
    <w:p>
      <w:pPr>
        <w:spacing w:before="0" w:after="80"/>
      </w:pPr>
      <w:r>
        <w:rPr>
          <w:i/>
          <w:sz w:val="20"/>
        </w:rPr>
        <w:t>EN: Crick: A Mind in Motion</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713">
        <w:r>
          <w:rPr>
            <w:color w:val="1155CC"/>
            <w:u w:val="single"/>
          </w:rPr>
          <w:t>10.1126/science.aek0526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[708] </w:t>
      </w:r>
      <w:hyperlink r:id="rId1714">
        <w:r>
          <w:rPr>
            <w:color w:val="1155CC"/>
            <w:u w:val="single"/>
          </w:rPr>
          <w:t>重新连接瘫痪身体的误报</w:t>
        </w:r>
      </w:hyperlink>
    </w:p>
    <w:p>
      <w:pPr>
        <w:spacing w:before="0" w:after="80"/>
      </w:pPr>
      <w:r>
        <w:rPr>
          <w:i/>
          <w:sz w:val="20"/>
        </w:rPr>
        <w:t>EN: Rewiring the paralyzed body’s false alarm</w:t>
      </w:r>
    </w:p>
    <w:p>
      <w:pPr>
        <w:spacing w:before="0" w:after="120"/>
      </w:pPr>
      <w:r>
        <w:rPr>
          <w:b/>
        </w:rPr>
        <w:t xml:space="preserve">Source: </w:t>
      </w:r>
      <w:r>
        <w:t>AAAS: Science: Table of Contents</w:t>
      </w:r>
      <w:r>
        <w:t xml:space="preserve">    </w:t>
      </w:r>
      <w:r>
        <w:rPr>
          <w:b/>
        </w:rPr>
        <w:t xml:space="preserve">Pub date: </w:t>
      </w:r>
      <w:r>
        <w:t>2026-07-30 06:00:13+00:00</w:t>
      </w:r>
      <w:r>
        <w:t xml:space="preserve">    </w:t>
      </w:r>
      <w:r>
        <w:rPr>
          <w:b/>
        </w:rPr>
        <w:t xml:space="preserve">DOI: </w:t>
      </w:r>
      <w:hyperlink r:id="rId1715">
        <w:r>
          <w:rPr>
            <w:color w:val="1155CC"/>
            <w:u w:val="single"/>
          </w:rPr>
          <w:t>10.1126/science.aej5900</w:t>
        </w:r>
      </w:hyperlink>
    </w:p>
    <w:p>
      <w:pPr>
        <w:spacing w:before="0" w:after="120"/>
      </w:pPr>
      <w:r>
        <w:rPr>
          <w:b/>
        </w:rPr>
        <w:t xml:space="preserve">Notes: </w:t>
      </w:r>
      <w:r>
        <w:t>abstract_source=crossref</w:t>
      </w:r>
    </w:p>
    <w:p>
      <w:pPr>
        <w:spacing w:before="0" w:after="80" w:lineRule="auto" w:line="276"/>
      </w:pPr>
      <w:r>
        <w:rPr>
          <w:b/>
        </w:rPr>
        <w:t xml:space="preserve">摘要（ZH）: </w:t>
      </w:r>
      <w:r>
        <w:t>使用硬膜外电神经调节可以逆转自主神经反射障碍</w:t>
      </w:r>
    </w:p>
    <w:p>
      <w:pPr>
        <w:spacing w:before="0" w:after="200" w:lineRule="auto" w:line="276"/>
      </w:pPr>
      <w:r>
        <w:rPr>
          <w:b/>
        </w:rPr>
        <w:t xml:space="preserve">Abstract (EN): </w:t>
      </w:r>
      <w:r>
        <w:t>Autonomic dysreflexia can be reversed using epidural electrical neuromodulation</w:t>
      </w:r>
    </w:p>
    <w:p>
      <w:pPr>
        <w:spacing w:before="120" w:after="120"/>
      </w:pPr>
      <w:r>
        <w:rPr>
          <w:sz w:val="18"/>
        </w:rPr>
        <w:t>——————————————————————————————————————————————————————————————————————</w:t>
      </w:r>
    </w:p>
    <w:p>
      <w:pPr>
        <w:spacing w:before="160" w:after="40" w:line="240" w:lineRule="auto"/>
      </w:pPr>
      <w:r>
        <w:rPr>
          <w:b/>
        </w:rPr>
        <w:t xml:space="preserve">[709] </w:t>
      </w:r>
      <w:hyperlink r:id="rId1716">
        <w:r>
          <w:rPr>
            <w:color w:val="1155CC"/>
            <w:u w:val="single"/>
          </w:rPr>
          <w:t>X 染色体失活导致人类 X 染色体发生 L1 突变</w:t>
        </w:r>
      </w:hyperlink>
    </w:p>
    <w:p>
      <w:pPr>
        <w:spacing w:before="0" w:after="80"/>
      </w:pPr>
      <w:r>
        <w:rPr>
          <w:i/>
          <w:sz w:val="20"/>
        </w:rPr>
        <w:t>EN: X-chromosome inactivation draws L1 mutagenesis to the human X chromosome</w:t>
      </w:r>
    </w:p>
    <w:p>
      <w:pPr>
        <w:spacing w:before="0" w:after="120"/>
      </w:pPr>
      <w:r>
        <w:rPr>
          <w:b/>
        </w:rPr>
        <w:t xml:space="preserve">Source: </w:t>
      </w:r>
      <w:r>
        <w:t>AAAS: Science: Table of Contents</w:t>
      </w:r>
      <w:r>
        <w:t xml:space="preserve">    </w:t>
      </w:r>
      <w:r>
        <w:rPr>
          <w:b/>
        </w:rPr>
        <w:t xml:space="preserve">Pub date: </w:t>
      </w:r>
      <w:r>
        <w:t>2026-07-30 07:00:00+00:00</w:t>
      </w:r>
      <w:r>
        <w:t xml:space="preserve">    </w:t>
      </w:r>
      <w:r>
        <w:rPr>
          <w:b/>
        </w:rPr>
        <w:t xml:space="preserve">DOI: </w:t>
      </w:r>
      <w:hyperlink r:id="rId1717">
        <w:r>
          <w:rPr>
            <w:color w:val="1155CC"/>
            <w:u w:val="single"/>
          </w:rPr>
          <w:t>10.1126/science.adz8081</w:t>
        </w:r>
      </w:hyperlink>
    </w:p>
    <w:p>
      <w:pPr>
        <w:spacing w:before="0" w:after="120"/>
      </w:pPr>
      <w:r>
        <w:rPr>
          <w:b/>
        </w:rPr>
        <w:t xml:space="preserve">Notes: </w:t>
      </w:r>
      <w:r>
        <w:t>abstract_source=crossref</w:t>
      </w:r>
    </w:p>
    <w:p>
      <w:pPr>
        <w:spacing w:before="0" w:after="80" w:lineRule="auto" w:line="276"/>
      </w:pPr>
      <w:r>
        <w:rPr>
          <w:b/>
        </w:rPr>
        <w:t xml:space="preserve">摘要（ZH）: </w:t>
      </w:r>
      <w:r>
        <w:t>X 染色体失活 (XCI) 可以在 XX 真兽类中实现基因剂量补偿。长散布元件 1（LINE-1 或 L1）反转录转座子在人类 X 染色体上异常丰富，并被假设可促进 XCI。在这里，我们使用长读长 DNA 测序对 PA-1 人胚胎癌细胞系中的工程化 L1 整合偏好进行单倍型感知分析。至关重要的是，PA-1 细胞中的克隆 XCI 能够衍生出活性 (Xa) 和非活性 (Xi) X 染色体单倍型。 L1 整合强烈有利于 Xi 和其他在 S 期后期进行 DNA 复制的基因组区域。这些结果表明，由于 XCI，X 染色体富含 L1，并意味着 XX 个体中对 Xi 的 L1 整合偏好可能会使其 XY 后代中 X 连锁致病性 L1 突变的频率加倍。</w:t>
      </w:r>
    </w:p>
    <w:p>
      <w:pPr>
        <w:spacing w:before="0" w:after="200" w:lineRule="auto" w:line="276"/>
      </w:pPr>
      <w:r>
        <w:rPr>
          <w:b/>
        </w:rPr>
        <w:t xml:space="preserve">Abstract (EN): </w:t>
      </w:r>
      <w:r>
        <w:t>X-chromosome inactivation (XCI) enables gene dosage compensation in XX eutherians. Long interspersed element-1 (LINE-1 or L1) retrotransposons are unusually abundant on the human X chromosome and are hypothesized to facilitate XCI. Here, we used long-read DNA sequencing to conduct a haplotype-aware analysis of engineered L1 integration preferences in the PA-1 human embryonic carcinoma cell line. Crucially, clonal XCI in PA-1 cells enabled derivation of active (Xa) and inactive (Xi) X-chromosome haplotypes. L1 integration strongly favored the Xi and other genomic regions that undergo DNA replication late in S-phase. These results suggest that the X chromosome is L1 rich because of XCI and imply that L1 integration preference for the Xi in XX individuals could potentially double the frequency of X-linked pathogenic L1 mutations in their XY descendants.</w:t>
      </w:r>
    </w:p>
    <w:p>
      <w:pPr>
        <w:spacing w:before="120" w:after="120"/>
      </w:pPr>
      <w:r>
        <w:rPr>
          <w:sz w:val="18"/>
        </w:rPr>
        <w:t>——————————————————————————————————————————————————————————————————————</w:t>
      </w:r>
    </w:p>
    <w:p>
      <w:pPr>
        <w:spacing w:before="160" w:after="40" w:line="240" w:lineRule="auto"/>
      </w:pPr>
      <w:r>
        <w:rPr>
          <w:b/>
        </w:rPr>
        <w:t xml:space="preserve">[710] </w:t>
      </w:r>
      <w:hyperlink r:id="rId1718">
        <w:r>
          <w:rPr>
            <w:color w:val="1155CC"/>
            <w:u w:val="single"/>
          </w:rPr>
          <w:t>溶酶体衰老图谱揭示了与溶酶体贮积症共有的代谢特征</w:t>
        </w:r>
      </w:hyperlink>
    </w:p>
    <w:p>
      <w:pPr>
        <w:spacing w:before="0" w:after="80"/>
      </w:pPr>
      <w:r>
        <w:rPr>
          <w:i/>
          <w:sz w:val="20"/>
        </w:rPr>
        <w:t>EN: Atlas of lysosomal aging reveals a metabolite signature shared with lysosomal storage disorders</w:t>
      </w:r>
    </w:p>
    <w:p>
      <w:pPr>
        <w:spacing w:before="0" w:after="120"/>
      </w:pPr>
      <w:r>
        <w:rPr>
          <w:b/>
        </w:rPr>
        <w:t xml:space="preserve">Source: </w:t>
      </w:r>
      <w:r>
        <w:t>AAAS: Science: Table of Contents</w:t>
      </w:r>
      <w:r>
        <w:t xml:space="preserve">    </w:t>
      </w:r>
      <w:r>
        <w:rPr>
          <w:b/>
        </w:rPr>
        <w:t xml:space="preserve">Pub date: </w:t>
      </w:r>
      <w:r>
        <w:t>2026-07-30 07:00:00+00:00</w:t>
      </w:r>
      <w:r>
        <w:t xml:space="preserve">    </w:t>
      </w:r>
      <w:r>
        <w:rPr>
          <w:b/>
        </w:rPr>
        <w:t xml:space="preserve">DOI: </w:t>
      </w:r>
      <w:hyperlink r:id="rId1719">
        <w:r>
          <w:rPr>
            <w:color w:val="1155CC"/>
            <w:u w:val="single"/>
          </w:rPr>
          <w:t>10.1126/science.ady0832</w:t>
        </w:r>
      </w:hyperlink>
    </w:p>
    <w:p>
      <w:pPr>
        <w:spacing w:before="0" w:after="120"/>
      </w:pPr>
      <w:r>
        <w:rPr>
          <w:b/>
        </w:rPr>
        <w:t xml:space="preserve">Notes: </w:t>
      </w:r>
      <w:r>
        <w:t>abstract_source=crossref</w:t>
      </w:r>
    </w:p>
    <w:p>
      <w:pPr>
        <w:spacing w:before="0" w:after="80" w:lineRule="auto" w:line="276"/>
      </w:pPr>
      <w:r>
        <w:rPr>
          <w:b/>
        </w:rPr>
        <w:t xml:space="preserve">摘要（ZH）: </w:t>
      </w:r>
      <w:r>
        <w:t>溶酶体功能障碍是公认的衰老特征。在这里，我们使用一套快速溶酶体分离的工具来构建溶酶体在衰老过程中经历的代谢物变化的多组织图谱。大脑、心脏、肌肉和白色脂肪组织中的老化溶酶体积累了甘油磷酸二酯和胱氨酸，这些代谢物与幼年溶酶体贮积症、巴顿病和胱氨酸病有因果关系。这些代谢物的水平随着年龄的增长而线性增加，随后出现机体衰退。热量限制是一种延长寿命的干预措施，可以减轻心脏和肌肉的这些变化，但不能减轻大脑的变化。我们的研究结果将溶酶体贮积症与衰老相关功能障碍联系起来，并为溶酶体功能在衰老过程中和与年龄相关的疾病中如何恶化的机制研究开辟了途径。</w:t>
      </w:r>
    </w:p>
    <w:p>
      <w:pPr>
        <w:spacing w:before="0" w:after="200" w:lineRule="auto" w:line="276"/>
      </w:pPr>
      <w:r>
        <w:rPr>
          <w:b/>
        </w:rPr>
        <w:t xml:space="preserve">Abstract (EN): </w:t>
      </w:r>
      <w:r>
        <w:t>Lysosomal dysfunction is a well-recognized feature of aging. Here, we used a suite of tools for rapid lysosomal isolation to construct a multitissue atlas of the metabolite changes lysosomes undergo during aging. Aged lysosomes in brain, heart, muscle, and white adipose tissue accumulated glycerophosphodiesters and cystine, metabolites that are causally linked to juvenile lysosomal storage disorders, Batten disease, and cystinosis. Levels of these metabolites increased linearly with age, preceding organismal decline. Caloric restriction, a lifespan-extending intervention, mitigated these changes in the heart and muscle but not the brain. Our findings link lysosomal storage disorders to aging-related dysfunction and open avenues for the mechanistic investigation of how lysosomal functions deteriorate during aging and in age-associated diseases.</w:t>
      </w:r>
    </w:p>
    <w:p>
      <w:pPr>
        <w:spacing w:before="120" w:after="120"/>
      </w:pPr>
      <w:r>
        <w:rPr>
          <w:sz w:val="18"/>
        </w:rPr>
        <w:t>——————————————————————————————————————————————————————————————————————</w:t>
      </w:r>
    </w:p>
    <w:p>
      <w:pPr>
        <w:spacing w:before="160" w:after="40" w:line="240" w:lineRule="auto"/>
      </w:pPr>
      <w:r>
        <w:rPr>
          <w:b/>
        </w:rPr>
        <w:t xml:space="preserve">[711] </w:t>
      </w:r>
      <w:hyperlink r:id="rId1720">
        <w:r>
          <w:rPr>
            <w:color w:val="1155CC"/>
            <w:u w:val="single"/>
          </w:rPr>
          <w:t>线粒体蛋白酶血红素生物合成反馈调节的适配器</w:t>
        </w:r>
      </w:hyperlink>
    </w:p>
    <w:p>
      <w:pPr>
        <w:spacing w:before="0" w:after="80"/>
      </w:pPr>
      <w:r>
        <w:rPr>
          <w:i/>
          <w:sz w:val="20"/>
        </w:rPr>
        <w:t>EN: An adaptor for feedback regulation of heme biosynthesis by a mitochondrial protease</w:t>
      </w:r>
    </w:p>
    <w:p>
      <w:pPr>
        <w:spacing w:before="0" w:after="120"/>
      </w:pPr>
      <w:r>
        <w:rPr>
          <w:b/>
        </w:rPr>
        <w:t xml:space="preserve">Source: </w:t>
      </w:r>
      <w:r>
        <w:t>AAAS: Science: Table of Contents</w:t>
      </w:r>
      <w:r>
        <w:t xml:space="preserve">    </w:t>
      </w:r>
      <w:r>
        <w:rPr>
          <w:b/>
        </w:rPr>
        <w:t xml:space="preserve">Pub date: </w:t>
      </w:r>
      <w:r>
        <w:t>2026-07-30 07:00:00+00:00</w:t>
      </w:r>
      <w:r>
        <w:t xml:space="preserve">    </w:t>
      </w:r>
      <w:r>
        <w:rPr>
          <w:b/>
        </w:rPr>
        <w:t xml:space="preserve">DOI: </w:t>
      </w:r>
      <w:hyperlink r:id="rId1721">
        <w:r>
          <w:rPr>
            <w:color w:val="1155CC"/>
            <w:u w:val="single"/>
          </w:rPr>
          <w:t>10.1126/science.ads5397</w:t>
        </w:r>
      </w:hyperlink>
    </w:p>
    <w:p>
      <w:pPr>
        <w:spacing w:before="0" w:after="120"/>
      </w:pPr>
      <w:r>
        <w:rPr>
          <w:b/>
        </w:rPr>
        <w:t xml:space="preserve">Notes: </w:t>
      </w:r>
      <w:r>
        <w:t>abstract_source=crossref</w:t>
      </w:r>
    </w:p>
    <w:p>
      <w:pPr>
        <w:spacing w:before="0" w:after="80" w:lineRule="auto" w:line="276"/>
      </w:pPr>
      <w:r>
        <w:rPr>
          <w:b/>
        </w:rPr>
        <w:t xml:space="preserve">摘要（ZH）: </w:t>
      </w:r>
      <w:r>
        <w:t>血红素生物合成紧密协调，以支持基本功能，而不会积累有毒的卟啉和耗尽细胞铁。血红素通过线粒体酪蛋白分解蛋白酶复合物 CLPX-CLPP (CLPXP) 诱导血红素生物合成酶 5-氨基乙酰丙酸合酶 (ALAS) 的降解，但血红素触发降解的机制尚未阐明。我们发现聚合酶 δ 相互作用蛋白 2 (POLDIP2) 是一种血红素传感接头蛋白，足以重建 CLPXP 对 ALAS 的负反馈降解。 POLDIP2 对于支持细胞中的 ALAS 更新和调节红细胞生成过程中血红素的产生是必需的。 POLDIP2 直接识别并招募血红素结合的 ALAS 至 CLPXP。降解起始需要 ALAS 的羧基末端元件，其截断会导致红细胞生成性原卟啉症。我们的研究结果建立了 CLPXP 有条件降解的机制，该机制是与 CLPX 和 ALAS 相关的红细胞生成性原卟啉症的基础。</w:t>
      </w:r>
    </w:p>
    <w:p>
      <w:pPr>
        <w:spacing w:before="0" w:after="200" w:lineRule="auto" w:line="276"/>
      </w:pPr>
      <w:r>
        <w:rPr>
          <w:b/>
        </w:rPr>
        <w:t xml:space="preserve">Abstract (EN): </w:t>
      </w:r>
      <w:r>
        <w:t>Heme biosynthesis is tightly coordinated to support essential functions without accumulating toxic porphyrins and depleting cellular iron. Heme induces degradation of the heme biosynthetic enzyme, 5-aminolevulinate synthase (ALAS), by the mitochondrial caseinolytic protease complex CLPX-CLPP (CLPXP), but the mechanism for heme-triggered degradation had not been elucidated. We found that polymerase delta-interacting protein 2 (POLDIP2) is a heme-sensing adaptor protein sufficient to reconstitute negative feedback degradation of ALAS by CLPXP. POLDIP2 was necessary to support ALAS turnover in cells and regulate heme production during erythropoiesis. POLDIP2 directly recognized and recruited heme-bound ALAS to CLPXP. Degradation initiation required a carboxyl-terminal element of ALAS, truncations of which cause an erythropoietic protoporphyria. Our findings establish a mechanism for conditional degradation by CLPXP that underlies erythropoietic protoporphyrias linked to CLPX and ALAS.</w:t>
      </w:r>
    </w:p>
    <w:p>
      <w:pPr>
        <w:spacing w:before="120" w:after="120"/>
      </w:pPr>
      <w:r>
        <w:rPr>
          <w:sz w:val="18"/>
        </w:rPr>
        <w:t>——————————————————————————————————————————————————————————————————————</w:t>
      </w:r>
    </w:p>
    <w:p>
      <w:pPr>
        <w:spacing w:before="160" w:after="40" w:line="240" w:lineRule="auto"/>
      </w:pPr>
      <w:r>
        <w:rPr>
          <w:b/>
        </w:rPr>
        <w:t xml:space="preserve">[712] </w:t>
      </w:r>
      <w:hyperlink r:id="rId1722">
        <w:r>
          <w:rPr>
            <w:color w:val="1155CC"/>
            <w:u w:val="single"/>
          </w:rPr>
          <w:t>实现酵母中基本癌症药物依托泊苷和替尼泊苷的可持续供应</w:t>
        </w:r>
      </w:hyperlink>
    </w:p>
    <w:p>
      <w:pPr>
        <w:spacing w:before="0" w:after="80"/>
      </w:pPr>
      <w:r>
        <w:rPr>
          <w:i/>
          <w:sz w:val="20"/>
        </w:rPr>
        <w:t>EN: Enabling sustainable supply of the essential cancer medicines etoposide and teniposide in yeast</w:t>
      </w:r>
    </w:p>
    <w:p>
      <w:pPr>
        <w:spacing w:before="0" w:after="120"/>
      </w:pPr>
      <w:r>
        <w:rPr>
          <w:b/>
        </w:rPr>
        <w:t xml:space="preserve">Source: </w:t>
      </w:r>
      <w:r>
        <w:t>AAAS: Science: Table of Contents</w:t>
      </w:r>
      <w:r>
        <w:t xml:space="preserve">    </w:t>
      </w:r>
      <w:r>
        <w:rPr>
          <w:b/>
        </w:rPr>
        <w:t xml:space="preserve">Pub date: </w:t>
      </w:r>
      <w:r>
        <w:t>2026-07-30 07:00:00+00:00</w:t>
      </w:r>
      <w:r>
        <w:t xml:space="preserve">    </w:t>
      </w:r>
      <w:r>
        <w:rPr>
          <w:b/>
        </w:rPr>
        <w:t xml:space="preserve">DOI: </w:t>
      </w:r>
      <w:hyperlink r:id="rId1723">
        <w:r>
          <w:rPr>
            <w:color w:val="1155CC"/>
            <w:u w:val="single"/>
          </w:rPr>
          <w:t>10.1126/science.aef5438</w:t>
        </w:r>
      </w:hyperlink>
    </w:p>
    <w:p>
      <w:pPr>
        <w:spacing w:before="0" w:after="120"/>
      </w:pPr>
      <w:r>
        <w:rPr>
          <w:b/>
        </w:rPr>
        <w:t xml:space="preserve">Notes: </w:t>
      </w:r>
      <w:r>
        <w:t>abstract_source=crossref</w:t>
      </w:r>
    </w:p>
    <w:p>
      <w:pPr>
        <w:spacing w:before="0" w:after="80" w:lineRule="auto" w:line="276"/>
      </w:pPr>
      <w:r>
        <w:rPr>
          <w:b/>
        </w:rPr>
        <w:t xml:space="preserve">摘要（ZH）: </w:t>
      </w:r>
      <w:r>
        <w:t>木脂素构成了具有治疗潜力的多样化植物代谢物家族。其中，鬼臼毒素型芳基四氢萘木脂素是依托泊苷和替尼泊苷的前体。依托泊苷是一种重要的抗癌药物，被批准用于小细胞肺癌的一线治疗，而替尼泊苷则用于治疗白血病和一些脑肿瘤。目前，这些药物依赖于从濒危植物中提取前体</w:t>
      </w:r>
      <w:r>
        <w:t xml:space="preserve"> </w:t>
      </w:r>
      <w:r>
        <w:t>六柄华足藻</w:t>
      </w:r>
      <w:r>
        <w:t xml:space="preserve"> </w:t>
      </w:r>
      <w:r>
        <w:t>，然后进行化学转化。通过鉴定关键的糖基转移酶并执行涉及 45 种异源酶的 60 多个基因编辑，在酵母中重建了鬼臼毒素型木脂素的复杂生物合成途径。在这项研究中，我们建立了一种化学酶途径，通过生物合成前体 4'-去甲基-表鬼臼毒素-4 的单一化学步骤简化依托泊苷和替尼泊苷的合成</w:t>
      </w:r>
      <w:r>
        <w:t xml:space="preserve"> </w:t>
      </w:r>
      <w:r>
        <w:t>-O-</w:t>
      </w:r>
      <w:r>
        <w:t>葡萄糖苷，它可以实现这些基本药物的安全供应链。</w:t>
      </w:r>
    </w:p>
    <w:p>
      <w:pPr>
        <w:spacing w:before="0" w:after="200" w:lineRule="auto" w:line="276"/>
      </w:pPr>
      <w:r>
        <w:rPr>
          <w:b/>
        </w:rPr>
        <w:t xml:space="preserve">Abstract (EN): </w:t>
      </w:r>
      <w:r>
        <w:t>Lignans constitute a diverse family of plant metabolites with therapeutic potential. Among them, podophyllotoxin-type aryltetralin lignans serve as precursors for etoposide and teniposide. Etoposide is an essential anticancer medicine approved for first-line treatment of small cell lung cancer, whereas teniposide is used for treatment of leukemia and some brain tumors. Currently, these drugs depend on extraction of precursors from the endangered plant</w:t>
      </w:r>
      <w:r>
        <w:t xml:space="preserve"> </w:t>
      </w:r>
      <w:r>
        <w:t>Sinopodophyllum hexandrum</w:t>
      </w:r>
      <w:r>
        <w:t xml:space="preserve"> </w:t>
      </w:r>
      <w:r>
        <w:t>, followed by chemical transformations. By identifying key glycosyltransferases and executing more than 60 genetic edits involving 45 heterologous enzymes, the complex biosynthetic pathway of podophyllotoxin-type lignans was reconstructed in yeast. In this study, we established a chemoenzymatic route that streamlines the synthesis of etoposide and teniposide through a single chemical step from biosynthetic precursor 4′-demethyl-epipodophyllotoxin-4</w:t>
      </w:r>
      <w:r>
        <w:t xml:space="preserve"> </w:t>
      </w:r>
      <w:r>
        <w:t>-O-</w:t>
      </w:r>
      <w:r>
        <w:t>glucoside, which enables a secure supply chain of these essential medicines.</w:t>
      </w:r>
    </w:p>
    <w:p>
      <w:pPr>
        <w:spacing w:before="120" w:after="120"/>
      </w:pPr>
      <w:r>
        <w:rPr>
          <w:sz w:val="18"/>
        </w:rPr>
        <w:t>——————————————————————————————————————————————————————————————————————</w:t>
      </w:r>
    </w:p>
    <w:p>
      <w:pPr>
        <w:spacing w:before="160" w:after="40" w:line="240" w:lineRule="auto"/>
      </w:pPr>
      <w:r>
        <w:rPr>
          <w:b/>
        </w:rPr>
        <w:t xml:space="preserve">[713] </w:t>
      </w:r>
      <w:hyperlink r:id="rId1724">
        <w:r>
          <w:rPr>
            <w:color w:val="1155CC"/>
            <w:u w:val="single"/>
          </w:rPr>
          <w:t>细菌逆转录子Ec78抗噬菌体防御系统的双重抑制机制</w:t>
        </w:r>
      </w:hyperlink>
    </w:p>
    <w:p>
      <w:pPr>
        <w:spacing w:before="0" w:after="80"/>
      </w:pPr>
      <w:r>
        <w:rPr>
          <w:i/>
          <w:sz w:val="20"/>
        </w:rPr>
        <w:t>EN: Dual-inhibitory mechanism of the bacterial retron Ec78 antiphage defense system</w:t>
      </w:r>
    </w:p>
    <w:p>
      <w:pPr>
        <w:spacing w:before="0" w:after="120"/>
      </w:pPr>
      <w:r>
        <w:rPr>
          <w:b/>
        </w:rPr>
        <w:t xml:space="preserve">Source: </w:t>
      </w:r>
      <w:r>
        <w:t>Proceedings of the National Academy of Sciences: Keyword search for query</w:t>
      </w:r>
      <w:r>
        <w:t xml:space="preserve">    </w:t>
      </w:r>
      <w:r>
        <w:rPr>
          <w:b/>
        </w:rPr>
        <w:t xml:space="preserve">Pub date: </w:t>
      </w:r>
      <w:r>
        <w:t>2026-07-30 07:00:00+00:00</w:t>
      </w:r>
      <w:r>
        <w:t xml:space="preserve">    </w:t>
      </w:r>
      <w:r>
        <w:rPr>
          <w:b/>
        </w:rPr>
        <w:t xml:space="preserve">DOI: </w:t>
      </w:r>
      <w:hyperlink r:id="rId1725">
        <w:r>
          <w:rPr>
            <w:color w:val="1155CC"/>
            <w:u w:val="single"/>
          </w:rPr>
          <w:t>10.1073/pnas.2610082123</w:t>
        </w:r>
      </w:hyperlink>
    </w:p>
    <w:p>
      <w:pPr>
        <w:spacing w:before="0" w:after="120"/>
      </w:pPr>
      <w:r>
        <w:rPr>
          <w:b/>
        </w:rPr>
        <w:t xml:space="preserve">Notes: </w:t>
      </w:r>
      <w:r>
        <w:t>abstract_source=crossref</w:t>
      </w:r>
    </w:p>
    <w:p>
      <w:pPr>
        <w:spacing w:before="0" w:after="80" w:lineRule="auto" w:line="276"/>
      </w:pPr>
      <w:r>
        <w:rPr>
          <w:b/>
        </w:rPr>
        <w:t xml:space="preserve">摘要（ZH）: </w:t>
      </w:r>
      <w:r>
        <w:t>逆转录子是原核防御模块，可通过流产感染保护细菌免受噬菌体感染。 Retron Ec78 系统采用两部分效应复合物 PtuAB 来执行这种防御。尽管结构研究最近取得了进展，但 PtuAB 效应子调节的分子机制仍然未知。在这里，我们揭示了 PtuAB 受到 ATP/ADP 和 RT-msDNA 抗毒素介导的双重抑制机制的影响。 ATP/ADP 结合 PtuAB 的核苷酸结合域 (NBD)，诱导无活性四聚体复合物的组装，而 RT-msDNA 稳定 Ec78 复合物的受抑制构象，并刺激 ATP 周转以引发 PtuAB 快速激活。结构分析表明，RT-msDNA 解离和 PtuA 的核苷酸释放会诱导 PtuA NBD 中的构象重排以及关键 β-环-β 基序的向下位移，通过变构机制驱动 PtuAB 四聚体的解体，从而激活其 tRNA</w:t>
      </w:r>
      <w:r>
        <w:t xml:space="preserve"> </w:t>
      </w:r>
      <w:r>
        <w:t>提尔</w:t>
      </w:r>
      <w:r>
        <w:t xml:space="preserve"> </w:t>
      </w:r>
      <w:r>
        <w:t>裂解活性。我们的研究结果揭示了核苷酸（特别是ATP和ADP）如何调节这种流产感染系统的活性，并建立了逆转录子Ec78系统的双重抑制模型，扩大了对原核免疫系统中PtuAB激活调节机制的理解。</w:t>
      </w:r>
    </w:p>
    <w:p>
      <w:pPr>
        <w:spacing w:before="0" w:after="200" w:lineRule="auto" w:line="276"/>
      </w:pPr>
      <w:r>
        <w:rPr>
          <w:b/>
        </w:rPr>
        <w:t xml:space="preserve">Abstract (EN): </w:t>
      </w:r>
      <w:r>
        <w:t>Retrons are prokaryotic defense modules that protect bacteria from phage infection through abortive infection. The retron Ec78 system employs a two-component effector complex PtuAB to execute this defense. Despite recent advances in structural research, the molecular mechanism by which PtuAB effector is regulated remains unknown. Here, we reveal that PtuAB is subject to a dual-inhibitory mechanism mediated by ATP/ADP and the RT–msDNA antitoxin. ATP/ADP binds nucleotide-binding domain (NBD) of PtuAB and induces the assembly of an inactive tetrameric complex, whereas the RT–msDNA stabilizes an inhibited conformation of Ec78 complex and stimulates ATP turnover to prime PtuAB for rapid activation. Structural analyses show that RT–msDNA dissociation and nucleotide release from PtuA induce conformational rearrangements in the NBD of PtuA and a downward displacement of a key β–loop–β motif, driving disassembly of the PtuAB tetramer through an allosteric mechanism and thereby activating its tRNA</w:t>
      </w:r>
      <w:r>
        <w:t xml:space="preserve"> </w:t>
      </w:r>
      <w:r>
        <w:t>Tyr</w:t>
      </w:r>
      <w:r>
        <w:t xml:space="preserve"> </w:t>
      </w:r>
      <w:r>
        <w:t>cleavage activity. Our findings uncover how nucleotides—specifically ATP and ADP—regulate the activity of this abortive infection system, and establish a dual-inhibition model of retron Ec78 system, expanding the understanding of the regulation mechanism of PtuAB activation in prokaryotic immune systems.</w:t>
      </w:r>
    </w:p>
    <w:p>
      <w:pPr>
        <w:spacing w:before="120" w:after="120"/>
      </w:pPr>
      <w:r>
        <w:rPr>
          <w:sz w:val="18"/>
        </w:rPr>
        <w:t>——————————————————————————————————————————————————————————————————————</w:t>
      </w:r>
    </w:p>
    <w:p>
      <w:pPr>
        <w:spacing w:before="160" w:after="40" w:line="240" w:lineRule="auto"/>
      </w:pPr>
      <w:r>
        <w:rPr>
          <w:b/>
        </w:rPr>
        <w:t xml:space="preserve">[714] </w:t>
      </w:r>
      <w:hyperlink r:id="rId1726">
        <w:r>
          <w:rPr>
            <w:color w:val="1155CC"/>
            <w:u w:val="single"/>
          </w:rPr>
          <w:t>鸟苷酸激酶 1 是一种负责肌苷三磷酸酶缺陷的哺乳动物细胞 RNA 中肌苷积累的酶</w:t>
        </w:r>
      </w:hyperlink>
    </w:p>
    <w:p>
      <w:pPr>
        <w:spacing w:before="0" w:after="80"/>
      </w:pPr>
      <w:r>
        <w:rPr>
          <w:i/>
          <w:sz w:val="20"/>
        </w:rPr>
        <w:t>EN: Guanylate kinase 1 is an enzyme responsible for inosine accumulation in RNA of mammalian cells deficient in inosine triphosphatase</w:t>
      </w:r>
    </w:p>
    <w:p>
      <w:pPr>
        <w:spacing w:before="0" w:after="120"/>
      </w:pPr>
      <w:r>
        <w:rPr>
          <w:b/>
        </w:rPr>
        <w:t xml:space="preserve">Source: </w:t>
      </w:r>
      <w:r>
        <w:t>Proceedings of the National Academy of Sciences: Keyword search for query</w:t>
      </w:r>
      <w:r>
        <w:t xml:space="preserve">    </w:t>
      </w:r>
      <w:r>
        <w:rPr>
          <w:b/>
        </w:rPr>
        <w:t xml:space="preserve">Pub date: </w:t>
      </w:r>
      <w:r>
        <w:t>2026-07-30 07:00:00+00:00</w:t>
      </w:r>
      <w:r>
        <w:t xml:space="preserve">    </w:t>
      </w:r>
      <w:r>
        <w:rPr>
          <w:b/>
        </w:rPr>
        <w:t xml:space="preserve">DOI: </w:t>
      </w:r>
      <w:hyperlink r:id="rId1727">
        <w:r>
          <w:rPr>
            <w:color w:val="1155CC"/>
            <w:u w:val="single"/>
          </w:rPr>
          <w:t>10.1073/pnas.2606968123</w:t>
        </w:r>
      </w:hyperlink>
    </w:p>
    <w:p>
      <w:pPr>
        <w:spacing w:before="0" w:after="120"/>
      </w:pPr>
      <w:r>
        <w:rPr>
          <w:b/>
        </w:rPr>
        <w:t xml:space="preserve">Notes: </w:t>
      </w:r>
      <w:r>
        <w:t>abstract_source=crossref</w:t>
      </w:r>
    </w:p>
    <w:p>
      <w:pPr>
        <w:spacing w:before="0" w:after="80" w:lineRule="auto" w:line="276"/>
      </w:pPr>
      <w:r>
        <w:rPr>
          <w:b/>
        </w:rPr>
        <w:t xml:space="preserve">摘要（ZH）: </w:t>
      </w:r>
      <w:r>
        <w:t>肌苷三磷酸 (ITP) 是一种非经典核苷酸。人体细胞拥有肌苷三磷酸焦磷酸酶（ITPA），ITPA缺乏会导致ITP在细胞内积聚，导致“发育性癫痫性脑病35”的发病。已经提出了 ITP 生物合成的两种潜在途径：i) 三磷酸腺苷中腺嘌呤碱基的氧化脱氨基作用或 ii) 单磷酸肌苷 (IMP)（嘌呤核苷酸从头合成的中间体）的两步磷酸化反应。然而，哺乳动物 ITP 生物合成的机制仍不清楚。在本研究中，使用</w:t>
      </w:r>
      <w:r>
        <w:t xml:space="preserve"> </w:t>
      </w:r>
      <w:r>
        <w:t>伊特帕</w:t>
      </w:r>
      <w:r>
        <w:t xml:space="preserve"> </w:t>
      </w:r>
      <w:r>
        <w:t>敲除（KO）小鼠细胞系，我们鉴定出鸟苷酸激酶1（</w:t>
      </w:r>
      <w:r>
        <w:t xml:space="preserve"> </w:t>
      </w:r>
      <w:r>
        <w:t>国克1</w:t>
      </w:r>
      <w:r>
        <w:t xml:space="preserve"> </w:t>
      </w:r>
      <w:r>
        <w:t>) 作为 RNA 中肌苷积累的负责基因。在</w:t>
      </w:r>
      <w:r>
        <w:t xml:space="preserve"> </w:t>
      </w:r>
      <w:r>
        <w:t>伊特帕</w:t>
      </w:r>
      <w:r>
        <w:t xml:space="preserve"> </w:t>
      </w:r>
      <w:r>
        <w:t>-KO/</w:t>
      </w:r>
      <w:r>
        <w:t>国克1</w:t>
      </w:r>
      <w:r>
        <w:t xml:space="preserve"> </w:t>
      </w:r>
      <w:r>
        <w:t>敲低（KD）细胞系，</w:t>
      </w:r>
      <w:r>
        <w:t xml:space="preserve"> </w:t>
      </w:r>
      <w:r>
        <w:t>国克1</w:t>
      </w:r>
      <w:r>
        <w:t xml:space="preserve"> </w:t>
      </w:r>
      <w:r>
        <w:t>mRNA 表达水平与 RNA 中肌苷的含量呈正相关，其中大部分肌苷是在 ITPA 缺陷细胞中的 RNA 合成过程中掺入的。人类的瞬时表达</w:t>
      </w:r>
      <w:r>
        <w:t xml:space="preserve"> </w:t>
      </w:r>
      <w:r>
        <w:t>古克1</w:t>
      </w:r>
      <w:r>
        <w:t xml:space="preserve"> </w:t>
      </w:r>
      <w:r>
        <w:t>在</w:t>
      </w:r>
      <w:r>
        <w:t xml:space="preserve"> </w:t>
      </w:r>
      <w:r>
        <w:t>伊特帕</w:t>
      </w:r>
      <w:r>
        <w:t xml:space="preserve"> </w:t>
      </w:r>
      <w:r>
        <w:t>-KO/</w:t>
      </w:r>
      <w:r>
        <w:t>国克1</w:t>
      </w:r>
      <w:r>
        <w:t xml:space="preserve"> </w:t>
      </w:r>
      <w:r>
        <w:t>-KD小鼠细胞的RNA中肌苷水平显着增加。重组人 GUK1 将 IMP 磷酸化为肌苷二磷酸。此外，在大脑特定</w:t>
      </w:r>
      <w:r>
        <w:t xml:space="preserve"> </w:t>
      </w:r>
      <w:r>
        <w:t>伊特帕</w:t>
      </w:r>
      <w:r>
        <w:t xml:space="preserve"> </w:t>
      </w:r>
      <w:r>
        <w:t>-KO小鼠，</w:t>
      </w:r>
      <w:r>
        <w:t xml:space="preserve"> </w:t>
      </w:r>
      <w:r>
        <w:t>国克1</w:t>
      </w:r>
    </w:p>
    <w:p>
      <w:pPr>
        <w:spacing w:before="0" w:after="200" w:lineRule="auto" w:line="276"/>
      </w:pPr>
      <w:r>
        <w:rPr>
          <w:b/>
        </w:rPr>
        <w:t xml:space="preserve">Abstract (EN): </w:t>
      </w:r>
      <w:r>
        <w:t>Inosine triphosphate (ITP) is a noncanonical nucleotide. Human cells possess inosine triphosphate pyrophosphatase (ITPA), and ITPA deficiency causes ITP accumulation within cells, leading to the onset of “Developmental and Epileptic Encephalopathy 35.” Two potential pathways for ITP biosynthesis have been proposed: i) oxidative deamination of the adenine base in adenosine triphosphate or ii) a two-step phosphorylation reaction of inosine monophosphate (IMP), an intermediate in the de novo synthesis of purine nucleotides. However, the mechanisms responsible for ITP biosynthesis in mammals remain unclear. In this study, using an</w:t>
      </w:r>
      <w:r>
        <w:t xml:space="preserve"> </w:t>
      </w:r>
      <w:r>
        <w:t>Itpa</w:t>
      </w:r>
      <w:r>
        <w:t xml:space="preserve"> </w:t>
      </w:r>
      <w:r>
        <w:t>knockout (KO) mouse cell line, we identified guanylate kinase 1 (</w:t>
      </w:r>
      <w:r>
        <w:t xml:space="preserve"> </w:t>
      </w:r>
      <w:r>
        <w:t>Guk1</w:t>
      </w:r>
      <w:r>
        <w:t xml:space="preserve"> </w:t>
      </w:r>
      <w:r>
        <w:t>) as a responsible gene for inosine accumulation in RNA. In</w:t>
      </w:r>
      <w:r>
        <w:t xml:space="preserve"> </w:t>
      </w:r>
      <w:r>
        <w:t>Itpa</w:t>
      </w:r>
      <w:r>
        <w:t xml:space="preserve"> </w:t>
      </w:r>
      <w:r>
        <w:t>-KO/</w:t>
      </w:r>
      <w:r>
        <w:t>Guk1</w:t>
      </w:r>
      <w:r>
        <w:t xml:space="preserve"> </w:t>
      </w:r>
      <w:r>
        <w:t>knockdown (KD) cell lines,</w:t>
      </w:r>
      <w:r>
        <w:t xml:space="preserve"> </w:t>
      </w:r>
      <w:r>
        <w:t>Guk1</w:t>
      </w:r>
      <w:r>
        <w:t xml:space="preserve"> </w:t>
      </w:r>
      <w:r>
        <w:t>mRNA expression levels were positively correlated with the amount of inosine in RNA, most of which is incorporated during RNA synthesis in ITPA-deficient cells. The transient expression of human</w:t>
      </w:r>
      <w:r>
        <w:t xml:space="preserve"> </w:t>
      </w:r>
      <w:r>
        <w:t>GUK1</w:t>
      </w:r>
      <w:r>
        <w:t xml:space="preserve"> </w:t>
      </w:r>
      <w:r>
        <w:t>in</w:t>
      </w:r>
      <w:r>
        <w:t xml:space="preserve"> </w:t>
      </w:r>
      <w:r>
        <w:t>Itpa</w:t>
      </w:r>
      <w:r>
        <w:t xml:space="preserve"> </w:t>
      </w:r>
      <w:r>
        <w:t>-KO/</w:t>
      </w:r>
      <w:r>
        <w:t>Guk1</w:t>
      </w:r>
      <w:r>
        <w:t xml:space="preserve"> </w:t>
      </w:r>
      <w:r>
        <w:t>-KD mouse cells significantly increased inosine levels in RNA. Recombinant human GUK1 phosphorylates IMP into inosine diphosphate. Furthermore, in brain-specific</w:t>
      </w:r>
      <w:r>
        <w:t xml:space="preserve"> </w:t>
      </w:r>
      <w:r>
        <w:t>Itpa</w:t>
      </w:r>
      <w:r>
        <w:t xml:space="preserve"> </w:t>
      </w:r>
      <w:r>
        <w:t>-KO mice,</w:t>
      </w:r>
      <w:r>
        <w:t xml:space="preserve"> </w:t>
      </w:r>
      <w:r>
        <w:t>Guk1</w:t>
      </w:r>
      <w:r>
        <w:t xml:space="preserve"> </w:t>
      </w:r>
      <w:r>
        <w:t>haploinsufficiency resulted in a significant reduction in inosine in cortical RNA and an extended lifespan. Thus, our results suggest that GUK1 is probably an enzyme responsible for ITP biosynthesis although the</w:t>
      </w:r>
      <w:r>
        <w:t xml:space="preserve"> </w:t>
      </w:r>
      <w:r>
        <w:t>K</w:t>
      </w:r>
      <w:r>
        <w:t xml:space="preserve"> </w:t>
      </w:r>
      <w:r>
        <w:t>m of GUK1 for IMP is very high in vitro.</w:t>
      </w:r>
    </w:p>
    <w:p>
      <w:pPr>
        <w:spacing w:before="120" w:after="120"/>
      </w:pPr>
      <w:r>
        <w:rPr>
          <w:sz w:val="18"/>
        </w:rPr>
        <w:t>——————————————————————————————————————————————————————————————————————</w:t>
      </w:r>
    </w:p>
    <w:p>
      <w:pPr>
        <w:spacing w:before="160" w:after="40" w:line="240" w:lineRule="auto"/>
      </w:pPr>
      <w:r>
        <w:rPr>
          <w:b/>
        </w:rPr>
        <w:t xml:space="preserve">[715] </w:t>
      </w:r>
      <w:hyperlink r:id="rId1728">
        <w:r>
          <w:rPr>
            <w:color w:val="1155CC"/>
            <w:u w:val="single"/>
          </w:rPr>
          <w:t>相似性偏向社会学习的人口统计学理论</w:t>
        </w:r>
      </w:hyperlink>
    </w:p>
    <w:p>
      <w:pPr>
        <w:spacing w:before="0" w:after="80"/>
      </w:pPr>
      <w:r>
        <w:rPr>
          <w:i/>
          <w:sz w:val="20"/>
        </w:rPr>
        <w:t>EN: A demographic theory of similarity-biased social learning</w:t>
      </w:r>
    </w:p>
    <w:p>
      <w:pPr>
        <w:spacing w:before="0" w:after="120"/>
      </w:pPr>
      <w:r>
        <w:rPr>
          <w:b/>
        </w:rPr>
        <w:t xml:space="preserve">Source: </w:t>
      </w:r>
      <w:r>
        <w:t>Proceedings of the National Academy of Sciences: Keyword search for query</w:t>
      </w:r>
      <w:r>
        <w:t xml:space="preserve">    </w:t>
      </w:r>
      <w:r>
        <w:rPr>
          <w:b/>
        </w:rPr>
        <w:t xml:space="preserve">Pub date: </w:t>
      </w:r>
      <w:r>
        <w:t>2026-07-30 07:00:00+00:00</w:t>
      </w:r>
      <w:r>
        <w:t xml:space="preserve">    </w:t>
      </w:r>
      <w:r>
        <w:rPr>
          <w:b/>
        </w:rPr>
        <w:t xml:space="preserve">DOI: </w:t>
      </w:r>
      <w:hyperlink r:id="rId1729">
        <w:r>
          <w:rPr>
            <w:color w:val="1155CC"/>
            <w:u w:val="single"/>
          </w:rPr>
          <w:t>10.1073/pnas.2606741123</w:t>
        </w:r>
      </w:hyperlink>
    </w:p>
    <w:p>
      <w:pPr>
        <w:spacing w:before="0" w:after="120"/>
      </w:pPr>
      <w:r>
        <w:rPr>
          <w:b/>
        </w:rPr>
        <w:t xml:space="preserve">Notes: </w:t>
      </w:r>
      <w:r>
        <w:t>abstract_source=crossref</w:t>
      </w:r>
    </w:p>
    <w:p>
      <w:pPr>
        <w:spacing w:before="0" w:after="80" w:lineRule="auto" w:line="276"/>
      </w:pPr>
      <w:r>
        <w:rPr>
          <w:b/>
        </w:rPr>
        <w:t xml:space="preserve">摘要（ZH）: </w:t>
      </w:r>
      <w:r>
        <w:t>我们开发了一种基于相似性的社会学习的人口统计学理论，该理论正式化了我们对何时以及为什么个人应该优先模仿与自己外表或行为相似的其他人的理解。我们建立了一个进化模型，在该模型中，个体可以自己学习，也可以从包含不同比例的组内和组外成员的演示池中复制其他人，并且组标签可以或多或少地提供有关本地知识的信息。我们发现，在社会学习变得普遍的情况下，选择有利于复制跟踪信息优势方向的偏见——倾向于更好地适应当地条件的群体，包括当标签与当地正确性负相关时的反相似偏见（某些移民社区可能就是这种情况）。我们还发现，当此类学习者已经很常见时，相似性偏差可以稳定社会学习，但当此类学习者很罕见时，相似性偏差就无法稳定社会学习，这对群体身份在文化进化中的作用产生了影响。我们讨论了将狭隘主义理解为风险规避、多数与少数动态、移民社会学以及殖民主义的持久影响的含义。</w:t>
      </w:r>
    </w:p>
    <w:p>
      <w:pPr>
        <w:spacing w:before="0" w:after="200" w:lineRule="auto" w:line="276"/>
      </w:pPr>
      <w:r>
        <w:rPr>
          <w:b/>
        </w:rPr>
        <w:t xml:space="preserve">Abstract (EN): </w:t>
      </w:r>
      <w:r>
        <w:t>We develop a demographic theory of similarity-biased social learning that formalizes our understanding of when and why individuals should preferentially copy others that look or act like them. We build an evolutionary model in which individuals can either learn on their own or copy others from a demonstrator pool that contains varying proportions of in-group and out-group members, and where group tags can be more or less informative about local knowledge. We find that where social learning becomes common, selection favors copying biases that track the direction of informational advantage—toward the group that tends to be better adapted to local conditions, including an antisimilarity bias when tags are negatively associated with local correctness (as may be the case for some immigrant communities). We also find conditions in which a similarity bias can stabilize social learning when such learners are already common, but not when they are rare, with implications for the role of group identities in cultural evolution. We discuss implications for understanding parochialism as risk aversion, majority–minority dynamics, the sociology of immigration, and the lasting impacts of colonialism.</w:t>
      </w:r>
    </w:p>
    <w:p>
      <w:pPr>
        <w:spacing w:before="120" w:after="120"/>
      </w:pPr>
      <w:r>
        <w:rPr>
          <w:sz w:val="18"/>
        </w:rPr>
        <w:t>——————————————————————————————————————————————————————————————————————</w:t>
      </w:r>
    </w:p>
    <w:p>
      <w:pPr>
        <w:spacing w:before="160" w:after="40" w:line="240" w:lineRule="auto"/>
      </w:pPr>
      <w:r>
        <w:rPr>
          <w:b/>
        </w:rPr>
        <w:t xml:space="preserve">[716] </w:t>
      </w:r>
      <w:hyperlink r:id="rId1730">
        <w:r>
          <w:rPr>
            <w:color w:val="1155CC"/>
            <w:u w:val="single"/>
          </w:rPr>
          <w:t>液-液相分离浓度缓冲的动态原理</w:t>
        </w:r>
      </w:hyperlink>
    </w:p>
    <w:p>
      <w:pPr>
        <w:spacing w:before="0" w:after="80"/>
      </w:pPr>
      <w:r>
        <w:rPr>
          <w:i/>
          <w:sz w:val="20"/>
        </w:rPr>
        <w:t>EN: Dynamic principles of concentration buffering through liquid–liquid phase separation</w:t>
      </w:r>
    </w:p>
    <w:p>
      <w:pPr>
        <w:spacing w:before="0" w:after="120"/>
      </w:pPr>
      <w:r>
        <w:rPr>
          <w:b/>
        </w:rPr>
        <w:t xml:space="preserve">Source: </w:t>
      </w:r>
      <w:r>
        <w:t>Proceedings of the National Academy of Sciences: Keyword search for query</w:t>
      </w:r>
      <w:r>
        <w:t xml:space="preserve">    </w:t>
      </w:r>
      <w:r>
        <w:rPr>
          <w:b/>
        </w:rPr>
        <w:t xml:space="preserve">Pub date: </w:t>
      </w:r>
      <w:r>
        <w:t>2026-07-30 07:00:00+00:00</w:t>
      </w:r>
      <w:r>
        <w:t xml:space="preserve">    </w:t>
      </w:r>
      <w:r>
        <w:rPr>
          <w:b/>
        </w:rPr>
        <w:t xml:space="preserve">DOI: </w:t>
      </w:r>
      <w:hyperlink r:id="rId1731">
        <w:r>
          <w:rPr>
            <w:color w:val="1155CC"/>
            <w:u w:val="single"/>
          </w:rPr>
          <w:t>10.1073/pnas.2526810123</w:t>
        </w:r>
      </w:hyperlink>
    </w:p>
    <w:p>
      <w:pPr>
        <w:spacing w:before="0" w:after="120"/>
      </w:pPr>
      <w:r>
        <w:rPr>
          <w:b/>
        </w:rPr>
        <w:t xml:space="preserve">Notes: </w:t>
      </w:r>
      <w:r>
        <w:t>abstract_source=crossref</w:t>
      </w:r>
    </w:p>
    <w:p>
      <w:pPr>
        <w:spacing w:before="0" w:after="80" w:lineRule="auto" w:line="276"/>
      </w:pPr>
      <w:r>
        <w:rPr>
          <w:b/>
        </w:rPr>
        <w:t xml:space="preserve">摘要（ZH）: </w:t>
      </w:r>
      <w:r>
        <w:t>尽管波动跨越很宽的时间尺度，但生命系统必须保持强大的生化功能。液-液相分离（LLPS）形成的生物分子凝聚物已被证明可以缓冲浓度波动，但其动态调节的原理仍不清楚。我们通过探测 LLPS 对模拟不同时间尺度波动的振荡扰动的响应来解决这个问题，建立了第一个冷凝物浓度缓冲的系统频域分析。我们发现冷凝物充当频率选择滤波器：受扰动的稀相充当高通滤波器，而稠密相则衰减低频和高频扰动。我们在 LLPS 参数之间建立了定量联系，包括相互作用强度、液滴尺寸和相间交换率，以及冷凝物有效缓冲浓度波动的时间尺度范围。这些发现确立了 LLPS 浓度缓冲的基本动态限制，对细胞如何使用 LLPS 适应波动的环境以及具有可编程控制特性的合成冷凝物的设计具有影响。</w:t>
      </w:r>
    </w:p>
    <w:p>
      <w:pPr>
        <w:spacing w:before="0" w:after="200" w:lineRule="auto" w:line="276"/>
      </w:pPr>
      <w:r>
        <w:rPr>
          <w:b/>
        </w:rPr>
        <w:t xml:space="preserve">Abstract (EN): </w:t>
      </w:r>
      <w:r>
        <w:t>Living systems must maintain robust biochemical function despite fluctuations that span a wide range of timescales. Biomolecular condensates formed by liquid–liquid phase separation (LLPS) have been shown to buffer concentration fluctuations, but the principles governing their dynamic regulation remain unclear. We address this by probing the response of LLPS to oscillatory perturbations that mimic fluctuations across different timescales, establishing the first systematic frequency-domain analysis of concentration buffering by condensates. We find that condensates act as frequency-selective filters: The perturbed dilute phase behaves as a high-pass filter, while the dense phase attenuates both low- and high-frequency perturbations. We establish quantitative links between LLPS parameters, including interaction strength, droplet size, and interphase exchange rates, and the timescale range over which condensates effectively buffer concentration fluctuations. These findings establish fundamental dynamical limits of concentration buffering by LLPS, with implications for how cells may use LLPS to adapt to fluctuating environments and for the design of synthetic condensates with programmable control properties.</w:t>
      </w:r>
    </w:p>
    <w:p>
      <w:pPr>
        <w:spacing w:before="120" w:after="120"/>
      </w:pPr>
      <w:r>
        <w:rPr>
          <w:sz w:val="18"/>
        </w:rPr>
        <w:t>——————————————————————————————————————————————————————————————————————</w:t>
      </w:r>
    </w:p>
    <w:p>
      <w:pPr>
        <w:spacing w:before="160" w:after="40" w:line="240" w:lineRule="auto"/>
      </w:pPr>
      <w:r>
        <w:rPr>
          <w:b/>
        </w:rPr>
        <w:t xml:space="preserve">[717] </w:t>
      </w:r>
      <w:hyperlink r:id="rId1732">
        <w:r>
          <w:rPr>
            <w:color w:val="1155CC"/>
            <w:u w:val="single"/>
          </w:rPr>
          <w:t>粘连蛋白调节蛋白 PDS5B 不足会在母亲晚期衰老过程中引发卵母细胞减数分裂失败和非整倍体</w:t>
        </w:r>
      </w:hyperlink>
    </w:p>
    <w:p>
      <w:pPr>
        <w:spacing w:before="0" w:after="80"/>
      </w:pPr>
      <w:r>
        <w:rPr>
          <w:i/>
          <w:sz w:val="20"/>
        </w:rPr>
        <w:t>EN: Insufficiency of cohesin regulatory protein PDS5B triggers meiotic failure and aneuploidy in oocytes during advanced maternal aging</w:t>
      </w:r>
    </w:p>
    <w:p>
      <w:pPr>
        <w:spacing w:before="0" w:after="120"/>
      </w:pPr>
      <w:r>
        <w:rPr>
          <w:b/>
        </w:rPr>
        <w:t xml:space="preserve">Source: </w:t>
      </w:r>
      <w:r>
        <w:t>Proceedings of the National Academy of Sciences: Keyword search for query</w:t>
      </w:r>
      <w:r>
        <w:t xml:space="preserve">    </w:t>
      </w:r>
      <w:r>
        <w:rPr>
          <w:b/>
        </w:rPr>
        <w:t xml:space="preserve">Pub date: </w:t>
      </w:r>
      <w:r>
        <w:t>2026-07-30 07:00:00+00:00</w:t>
      </w:r>
      <w:r>
        <w:t xml:space="preserve">    </w:t>
      </w:r>
      <w:r>
        <w:rPr>
          <w:b/>
        </w:rPr>
        <w:t xml:space="preserve">DOI: </w:t>
      </w:r>
      <w:hyperlink r:id="rId1733">
        <w:r>
          <w:rPr>
            <w:color w:val="1155CC"/>
            <w:u w:val="single"/>
          </w:rPr>
          <w:t>10.1073/pnas.2605947123</w:t>
        </w:r>
      </w:hyperlink>
    </w:p>
    <w:p>
      <w:pPr>
        <w:spacing w:before="0" w:after="120"/>
      </w:pPr>
      <w:r>
        <w:rPr>
          <w:b/>
        </w:rPr>
        <w:t xml:space="preserve">Notes: </w:t>
      </w:r>
      <w:r>
        <w:t>abstract_source=crossref</w:t>
      </w:r>
    </w:p>
    <w:p>
      <w:pPr>
        <w:spacing w:before="0" w:after="80" w:lineRule="auto" w:line="276"/>
      </w:pPr>
      <w:r>
        <w:rPr>
          <w:b/>
        </w:rPr>
        <w:t xml:space="preserve">摘要（ZH）: </w:t>
      </w:r>
      <w:r>
        <w:t>卵母细胞依赖于一组蛋白质，这些蛋白质的持续表达可确保动物整个生殖生涯中正常的减数分裂进程和生殖能力。这些蛋白质与年龄相关的下降是生殖衰老过程中卵母细胞质量和女性生育能力下降的主要原因。在此，我们报道粘连蛋白调节蛋白PDS5B是卵母细胞中动态维持的因子，随着年龄的增长而下降，并且在纺锤体极形成中发挥非典型作用，与其在卵母细胞减数分裂成熟过程中的粘连功能无关。具体来说，我们发现 PDS5B 在整个卵母细胞减数分裂过程中表达，并位于中期阶段的纺锤体极，而其蛋白质丰度在老化卵母细胞中降低，伴随着信使核糖核酸 (mRNA) 水平和翻译效率的降低。 PDS5B 的敲低或杂合敲除会导致纺锤体组装缺陷、减数分裂停滞和卵母细胞非整倍性，最终导致女性生育力低下。从机制上讲，免疫沉淀/质谱分析表明，PDS5B 将去泛素化酶 USP9X 招募到纺锤体极，以稳定核有丝分裂装置并促进正确的纺锤体组装。此外，衰老卵母细胞中外源PDS5B的表达部分缓解了与高龄产妇相关的减数分裂缺陷。总而言之，我们的研究结果揭示了 PDS5B 在卵母细胞中独特的纺锤体极特异性功能，并表明维持 PDS5B 水平可能是提高老化卵母细胞质量的潜在策略。</w:t>
      </w:r>
    </w:p>
    <w:p>
      <w:pPr>
        <w:spacing w:before="0" w:after="200" w:lineRule="auto" w:line="276"/>
      </w:pPr>
      <w:r>
        <w:rPr>
          <w:b/>
        </w:rPr>
        <w:t xml:space="preserve">Abstract (EN): </w:t>
      </w:r>
      <w:r>
        <w:t>Oocytes rely on a cohort of proteins whose sustained expression ensures normal meiotic progression and reproductive competence throughout an animal’s reproductive life. Age-related declines in these proteins are a major cause of reduced oocyte quality and female fertility during reproductive aging. Here, we report that the cohesin regulatory protein PDS5B, a dynamically maintained factor in oocytes, declines with age and plays a noncanonical role in the spindle pole formation independent of its cohesion function during oocyte meiotic maturation. Specifically, we found that PDS5B was expressed throughout the oocyte meiosis and localized at the spindle poles at metaphase stages, while its protein abundance was reduced in aged oocytes, concomitant with decreased messenger ribonucleic acid (mRNA) levels and translational efficiency. Knockdown or heterozygous knockout of PDS5B caused spindle assembly defects, meiotic arrest, and aneuploidy in oocytes, ultimately leading to female subfertility. Mechanistically, immunoprecipitation/mass spectrometry analyses revealed that PDS5B recruited deubiquitinating enzyme USP9X to spindle poles to stabilize nuclear mitotic apparatus and promote proper spindle assembly. Moreover, expression of exogenous PDS5B in aged oocytes partially alleviated meiotic defects associated with advanced maternal age. Altogether, our findings uncover a unique spindle pole-specific function of PDS5B in oocytes and suggest that maintaining PDS5B levels may be a potential strategy to improve the quality of aged oocytes.</w:t>
      </w:r>
    </w:p>
    <w:p>
      <w:pPr>
        <w:spacing w:before="120" w:after="120"/>
      </w:pPr>
      <w:r>
        <w:rPr>
          <w:sz w:val="18"/>
        </w:rPr>
        <w:t>——————————————————————————————————————————————————————————————————————</w:t>
      </w:r>
    </w:p>
    <w:p>
      <w:pPr>
        <w:spacing w:before="160" w:after="40" w:line="240" w:lineRule="auto"/>
      </w:pPr>
      <w:r>
        <w:rPr>
          <w:b/>
        </w:rPr>
        <w:t xml:space="preserve">[718] </w:t>
      </w:r>
      <w:hyperlink r:id="rId1734">
        <w:r>
          <w:rPr>
            <w:color w:val="1155CC"/>
            <w:u w:val="single"/>
          </w:rPr>
          <w:t>泛素化在杀虫剂抗性适应性成本中起着关键作用</w:t>
        </w:r>
      </w:hyperlink>
    </w:p>
    <w:p>
      <w:pPr>
        <w:spacing w:before="0" w:after="80"/>
      </w:pPr>
      <w:r>
        <w:rPr>
          <w:i/>
          <w:sz w:val="20"/>
        </w:rPr>
        <w:t>EN: Ubiquitination plays a key role in an insecticide resistance fitness cost</w:t>
      </w:r>
    </w:p>
    <w:p>
      <w:pPr>
        <w:spacing w:before="0" w:after="120"/>
      </w:pPr>
      <w:r>
        <w:rPr>
          <w:b/>
        </w:rPr>
        <w:t xml:space="preserve">Source: </w:t>
      </w:r>
      <w:r>
        <w:t>Proceedings of the National Academy of Sciences: Keyword search for query</w:t>
      </w:r>
      <w:r>
        <w:t xml:space="preserve">    </w:t>
      </w:r>
      <w:r>
        <w:rPr>
          <w:b/>
        </w:rPr>
        <w:t xml:space="preserve">Pub date: </w:t>
      </w:r>
      <w:r>
        <w:t>2026-07-30 07:00:00+00:00</w:t>
      </w:r>
      <w:r>
        <w:t xml:space="preserve">    </w:t>
      </w:r>
      <w:r>
        <w:rPr>
          <w:b/>
        </w:rPr>
        <w:t xml:space="preserve">DOI: </w:t>
      </w:r>
      <w:hyperlink r:id="rId1735">
        <w:r>
          <w:rPr>
            <w:color w:val="1155CC"/>
            <w:u w:val="single"/>
          </w:rPr>
          <w:t>10.1073/pnas.2536664123</w:t>
        </w:r>
      </w:hyperlink>
    </w:p>
    <w:p>
      <w:pPr>
        <w:spacing w:before="0" w:after="120"/>
      </w:pPr>
      <w:r>
        <w:rPr>
          <w:b/>
        </w:rPr>
        <w:t xml:space="preserve">Notes: </w:t>
      </w:r>
      <w:r>
        <w:t>abstract_source=crossref</w:t>
      </w:r>
    </w:p>
    <w:p>
      <w:pPr>
        <w:spacing w:before="0" w:after="80" w:lineRule="auto" w:line="276"/>
      </w:pPr>
      <w:r>
        <w:rPr>
          <w:b/>
        </w:rPr>
        <w:t xml:space="preserve">摘要（ZH）: </w:t>
      </w:r>
      <w:r>
        <w:t>泛素化是真核生物中重要的翻译后修饰，在许多重要的生物学功能中发挥着基础作用。然而，泛素化在昆虫适应性特征进化中的作用仍然知之甚少。在这里，我们揭示了泛素化在粉虱害虫抗药性中的作用及其相关的适应性成本，</w:t>
      </w:r>
      <w:r>
        <w:t xml:space="preserve"> </w:t>
      </w:r>
      <w:r>
        <w:t>烟粉虱</w:t>
      </w:r>
      <w:r>
        <w:t xml:space="preserve"> </w:t>
      </w:r>
      <w:r>
        <w:t>。我们在中鉴定出 RING 型 E3 泛素连接酶 TRIM37</w:t>
      </w:r>
      <w:r>
        <w:t xml:space="preserve"> </w:t>
      </w:r>
      <w:r>
        <w:t>烟粉虱</w:t>
      </w:r>
      <w:r>
        <w:t xml:space="preserve"> </w:t>
      </w:r>
      <w:r>
        <w:t>并显示其在体内和体外促进泛素化。我们进一步证明，该连接酶作为 E1-1/E2-3/TRIM37 泛素化级联的一部分与其他泛素酶结合，通过标记转录因子 CREB ​​降解来对其进行负调节。 CREB反过来积极调节杀虫剂抗性基因</w:t>
      </w:r>
      <w:r>
        <w:t xml:space="preserve"> </w:t>
      </w:r>
      <w:r>
        <w:t>CYP6CM1</w:t>
      </w:r>
      <w:r>
        <w:t xml:space="preserve"> </w:t>
      </w:r>
      <w:r>
        <w:t>同时负调控关键的卵子发生基因</w:t>
      </w:r>
      <w:r>
        <w:t xml:space="preserve"> </w:t>
      </w:r>
      <w:r>
        <w:t>瓦萨</w:t>
      </w:r>
      <w:r>
        <w:t xml:space="preserve"> </w:t>
      </w:r>
      <w:r>
        <w:t>。 TRIM37 在新烟碱类耐药中的下调</w:t>
      </w:r>
      <w:r>
        <w:t xml:space="preserve"> </w:t>
      </w:r>
      <w:r>
        <w:t>烟粉虱</w:t>
      </w:r>
      <w:r>
        <w:t xml:space="preserve"> </w:t>
      </w:r>
      <w:r>
        <w:t>菌株通过以下方式增强杀虫剂解毒作用</w:t>
      </w:r>
      <w:r>
        <w:t xml:space="preserve"> </w:t>
      </w:r>
      <w:r>
        <w:t>CYP6CM1</w:t>
      </w:r>
      <w:r>
        <w:t xml:space="preserve"> </w:t>
      </w:r>
      <w:r>
        <w:t>上调，但同时由于下游而产生生殖健康成本</w:t>
      </w:r>
      <w:r>
        <w:t xml:space="preserve"> </w:t>
      </w:r>
      <w:r>
        <w:t>瓦萨</w:t>
      </w:r>
      <w:r>
        <w:t xml:space="preserve"> </w:t>
      </w:r>
      <w:r>
        <w:t>镇压。我们的研究结果促进了对昆虫泛素化系统及其在适应过程中的作用的理解，同时为可持续害虫控制策略提供了见解。</w:t>
      </w:r>
    </w:p>
    <w:p>
      <w:pPr>
        <w:spacing w:before="0" w:after="200" w:lineRule="auto" w:line="276"/>
      </w:pPr>
      <w:r>
        <w:rPr>
          <w:b/>
        </w:rPr>
        <w:t xml:space="preserve">Abstract (EN): </w:t>
      </w:r>
      <w:r>
        <w:t>Ubiquitination is an essential posttranslational modification in eukaryotes, which plays a fundamental role in numerous important biological functions. However, the role of ubiquitination in the evolution of adaptive traits in insects remains poorly understood. Here, we reveal the role of ubiquitination in insecticide resistance and its associated fitness cost in the whitefly pest,</w:t>
      </w:r>
      <w:r>
        <w:t xml:space="preserve"> </w:t>
      </w:r>
      <w:r>
        <w:t>Bemisia tabaci</w:t>
      </w:r>
      <w:r>
        <w:t xml:space="preserve"> </w:t>
      </w:r>
      <w:r>
        <w:t>. We identify the RING-type E3 ubiquitin ligase TRIM37 in</w:t>
      </w:r>
      <w:r>
        <w:t xml:space="preserve"> </w:t>
      </w:r>
      <w:r>
        <w:t>B. tabaci</w:t>
      </w:r>
      <w:r>
        <w:t xml:space="preserve"> </w:t>
      </w:r>
      <w:r>
        <w:t>and show its promotion of ubiquitination in vivo and in vitro. We further demonstrate that this ligase binds to other ubiquitin enzymes as part of the E1-1/E2-3/TRIM37 ubiquitination cascade, negatively regulating the transcription factor CREB by marking it for degradation. CREB, in turn, positively regulates the insecticide resistance gene</w:t>
      </w:r>
      <w:r>
        <w:t xml:space="preserve"> </w:t>
      </w:r>
      <w:r>
        <w:t>CYP6CM1</w:t>
      </w:r>
      <w:r>
        <w:t xml:space="preserve"> </w:t>
      </w:r>
      <w:r>
        <w:t>while negatively regulating the key oogenesis gene</w:t>
      </w:r>
      <w:r>
        <w:t xml:space="preserve"> </w:t>
      </w:r>
      <w:r>
        <w:t>Vasa</w:t>
      </w:r>
      <w:r>
        <w:t xml:space="preserve"> </w:t>
      </w:r>
      <w:r>
        <w:t>. Downregulation of TRIM37 in neonicotinoid-resistant</w:t>
      </w:r>
      <w:r>
        <w:t xml:space="preserve"> </w:t>
      </w:r>
      <w:r>
        <w:t>B. tabaci</w:t>
      </w:r>
      <w:r>
        <w:t xml:space="preserve"> </w:t>
      </w:r>
      <w:r>
        <w:t>strains enhances insecticide detoxification via</w:t>
      </w:r>
      <w:r>
        <w:t xml:space="preserve"> </w:t>
      </w:r>
      <w:r>
        <w:t>CYP6CM1</w:t>
      </w:r>
      <w:r>
        <w:t xml:space="preserve"> </w:t>
      </w:r>
      <w:r>
        <w:t>upregulation, but concurrently incurs a reproductive fitness cost due to downstream</w:t>
      </w:r>
      <w:r>
        <w:t xml:space="preserve"> </w:t>
      </w:r>
      <w:r>
        <w:t>Vasa</w:t>
      </w:r>
      <w:r>
        <w:t xml:space="preserve"> </w:t>
      </w:r>
      <w:r>
        <w:t>suppression. Our findings advance understanding of the insect ubiquitination system and its role in adaptive processes, while offering insights for sustainable pest control strategies.</w:t>
      </w:r>
    </w:p>
    <w:p>
      <w:pPr>
        <w:spacing w:before="120" w:after="120"/>
      </w:pPr>
      <w:r>
        <w:rPr>
          <w:sz w:val="18"/>
        </w:rPr>
        <w:t>——————————————————————————————————————————————————————————————————————</w:t>
      </w:r>
    </w:p>
    <w:p>
      <w:pPr>
        <w:spacing w:before="160" w:after="40" w:line="240" w:lineRule="auto"/>
      </w:pPr>
      <w:r>
        <w:rPr>
          <w:b/>
        </w:rPr>
        <w:t xml:space="preserve">[719] </w:t>
      </w:r>
      <w:hyperlink r:id="rId1736">
        <w:r>
          <w:rPr>
            <w:color w:val="1155CC"/>
            <w:u w:val="single"/>
          </w:rPr>
          <w:t>溶质对生物分子凝聚体的敏感性和调节</w:t>
        </w:r>
      </w:hyperlink>
    </w:p>
    <w:p>
      <w:pPr>
        <w:spacing w:before="0" w:after="80"/>
      </w:pPr>
      <w:r>
        <w:rPr>
          <w:i/>
          <w:sz w:val="20"/>
        </w:rPr>
        <w:t>EN: Susceptibility and regulation of biomolecular condensates by solutes</w:t>
      </w:r>
    </w:p>
    <w:p>
      <w:pPr>
        <w:spacing w:before="0" w:after="120"/>
      </w:pPr>
      <w:r>
        <w:rPr>
          <w:b/>
        </w:rPr>
        <w:t xml:space="preserve">Source: </w:t>
      </w:r>
      <w:r>
        <w:t>Proceedings of the National Academy of Sciences: Keyword search for query</w:t>
      </w:r>
      <w:r>
        <w:t xml:space="preserve">    </w:t>
      </w:r>
      <w:r>
        <w:rPr>
          <w:b/>
        </w:rPr>
        <w:t xml:space="preserve">Pub date: </w:t>
      </w:r>
      <w:r>
        <w:t>2026-07-30 07:00:00+00:00</w:t>
      </w:r>
      <w:r>
        <w:t xml:space="preserve">    </w:t>
      </w:r>
      <w:r>
        <w:rPr>
          <w:b/>
        </w:rPr>
        <w:t xml:space="preserve">DOI: </w:t>
      </w:r>
      <w:hyperlink r:id="rId1737">
        <w:r>
          <w:rPr>
            <w:color w:val="1155CC"/>
            <w:u w:val="single"/>
          </w:rPr>
          <w:t>10.1073/pnas.2604434123</w:t>
        </w:r>
      </w:hyperlink>
    </w:p>
    <w:p>
      <w:pPr>
        <w:spacing w:before="0" w:after="120"/>
      </w:pPr>
      <w:r>
        <w:rPr>
          <w:b/>
        </w:rPr>
        <w:t xml:space="preserve">Notes: </w:t>
      </w:r>
      <w:r>
        <w:t>abstract_source=crossref</w:t>
      </w:r>
    </w:p>
    <w:p>
      <w:pPr>
        <w:spacing w:before="0" w:after="80" w:lineRule="auto" w:line="276"/>
      </w:pPr>
      <w:r>
        <w:rPr>
          <w:b/>
        </w:rPr>
        <w:t xml:space="preserve">摘要（ZH）: </w:t>
      </w:r>
      <w:r>
        <w:t>细胞中代谢物丰富，蛋白质和核酸的浓缩可以在没有细胞膜的情况下组织细胞内容物。冷凝物根据不同的细胞过程动态形成和溶解。使用完整相图了解凝聚态相行为受到所涉及的不同分子种类数量庞大的阻碍。为了规避这一限制，我们引入了磁化率，这是一种无量纲描述符，可量化稀相对溶质扰动的响应，并能够直接比较冷凝液。我们测量了通过不同的内聚机制组装的三种模型凝聚物如何响应氨基酸、核苷酸和拥挤剂。我们发现这些小分子通常调节凝聚相平衡，敏感性跨越五个数量级。这些幅度反映了潜在的分子相互作用，与包括弗洛里-哈金斯和多相连接理论在内的缩合理论描述一致。我们通过将响应表示为单个溶质扰动的加权和来扩展对多分量扰动的敏感性。应用这些原理，我们利用酶活性来诱导冷凝并调节材料特性。我们的工作将代谢物建立为与细胞生理学相关的生物分子凝聚物的通用调节剂，并为编程具有所需相和材料特性的凝聚物提供了框架。</w:t>
      </w:r>
    </w:p>
    <w:p>
      <w:pPr>
        <w:spacing w:before="0" w:after="200" w:lineRule="auto" w:line="276"/>
      </w:pPr>
      <w:r>
        <w:rPr>
          <w:b/>
        </w:rPr>
        <w:t xml:space="preserve">Abstract (EN): </w:t>
      </w:r>
      <w:r>
        <w:t>Metabolites are abundant in cells, where condensation of proteins and nucleic acids can organize cellular contents without membranes. Condensates form and dissolve dynamically in response to diverse cellular processes. Understanding condensate phase behavior using full phase diagrams is hampered by the sheer number of distinct molecular species involved. To circumvent this limitation, we introduce susceptibility, a dimensionless descriptor that quantifies dilute-phase responses to solute perturbations and enables direct comparison across condensates. We measure how three model condensates, assembled by distinct cohesive mechanisms, respond to amino acids, nucleotides, and a crowder. We find that these small molecules generically modulate condensate phase equilibria, with susceptibilities spanning over five orders of magnitude. These magnitudes reflect underlying molecular interactions, consistent with theoretical descriptions of condensation including Flory–Huggins and polyphasic linkage theories. We extend susceptibility to multicomponent perturbations by expressing the response as a weighted sum of individual solute perturbations. Applying these principles, we exploit enzymatic activity to induce condensation and modulate material properties. Our work establishes metabolites as generic modulators of biomolecular condensates with relevance to cellular physiology and provides a framework for programming condensates with desired phase and material properties.</w:t>
      </w:r>
    </w:p>
    <w:p>
      <w:pPr>
        <w:spacing w:before="120" w:after="120"/>
      </w:pPr>
      <w:r>
        <w:rPr>
          <w:sz w:val="18"/>
        </w:rPr>
        <w:t>——————————————————————————————————————————————————————————————————————</w:t>
      </w:r>
    </w:p>
    <w:p>
      <w:pPr>
        <w:spacing w:before="160" w:after="40" w:line="240" w:lineRule="auto"/>
      </w:pPr>
      <w:r>
        <w:rPr>
          <w:b/>
        </w:rPr>
        <w:t xml:space="preserve">[720] </w:t>
      </w:r>
      <w:hyperlink r:id="rId1738">
        <w:r>
          <w:rPr>
            <w:color w:val="1155CC"/>
            <w:u w:val="single"/>
          </w:rPr>
          <w:t>DNA 聚合激活类似逆转录酶的抗病毒酶的 RNA 裂解</w:t>
        </w:r>
      </w:hyperlink>
    </w:p>
    <w:p>
      <w:pPr>
        <w:spacing w:before="0" w:after="80"/>
      </w:pPr>
      <w:r>
        <w:rPr>
          <w:i/>
          <w:sz w:val="20"/>
        </w:rPr>
        <w:t>EN: DNA polymerization activates RNA cleavage of a reverse transcriptase–like antiviral enzyme</w:t>
      </w:r>
    </w:p>
    <w:p>
      <w:pPr>
        <w:spacing w:before="0" w:after="120"/>
      </w:pPr>
      <w:r>
        <w:rPr>
          <w:b/>
        </w:rPr>
        <w:t xml:space="preserve">Source: </w:t>
      </w:r>
      <w:r>
        <w:t>AAAS: Science: Table of Contents</w:t>
      </w:r>
      <w:r>
        <w:t xml:space="preserve">    </w:t>
      </w:r>
      <w:r>
        <w:rPr>
          <w:b/>
        </w:rPr>
        <w:t xml:space="preserve">Pub date: </w:t>
      </w:r>
      <w:r>
        <w:t>2026-07-30 07:00:00+00:00</w:t>
      </w:r>
      <w:r>
        <w:t xml:space="preserve">    </w:t>
      </w:r>
      <w:r>
        <w:rPr>
          <w:b/>
        </w:rPr>
        <w:t xml:space="preserve">DOI: </w:t>
      </w:r>
      <w:hyperlink r:id="rId1739">
        <w:r>
          <w:rPr>
            <w:color w:val="1155CC"/>
            <w:u w:val="single"/>
          </w:rPr>
          <w:t>10.1126/science.aef3178</w:t>
        </w:r>
      </w:hyperlink>
    </w:p>
    <w:p>
      <w:pPr>
        <w:spacing w:before="0" w:after="120"/>
      </w:pPr>
      <w:r>
        <w:rPr>
          <w:b/>
        </w:rPr>
        <w:t xml:space="preserve">Notes: </w:t>
      </w:r>
      <w:r>
        <w:t>abstract_source=crossref</w:t>
      </w:r>
    </w:p>
    <w:p>
      <w:pPr>
        <w:spacing w:before="0" w:after="80" w:lineRule="auto" w:line="276"/>
      </w:pPr>
      <w:r>
        <w:rPr>
          <w:b/>
        </w:rPr>
        <w:t xml:space="preserve">摘要（ZH）: </w:t>
      </w:r>
      <w:r>
        <w:t>防御相关逆转录酶（DRT）转录非编码RNA（ncRNA）以进行抗病毒防御，但不依赖于ncRNA的DRT的机制仍不清楚。在这项工作中，我们证明单个 DRT4 通过整合 DNA 聚合酶、核酸外切酶和 RNA 核酸内切酶活性来介导 RNA 靶向抗噬菌体防御。首先，通过其 DNA 聚合酶和核酸外切酶活性之间的平衡，DRT4 感知噬菌体感染，因为脱氧核苷酸三磷酸水平的升高将平衡转向聚合酶活性，从而促进蛋白质引发的单链 DNA (ssDNA) 合成。其次，足够长度的单链DNA、噬菌体DNA结合蛋白和脱氧鸟苷三磷酸共同激活DRT4的异常RNA核酸内切酶活性，从噬菌体和宿主RNA中切除鸟苷3'-单磷酸以终止感染。这些发现揭示了一种结合核酸合成和降解的独特免疫策略，扩大了 DRT 的功能范围，适用于新的 DNA 和 RNA 处理技术。</w:t>
      </w:r>
    </w:p>
    <w:p>
      <w:pPr>
        <w:spacing w:before="0" w:after="200" w:lineRule="auto" w:line="276"/>
      </w:pPr>
      <w:r>
        <w:rPr>
          <w:b/>
        </w:rPr>
        <w:t xml:space="preserve">Abstract (EN): </w:t>
      </w:r>
      <w:r>
        <w:t>Defense-associated reverse transcriptases (DRTs) transcribe noncoding RNAs (ncRNAs) for antiviral defense, but the mechanisms of ncRNA-independent DRTs remain unclear. In this work, we show that a single DRT4 mediates RNA-targeting antiphage defense by integrating DNA polymerase, exonuclease, and RNA endonuclease activities. First, through an equilibrium between its DNA polymerase and exonuclease activities, DRT4 senses phage infection, as elevated deoxynucleotide triphosphate levels shift the equilibrium toward polymerase activity, thereby promoting protein-primed single-stranded DNA (ssDNA) synthesis. Second, ssDNA of sufficient length, phage DNA binding proteins, and deoxyguanosine triphosphate collectively activate an unusual RNA endonuclease activity of DRT4, excising guanosine 3′-monophosphate from both phage and host RNA to terminate infection. These findings reveal a distinctive immune strategy combining nucleic acid synthesis and degradation, expanding the functional landscape of DRTs for new DNA- and RNA-processing technologies.</w:t>
      </w:r>
    </w:p>
    <w:p>
      <w:pPr>
        <w:spacing w:before="120" w:after="120"/>
      </w:pPr>
      <w:r>
        <w:rPr>
          <w:sz w:val="18"/>
        </w:rPr>
        <w:t>——————————————————————————————————————————————————————————————————————</w:t>
      </w:r>
    </w:p>
    <w:p>
      <w:pPr>
        <w:spacing w:before="160" w:after="40" w:line="240" w:lineRule="auto"/>
      </w:pPr>
      <w:r>
        <w:rPr>
          <w:b/>
        </w:rPr>
        <w:t xml:space="preserve">[721] </w:t>
      </w:r>
      <w:hyperlink r:id="rId1740">
        <w:r>
          <w:rPr>
            <w:color w:val="1155CC"/>
            <w:u w:val="single"/>
          </w:rPr>
          <w:t>当未来失去声音</w:t>
        </w:r>
      </w:hyperlink>
    </w:p>
    <w:p>
      <w:pPr>
        <w:spacing w:before="0" w:after="80"/>
      </w:pPr>
      <w:r>
        <w:rPr>
          <w:i/>
          <w:sz w:val="20"/>
        </w:rPr>
        <w:t>EN: When the future loses its voice</w:t>
      </w:r>
    </w:p>
    <w:p>
      <w:pPr>
        <w:spacing w:before="0" w:after="120"/>
      </w:pPr>
      <w:r>
        <w:rPr>
          <w:b/>
        </w:rPr>
        <w:t xml:space="preserve">Source: </w:t>
      </w:r>
      <w:r>
        <w:t>AAAS: Science: Table of Contents</w:t>
      </w:r>
      <w:r>
        <w:t xml:space="preserve">    </w:t>
      </w:r>
      <w:r>
        <w:rPr>
          <w:b/>
        </w:rPr>
        <w:t xml:space="preserve">Pub date: </w:t>
      </w:r>
      <w:r>
        <w:t>2026-07-30 07:00:00+00:00</w:t>
      </w:r>
      <w:r>
        <w:t xml:space="preserve">    </w:t>
      </w:r>
      <w:r>
        <w:rPr>
          <w:b/>
        </w:rPr>
        <w:t xml:space="preserve">DOI: </w:t>
      </w:r>
      <w:hyperlink r:id="rId1741">
        <w:r>
          <w:rPr>
            <w:color w:val="1155CC"/>
            <w:u w:val="single"/>
          </w:rPr>
          <w:t>10.1126/science.aej7915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[722] </w:t>
      </w:r>
      <w:hyperlink r:id="rId1742">
        <w:r>
          <w:rPr>
            <w:color w:val="1155CC"/>
            <w:u w:val="single"/>
          </w:rPr>
          <w:t>镜像花手性发育的表基因控制</w:t>
        </w:r>
      </w:hyperlink>
    </w:p>
    <w:p>
      <w:pPr>
        <w:spacing w:before="0" w:after="80"/>
      </w:pPr>
      <w:r>
        <w:rPr>
          <w:i/>
          <w:sz w:val="20"/>
        </w:rPr>
        <w:t>EN: Supergene control of chiral development in mirror-image flowers</w:t>
      </w:r>
    </w:p>
    <w:p>
      <w:pPr>
        <w:spacing w:before="0" w:after="120"/>
      </w:pPr>
      <w:r>
        <w:rPr>
          <w:b/>
        </w:rPr>
        <w:t xml:space="preserve">Source: </w:t>
      </w:r>
      <w:r>
        <w:t>AAAS: Science: Table of Contents</w:t>
      </w:r>
      <w:r>
        <w:t xml:space="preserve">    </w:t>
      </w:r>
      <w:r>
        <w:rPr>
          <w:b/>
        </w:rPr>
        <w:t xml:space="preserve">Pub date: </w:t>
      </w:r>
      <w:r>
        <w:t>2026-07-30 07:00:00+00:00</w:t>
      </w:r>
      <w:r>
        <w:t xml:space="preserve">    </w:t>
      </w:r>
      <w:r>
        <w:rPr>
          <w:b/>
        </w:rPr>
        <w:t xml:space="preserve">DOI: </w:t>
      </w:r>
      <w:hyperlink r:id="rId1743">
        <w:r>
          <w:rPr>
            <w:color w:val="1155CC"/>
            <w:u w:val="single"/>
          </w:rPr>
          <w:t>10.1126/science.aeb1157</w:t>
        </w:r>
      </w:hyperlink>
    </w:p>
    <w:p>
      <w:pPr>
        <w:spacing w:before="0" w:after="120"/>
      </w:pPr>
      <w:r>
        <w:rPr>
          <w:b/>
        </w:rPr>
        <w:t xml:space="preserve">Notes: </w:t>
      </w:r>
      <w:r>
        <w:t>abstract_source=crossref</w:t>
      </w:r>
    </w:p>
    <w:p>
      <w:pPr>
        <w:spacing w:before="0" w:after="80" w:lineRule="auto" w:line="276"/>
      </w:pPr>
      <w:r>
        <w:rPr>
          <w:b/>
        </w:rPr>
        <w:t xml:space="preserve">摘要（ZH）: </w:t>
      </w:r>
      <w:r>
        <w:t>基因如何决定手性结构的发展是一个令人着迷的问题。雌性和雄性器官相互放置在镜像花的相对两侧，促进了有效的异花授粉。在这里，我们发现，在蝴蝶百合中，雌性和雄性器官通过基因控制的手性和向地性的组合而偏转，相对于外部而不是内部参考轴向左和向右定向。我们发现协调的器官放置是由包含两个候选因果基因座的半合子超基因控制的，</w:t>
      </w:r>
      <w:r>
        <w:t xml:space="preserve"> </w:t>
      </w:r>
      <w:r>
        <w:t>米尔156-R</w:t>
      </w:r>
      <w:r>
        <w:t xml:space="preserve"> </w:t>
      </w:r>
      <w:r>
        <w:t>和</w:t>
      </w:r>
      <w:r>
        <w:t xml:space="preserve"> </w:t>
      </w:r>
      <w:r>
        <w:t>丝兰-R</w:t>
      </w:r>
      <w:r>
        <w:t xml:space="preserve"> </w:t>
      </w:r>
      <w:r>
        <w:t>，分别负责相反的女性和男性器官方向。由此产生的携带两个超基因等位基因的花粉在传粉者身体上的差异定位导致它们转移到具有相反旋向性的花的柱头并维持生殖多态性。</w:t>
      </w:r>
    </w:p>
    <w:p>
      <w:pPr>
        <w:spacing w:before="0" w:after="200" w:lineRule="auto" w:line="276"/>
      </w:pPr>
      <w:r>
        <w:rPr>
          <w:b/>
        </w:rPr>
        <w:t xml:space="preserve">Abstract (EN): </w:t>
      </w:r>
      <w:r>
        <w:t>How genes determine the development of chiral structures is a fascinating question. The reciprocal placement of female and male organs on opposite sides of mirror-image flowers promotes efficient cross-pollination. Here, we identified that in butterfly lilies, female and male organs deflect by a combination of genetically controlled chirality and gravitropism, orienting left and right with respect to an external rather than internal reference axis. We found coordinated organ placement to be controlled by a hemizygous supergene containing two candidate causal loci,</w:t>
      </w:r>
      <w:r>
        <w:t xml:space="preserve"> </w:t>
      </w:r>
      <w:r>
        <w:t>MIR156-R</w:t>
      </w:r>
      <w:r>
        <w:t xml:space="preserve"> </w:t>
      </w:r>
      <w:r>
        <w:t>and</w:t>
      </w:r>
      <w:r>
        <w:t xml:space="preserve"> </w:t>
      </w:r>
      <w:r>
        <w:t>YUCCA-R</w:t>
      </w:r>
      <w:r>
        <w:t xml:space="preserve"> </w:t>
      </w:r>
      <w:r>
        <w:t>, that are responsible for opposite female and male organ orientation, respectively. The resulting differential placement of pollen carrying the two supergene alleles on pollinators’ bodies leads to their transfer to the stigmas of flowers with opposite handedness and maintenance of the reproductive polymorphism.</w:t>
      </w:r>
    </w:p>
    <w:p>
      <w:pPr>
        <w:spacing w:before="120" w:after="120"/>
      </w:pPr>
      <w:r>
        <w:rPr>
          <w:sz w:val="18"/>
        </w:rPr>
        <w:t>——————————————————————————————————————————————————————————————————————</w:t>
      </w:r>
    </w:p>
    <w:p>
      <w:pPr>
        <w:spacing w:before="160" w:after="40" w:line="240" w:lineRule="auto"/>
      </w:pPr>
      <w:r>
        <w:rPr>
          <w:b/>
        </w:rPr>
        <w:t xml:space="preserve">[723] </w:t>
      </w:r>
      <w:hyperlink r:id="rId1744">
        <w:r>
          <w:rPr>
            <w:color w:val="1155CC"/>
            <w:u w:val="single"/>
          </w:rPr>
          <w:t>研究文章“弹性冰微纤维”的勘误表</w:t>
        </w:r>
      </w:hyperlink>
    </w:p>
    <w:p>
      <w:pPr>
        <w:spacing w:before="0" w:after="80"/>
      </w:pPr>
      <w:r>
        <w:rPr>
          <w:i/>
          <w:sz w:val="20"/>
        </w:rPr>
        <w:t>EN: Erratum for the Research Article “Elastic ice microfibers”</w:t>
      </w:r>
    </w:p>
    <w:p>
      <w:pPr>
        <w:spacing w:before="0" w:after="120"/>
      </w:pPr>
      <w:r>
        <w:rPr>
          <w:b/>
        </w:rPr>
        <w:t xml:space="preserve">Source: </w:t>
      </w:r>
      <w:r>
        <w:t>AAAS: Science: Table of Contents</w:t>
      </w:r>
      <w:r>
        <w:t xml:space="preserve">    </w:t>
      </w:r>
      <w:r>
        <w:rPr>
          <w:b/>
        </w:rPr>
        <w:t xml:space="preserve">Pub date: </w:t>
      </w:r>
      <w:r>
        <w:t>2026-07-30 07:00:00+00:00</w:t>
      </w:r>
      <w:r>
        <w:t xml:space="preserve">    </w:t>
      </w:r>
      <w:r>
        <w:rPr>
          <w:b/>
        </w:rPr>
        <w:t xml:space="preserve">DOI: </w:t>
      </w:r>
      <w:hyperlink r:id="rId1745">
        <w:r>
          <w:rPr>
            <w:color w:val="1155CC"/>
            <w:u w:val="single"/>
          </w:rPr>
          <w:t>10.1126/science.aek6646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[724] </w:t>
      </w:r>
      <w:hyperlink r:id="rId1746">
        <w:r>
          <w:rPr>
            <w:color w:val="1155CC"/>
            <w:u w:val="single"/>
          </w:rPr>
          <w:t>X连锁SYTL4错义变异破坏自闭症中RAB27A依赖性囊泡运输和突触传递</w:t>
        </w:r>
      </w:hyperlink>
    </w:p>
    <w:p>
      <w:pPr>
        <w:spacing w:before="0" w:after="80"/>
      </w:pPr>
      <w:r>
        <w:rPr>
          <w:i/>
          <w:sz w:val="20"/>
        </w:rPr>
        <w:t>EN: X-linked SYTL4 missense variant disrupts RAB27A-dependent vesicle trafficking and synaptic transmission in autism</w:t>
      </w:r>
    </w:p>
    <w:p>
      <w:pPr>
        <w:spacing w:before="0" w:after="120"/>
      </w:pPr>
      <w:r>
        <w:rPr>
          <w:b/>
        </w:rPr>
        <w:t xml:space="preserve">Source: </w:t>
      </w:r>
      <w:r>
        <w:t>Proceedings of the National Academy of Sciences: Keyword search for query</w:t>
      </w:r>
      <w:r>
        <w:t xml:space="preserve">    </w:t>
      </w:r>
      <w:r>
        <w:rPr>
          <w:b/>
        </w:rPr>
        <w:t xml:space="preserve">Pub date: </w:t>
      </w:r>
      <w:r>
        <w:t>2026-07-30 07:00:00+00:00</w:t>
      </w:r>
      <w:r>
        <w:t xml:space="preserve">    </w:t>
      </w:r>
      <w:r>
        <w:rPr>
          <w:b/>
        </w:rPr>
        <w:t xml:space="preserve">DOI: </w:t>
      </w:r>
      <w:hyperlink r:id="rId1747">
        <w:r>
          <w:rPr>
            <w:color w:val="1155CC"/>
            <w:u w:val="single"/>
          </w:rPr>
          <w:t>10.1073/pnas.2605483123</w:t>
        </w:r>
      </w:hyperlink>
    </w:p>
    <w:p>
      <w:pPr>
        <w:spacing w:before="0" w:after="120"/>
      </w:pPr>
      <w:r>
        <w:rPr>
          <w:b/>
        </w:rPr>
        <w:t xml:space="preserve">Notes: </w:t>
      </w:r>
      <w:r>
        <w:t>abstract_source=crossref</w:t>
      </w:r>
    </w:p>
    <w:p>
      <w:pPr>
        <w:spacing w:before="0" w:after="80" w:lineRule="auto" w:line="276"/>
      </w:pPr>
      <w:r>
        <w:rPr>
          <w:b/>
        </w:rPr>
        <w:t xml:space="preserve">摘要（ZH）: </w:t>
      </w:r>
      <w:r>
        <w:t>自闭症谱系障碍 (ASD) 是一种神经发育疾病，其特征是社交沟通受损和重复行为，遗传研究表明存在广泛的突触功能障碍。然而，突触前囊泡运输机制对 ASD 发病机制的贡献仍不完全清楚。在这里，我们鉴定了突触结合蛋白样蛋白 4 (SYTL4)，一种先前在分泌细胞中表征的 RAB27A 效应子，作为哺乳动物大脑中突触前功能的调节剂。我们报告了一个复发性半合子错义变体 R126H，位于 Rab 结合域内</w:t>
      </w:r>
      <w:r>
        <w:t xml:space="preserve"> </w:t>
      </w:r>
      <w:r>
        <w:t>SYTL4</w:t>
      </w:r>
      <w:r>
        <w:t xml:space="preserve"> </w:t>
      </w:r>
      <w:r>
        <w:t>在四个不相关的男性个体中，与 ASD 的 X 连锁隐性模式一致，并且另外在</w:t>
      </w:r>
      <w:r>
        <w:t xml:space="preserve"> </w:t>
      </w:r>
      <w:r>
        <w:t>RAB27A</w:t>
      </w:r>
      <w:r>
        <w:t xml:space="preserve"> </w:t>
      </w:r>
      <w:r>
        <w:t>(T41A) 在一个独立的 ASD 家族中，影响介导与下游效应器相互作用的域。使用 R126H 敲入小鼠模型，我们发现 R126H 敲入雄性小鼠表现出与 ASD 相关的行为异常，并伴有内侧前额叶皮层的突触缺陷。在分子水平上，自闭症谱系障碍（ASD）相关</w:t>
      </w:r>
      <w:r>
        <w:t xml:space="preserve"> </w:t>
      </w:r>
      <w:r>
        <w:t>SYTL4</w:t>
      </w:r>
      <w:r>
        <w:t xml:space="preserve"> </w:t>
      </w:r>
      <w:r>
        <w:t>和</w:t>
      </w:r>
      <w:r>
        <w:t xml:space="preserve"> </w:t>
      </w:r>
      <w:r>
        <w:t>RAB27A</w:t>
      </w:r>
      <w:r>
        <w:t xml:space="preserve"> </w:t>
      </w:r>
      <w:r>
        <w:t>变异干扰 SYTL4 和 RAB27A 之间的相互作用，提供人类遗传变异和突触功能障碍之间的机制联系。总之，这些发现表明 ASD 发病机制中 SYTL4-RAB27A 依赖性囊泡运输被破坏，并确定</w:t>
      </w:r>
      <w:r>
        <w:t xml:space="preserve"> </w:t>
      </w:r>
      <w:r>
        <w:t>SYTL4</w:t>
      </w:r>
      <w:r>
        <w:t xml:space="preserve"> </w:t>
      </w:r>
      <w:r>
        <w:t>和</w:t>
      </w:r>
    </w:p>
    <w:p>
      <w:pPr>
        <w:spacing w:before="0" w:after="200" w:lineRule="auto" w:line="276"/>
      </w:pPr>
      <w:r>
        <w:rPr>
          <w:b/>
        </w:rPr>
        <w:t xml:space="preserve">Abstract (EN): </w:t>
      </w:r>
      <w:r>
        <w:t>Autism spectrum disorder (ASD) is a neurodevelopmental condition characterized by impaired social communication and repetitive behaviors, with genetic studies implicating widespread synaptic dysfunction. However, the contribution of presynaptic vesicle trafficking mechanisms to ASD pathogenesis remains incompletely understood. Here, we identify synaptotagmin-like protein 4 (SYTL4), a RAB27A effector previously characterized in secretory cells, as a regulator of presynaptic function in the mammalian brain. We report a recurrent hemizygous missense variant, R126H, located within the Rab-binding domain of</w:t>
      </w:r>
      <w:r>
        <w:t xml:space="preserve"> </w:t>
      </w:r>
      <w:r>
        <w:t>SYTL4</w:t>
      </w:r>
      <w:r>
        <w:t xml:space="preserve"> </w:t>
      </w:r>
      <w:r>
        <w:t>in four unrelated male individuals, consistent with an X-linked recessive mode of ASD, and additionally identify a de novo missense variant in</w:t>
      </w:r>
      <w:r>
        <w:t xml:space="preserve"> </w:t>
      </w:r>
      <w:r>
        <w:t>RAB27A</w:t>
      </w:r>
      <w:r>
        <w:t xml:space="preserve"> </w:t>
      </w:r>
      <w:r>
        <w:t>(T41A) in an independent ASD family that affects a domain mediating interactions with downstream effectors. Using a R126H knock-in mouse model, we show that R126H knock-in male mice exhibit ASD-relevant behavioral abnormalities accompanied by synaptic deficits in the medial prefrontal cortex. At the molecular level, ASD-associated</w:t>
      </w:r>
      <w:r>
        <w:t xml:space="preserve"> </w:t>
      </w:r>
      <w:r>
        <w:t>SYTL4</w:t>
      </w:r>
      <w:r>
        <w:t xml:space="preserve"> </w:t>
      </w:r>
      <w:r>
        <w:t>and</w:t>
      </w:r>
      <w:r>
        <w:t xml:space="preserve"> </w:t>
      </w:r>
      <w:r>
        <w:t>RAB27A</w:t>
      </w:r>
      <w:r>
        <w:t xml:space="preserve"> </w:t>
      </w:r>
      <w:r>
        <w:t>variants interfere with the interaction between SYTL4 and RAB27A, providing a mechanistic link between human genetic variation and synaptic dysfunction. Together, these findings implicate disrupted SYTL4–RAB27A-dependent vesicle trafficking in ASD pathogenesis and identify</w:t>
      </w:r>
      <w:r>
        <w:t xml:space="preserve"> </w:t>
      </w:r>
      <w:r>
        <w:t>SYTL4</w:t>
      </w:r>
      <w:r>
        <w:t xml:space="preserve"> </w:t>
      </w:r>
      <w:r>
        <w:t>and</w:t>
      </w:r>
      <w:r>
        <w:t xml:space="preserve"> </w:t>
      </w:r>
      <w:r>
        <w:t>RAB27A</w:t>
      </w:r>
      <w:r>
        <w:t xml:space="preserve"> </w:t>
      </w:r>
      <w:r>
        <w:t>as previously unrecognized contributors to autism-associated synaptic deficits and behavior.</w:t>
      </w:r>
    </w:p>
    <w:p>
      <w:pPr>
        <w:spacing w:before="120" w:after="120"/>
      </w:pPr>
      <w:r>
        <w:rPr>
          <w:sz w:val="18"/>
        </w:rPr>
        <w:t>——————————————————————————————————————————————————————————————————————</w:t>
      </w:r>
    </w:p>
    <w:p>
      <w:pPr>
        <w:spacing w:before="160" w:after="40" w:line="240" w:lineRule="auto"/>
      </w:pPr>
      <w:r>
        <w:rPr>
          <w:b/>
        </w:rPr>
        <w:t xml:space="preserve">[725] </w:t>
      </w:r>
      <w:hyperlink r:id="rId1748">
        <w:r>
          <w:rPr>
            <w:color w:val="1155CC"/>
            <w:u w:val="single"/>
          </w:rPr>
          <w:t>叶酸预防神经管缺陷需要 ALDH1L1 产生的视黄酸</w:t>
        </w:r>
      </w:hyperlink>
    </w:p>
    <w:p>
      <w:pPr>
        <w:spacing w:before="0" w:after="80"/>
      </w:pPr>
      <w:r>
        <w:rPr>
          <w:i/>
          <w:sz w:val="20"/>
        </w:rPr>
        <w:t>EN: Folic acid prevention of neural tube defects requires retinoic acid produced by ALDH1L1</w:t>
      </w:r>
    </w:p>
    <w:p>
      <w:pPr>
        <w:spacing w:before="0" w:after="120"/>
      </w:pPr>
      <w:r>
        <w:rPr>
          <w:b/>
        </w:rPr>
        <w:t xml:space="preserve">Source: </w:t>
      </w:r>
      <w:r>
        <w:t>Proceedings of the National Academy of Sciences: Keyword search for query</w:t>
      </w:r>
      <w:r>
        <w:t xml:space="preserve">    </w:t>
      </w:r>
      <w:r>
        <w:rPr>
          <w:b/>
        </w:rPr>
        <w:t xml:space="preserve">Pub date: </w:t>
      </w:r>
      <w:r>
        <w:t>2026-07-30 07:00:00+00:00</w:t>
      </w:r>
      <w:r>
        <w:t xml:space="preserve">    </w:t>
      </w:r>
      <w:r>
        <w:rPr>
          <w:b/>
        </w:rPr>
        <w:t xml:space="preserve">DOI: </w:t>
      </w:r>
      <w:hyperlink r:id="rId1749">
        <w:r>
          <w:rPr>
            <w:color w:val="1155CC"/>
            <w:u w:val="single"/>
          </w:rPr>
          <w:t>10.1073/pnas.2616501123</w:t>
        </w:r>
      </w:hyperlink>
    </w:p>
    <w:p>
      <w:pPr>
        <w:spacing w:before="0" w:after="120"/>
      </w:pPr>
      <w:r>
        <w:rPr>
          <w:b/>
        </w:rPr>
        <w:t xml:space="preserve">Notes: </w:t>
      </w:r>
      <w:r>
        <w:t>abstract_source=crossref</w:t>
      </w:r>
    </w:p>
    <w:p>
      <w:pPr>
        <w:spacing w:before="0" w:after="80" w:lineRule="auto" w:line="276"/>
      </w:pPr>
      <w:r>
        <w:rPr>
          <w:b/>
        </w:rPr>
        <w:t xml:space="preserve">摘要（ZH）: </w:t>
      </w:r>
      <w:r>
        <w:t>怀孕期间补充叶酸（FA）是预防神经管缺陷的普遍接受的治疗方法。 FA 预防神经管缺陷 (NTD) 的机制仍不清楚。 FA 还可以预防其他发育畸形，包括胎儿酒精综合症模型中酒精引起的畸形。我们证明 FA 通过与视黄酸 (RA) 信号传导的代谢联系发挥作用。使用</w:t>
      </w:r>
      <w:r>
        <w:t xml:space="preserve"> </w:t>
      </w:r>
      <w:r>
        <w:t>帕克斯3</w:t>
      </w:r>
      <w:r>
        <w:t xml:space="preserve"> </w:t>
      </w:r>
      <w:r>
        <w:t>-击倒</w:t>
      </w:r>
      <w:r>
        <w:t xml:space="preserve"> </w:t>
      </w:r>
      <w:r>
        <w:t>爪蟾属</w:t>
      </w:r>
      <w:r>
        <w:t xml:space="preserve"> </w:t>
      </w:r>
      <w:r>
        <w:t>在 FA 可挽救的 NTD 模型中，我们表明 RA 或其前体同样可以挽救这些缺陷。同样，FA 在之前被证明可以通过类维生素A 拯救的模型中拯救酒精诱导的 NTD。我们鉴定出 FA 代谢酶，甲酰四氢叶酸脱氢酶（ALDH1L1，FTHFD），由</w:t>
      </w:r>
      <w:r>
        <w:t xml:space="preserve"> </w:t>
      </w:r>
      <w:r>
        <w:t>醛脱酶1l1</w:t>
      </w:r>
      <w:r>
        <w:t xml:space="preserve"> </w:t>
      </w:r>
      <w:r>
        <w:t>基因，对于这次救援至关重要。从机制上讲，FA 上调</w:t>
      </w:r>
      <w:r>
        <w:t xml:space="preserve"> </w:t>
      </w:r>
      <w:r>
        <w:t>醛脱酶1l1</w:t>
      </w:r>
      <w:r>
        <w:t xml:space="preserve"> </w:t>
      </w:r>
      <w:r>
        <w:t>表达，从而增加 RA 生物合成。使用 CRISPR/Cas9 敲低 ALDH1L1 活性会消除 FA 保护作用。为了支持这些观察结果，我们证明人类 ALDH1L1 酶将视黄醛转化为 RA，并且其过度表达可恢复神经管闭合</w:t>
      </w:r>
      <w:r>
        <w:t xml:space="preserve"> </w:t>
      </w:r>
      <w:r>
        <w:t>醛脱酶1l1</w:t>
      </w:r>
      <w:r>
        <w:t xml:space="preserve"> </w:t>
      </w:r>
      <w:r>
        <w:t>-提供视黄醛时敲低胚胎。在细胞水平上，RA 信号传导减少会导致神经板前体过度增殖和神经管病理性扩张。 ALDH1L1 使 FA 能够恢复正常的神经板增殖，从而预防 NTD</w:t>
      </w:r>
    </w:p>
    <w:p>
      <w:pPr>
        <w:spacing w:before="0" w:after="200" w:lineRule="auto" w:line="276"/>
      </w:pPr>
      <w:r>
        <w:rPr>
          <w:b/>
        </w:rPr>
        <w:t xml:space="preserve">Abstract (EN): </w:t>
      </w:r>
      <w:r>
        <w:t>Folic acid (FA) supplementation during pregnancy is the commonly accepted treatment to prevent neural tube defects. The mechanism by which FA prevents neural tube defects (NTDs) remains unclear. FA also prevents other developmental malformations, including alcohol-induced malformations in Fetal Alcohol Syndrome models. We show that FA acts through a metabolic link to retinoic acid (RA) signaling. Using a</w:t>
      </w:r>
      <w:r>
        <w:t xml:space="preserve"> </w:t>
      </w:r>
      <w:r>
        <w:t>pax3</w:t>
      </w:r>
      <w:r>
        <w:t xml:space="preserve"> </w:t>
      </w:r>
      <w:r>
        <w:t>-knockdown</w:t>
      </w:r>
      <w:r>
        <w:t xml:space="preserve"> </w:t>
      </w:r>
      <w:r>
        <w:t>Xenopus</w:t>
      </w:r>
      <w:r>
        <w:t xml:space="preserve"> </w:t>
      </w:r>
      <w:r>
        <w:t>model of FA-rescuable NTDs, we show that RA or its precursors equally rescue these defects. Similarly, FA rescues alcohol-induced NTDs in a model previously shown to be rescued by retinoids. We identify the FA-metabolizing enzyme, formyl tetrahydrofolate dehydrogenase (ALDH1L1, FTHFD), encoded by the</w:t>
      </w:r>
      <w:r>
        <w:t xml:space="preserve"> </w:t>
      </w:r>
      <w:r>
        <w:t>aldh1l1</w:t>
      </w:r>
      <w:r>
        <w:t xml:space="preserve"> </w:t>
      </w:r>
      <w:r>
        <w:t>gene, as essential for this rescue. Mechanistically, FA upregulates</w:t>
      </w:r>
      <w:r>
        <w:t xml:space="preserve"> </w:t>
      </w:r>
      <w:r>
        <w:t>aldh1l1</w:t>
      </w:r>
      <w:r>
        <w:t xml:space="preserve"> </w:t>
      </w:r>
      <w:r>
        <w:t>expression, thereby increasing RA biosynthesis. Knockdown of ALDH1L1 activity using CRISPR/Cas9 abolishes the FA protective effect. To support these observations, we show that the human ALDH1L1 enzyme converts retinaldehyde to RA, and its overexpression restores neural tube closure in</w:t>
      </w:r>
      <w:r>
        <w:t xml:space="preserve"> </w:t>
      </w:r>
      <w:r>
        <w:t>aldh1l1</w:t>
      </w:r>
      <w:r>
        <w:t xml:space="preserve"> </w:t>
      </w:r>
      <w:r>
        <w:t>-knockdown embryos when retinaldehyde is provided. At the cellular level, reduced RA signaling results in overproliferation of neural plate precursors and a pathological expansion of the neural tube. ALDH1L1 enables FA to restore normal neural plate proliferation, thereby preventing NTDs. These findings establish ALDH1L1 as an unexpected enzymatic link between FA (vitamin B9) and RA signaling, revealing how FA supplementation safeguards neural development and suggesting opportunities to refine strategies for NTD prevention.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6261926011347?dgcid=rss_sd_all" TargetMode="External"/><Relationship Id="rId10" Type="http://schemas.openxmlformats.org/officeDocument/2006/relationships/hyperlink" Target="https://doi.org/10.1016/j.apenergy.2026.128478" TargetMode="External"/><Relationship Id="rId11" Type="http://schemas.openxmlformats.org/officeDocument/2006/relationships/hyperlink" Target="https://www.nature.com/articles/s41560-026-02116-4" TargetMode="External"/><Relationship Id="rId12" Type="http://schemas.openxmlformats.org/officeDocument/2006/relationships/hyperlink" Target="https://doi.org/10.1038/s41560-026-02116-4" TargetMode="External"/><Relationship Id="rId13" Type="http://schemas.openxmlformats.org/officeDocument/2006/relationships/hyperlink" Target="https://www.cell.com/joule/fulltext/S2542-4351(26)00273-4?rss=yes" TargetMode="External"/><Relationship Id="rId14" Type="http://schemas.openxmlformats.org/officeDocument/2006/relationships/hyperlink" Target="https://doi.org/10.1016/j.joule.2026.102589" TargetMode="External"/><Relationship Id="rId15" Type="http://schemas.openxmlformats.org/officeDocument/2006/relationships/hyperlink" Target="https://www.cell.com/joule/fulltext/S2542-4351(26)00272-2?rss=yes" TargetMode="External"/><Relationship Id="rId16" Type="http://schemas.openxmlformats.org/officeDocument/2006/relationships/hyperlink" Target="https://doi.org/10.1016/j.joule.2026.102588" TargetMode="External"/><Relationship Id="rId17" Type="http://schemas.openxmlformats.org/officeDocument/2006/relationships/hyperlink" Target="https://www.nature.com/articles/s44359-026-00202-0" TargetMode="External"/><Relationship Id="rId18" Type="http://schemas.openxmlformats.org/officeDocument/2006/relationships/hyperlink" Target="https://doi.org/10.1038/s44359-026-00202-0" TargetMode="External"/><Relationship Id="rId19" Type="http://schemas.openxmlformats.org/officeDocument/2006/relationships/hyperlink" Target="https://www.sciencedirect.com/science/article/pii/S0306261926011165?dgcid=rss_sd_all" TargetMode="External"/><Relationship Id="rId20" Type="http://schemas.openxmlformats.org/officeDocument/2006/relationships/hyperlink" Target="https://doi.org/10.1016/j.apenergy.2026.128460" TargetMode="External"/><Relationship Id="rId21" Type="http://schemas.openxmlformats.org/officeDocument/2006/relationships/hyperlink" Target="https://www.science.org/doi/abs/10.1126/sciadv.adt5183?af=R" TargetMode="External"/><Relationship Id="rId22" Type="http://schemas.openxmlformats.org/officeDocument/2006/relationships/hyperlink" Target="https://doi.org/10.1126/sciadv.adt5183" TargetMode="External"/><Relationship Id="rId23" Type="http://schemas.openxmlformats.org/officeDocument/2006/relationships/hyperlink" Target="https://onlinelibrary.wiley.com/doi/10.1002/anie.2924886?af=R" TargetMode="External"/><Relationship Id="rId24" Type="http://schemas.openxmlformats.org/officeDocument/2006/relationships/hyperlink" Target="https://doi.org/10.1002/anie.2924886" TargetMode="External"/><Relationship Id="rId25" Type="http://schemas.openxmlformats.org/officeDocument/2006/relationships/hyperlink" Target="https://www.nature.com/articles/s41467-026-75990-x" TargetMode="External"/><Relationship Id="rId26" Type="http://schemas.openxmlformats.org/officeDocument/2006/relationships/hyperlink" Target="https://advanced.onlinelibrary.wiley.com/doi/10.1002/adma.74273?af=R" TargetMode="External"/><Relationship Id="rId27" Type="http://schemas.openxmlformats.org/officeDocument/2006/relationships/hyperlink" Target="https://doi.org/10.1002/adma.74273" TargetMode="External"/><Relationship Id="rId28" Type="http://schemas.openxmlformats.org/officeDocument/2006/relationships/hyperlink" Target="https://pubs.acs.org/doi/10.1021/jacs.6c07362" TargetMode="External"/><Relationship Id="rId29" Type="http://schemas.openxmlformats.org/officeDocument/2006/relationships/hyperlink" Target="https://doi.org/10.1021/jacs.6c07362" TargetMode="External"/><Relationship Id="rId30" Type="http://schemas.openxmlformats.org/officeDocument/2006/relationships/hyperlink" Target="https://onlinelibrary.wiley.com/doi/10.1002/anie.4522068?af=R" TargetMode="External"/><Relationship Id="rId31" Type="http://schemas.openxmlformats.org/officeDocument/2006/relationships/hyperlink" Target="https://doi.org/10.1002/anie.4522068" TargetMode="External"/><Relationship Id="rId32" Type="http://schemas.openxmlformats.org/officeDocument/2006/relationships/hyperlink" Target="https://onlinelibrary.wiley.com/doi/10.1002/anie.6171732?af=R" TargetMode="External"/><Relationship Id="rId33" Type="http://schemas.openxmlformats.org/officeDocument/2006/relationships/hyperlink" Target="https://doi.org/10.1002/anie.6171732" TargetMode="External"/><Relationship Id="rId34" Type="http://schemas.openxmlformats.org/officeDocument/2006/relationships/hyperlink" Target="https://www.nature.com/articles/s41586-026-10929-2" TargetMode="External"/><Relationship Id="rId35" Type="http://schemas.openxmlformats.org/officeDocument/2006/relationships/hyperlink" Target="https://doi.org/10.1038/s41586-026-10929-2" TargetMode="External"/><Relationship Id="rId36" Type="http://schemas.openxmlformats.org/officeDocument/2006/relationships/hyperlink" Target="https://www.nature.com/articles/s41467-026-76078-2" TargetMode="External"/><Relationship Id="rId37" Type="http://schemas.openxmlformats.org/officeDocument/2006/relationships/hyperlink" Target="https://advanced.onlinelibrary.wiley.com/doi/10.1002/aenm.71358?af=R" TargetMode="External"/><Relationship Id="rId38" Type="http://schemas.openxmlformats.org/officeDocument/2006/relationships/hyperlink" Target="https://doi.org/10.1002/aenm.71358" TargetMode="External"/><Relationship Id="rId39" Type="http://schemas.openxmlformats.org/officeDocument/2006/relationships/hyperlink" Target="https://advanced.onlinelibrary.wiley.com/doi/10.1002/aenm.71312?af=R" TargetMode="External"/><Relationship Id="rId40" Type="http://schemas.openxmlformats.org/officeDocument/2006/relationships/hyperlink" Target="https://doi.org/10.1002/aenm.71312" TargetMode="External"/><Relationship Id="rId41" Type="http://schemas.openxmlformats.org/officeDocument/2006/relationships/hyperlink" Target="https://onlinelibrary.wiley.com/doi/10.1002/anie.8307325?af=R" TargetMode="External"/><Relationship Id="rId42" Type="http://schemas.openxmlformats.org/officeDocument/2006/relationships/hyperlink" Target="https://doi.org/10.1002/anie.8307325" TargetMode="External"/><Relationship Id="rId43" Type="http://schemas.openxmlformats.org/officeDocument/2006/relationships/hyperlink" Target="https://advanced.onlinelibrary.wiley.com/doi/10.1002/adma.74243?af=R" TargetMode="External"/><Relationship Id="rId44" Type="http://schemas.openxmlformats.org/officeDocument/2006/relationships/hyperlink" Target="https://doi.org/10.1002/adma.74243" TargetMode="External"/><Relationship Id="rId45" Type="http://schemas.openxmlformats.org/officeDocument/2006/relationships/hyperlink" Target="https://www.sciencedirect.com/science/article/pii/S0306261926011700?dgcid=rss_sd_all" TargetMode="External"/><Relationship Id="rId46" Type="http://schemas.openxmlformats.org/officeDocument/2006/relationships/hyperlink" Target="https://doi.org/10.1016/j.apenergy.2026.128514" TargetMode="External"/><Relationship Id="rId47" Type="http://schemas.openxmlformats.org/officeDocument/2006/relationships/hyperlink" Target="https://advanced.onlinelibrary.wiley.com/doi/10.1002/aenm.71336?af=R" TargetMode="External"/><Relationship Id="rId48" Type="http://schemas.openxmlformats.org/officeDocument/2006/relationships/hyperlink" Target="https://doi.org/10.1002/aenm.71336" TargetMode="External"/><Relationship Id="rId49" Type="http://schemas.openxmlformats.org/officeDocument/2006/relationships/hyperlink" Target="https://www.nature.com/articles/s41586-026-10847-3" TargetMode="External"/><Relationship Id="rId50" Type="http://schemas.openxmlformats.org/officeDocument/2006/relationships/hyperlink" Target="https://doi.org/10.1038/s41586-026-10847-3" TargetMode="External"/><Relationship Id="rId51" Type="http://schemas.openxmlformats.org/officeDocument/2006/relationships/hyperlink" Target="https://www.science.org/doi/abs/10.1126/sciadv.aei2945?af=R" TargetMode="External"/><Relationship Id="rId52" Type="http://schemas.openxmlformats.org/officeDocument/2006/relationships/hyperlink" Target="https://doi.org/10.1126/sciadv.aei2945" TargetMode="External"/><Relationship Id="rId53" Type="http://schemas.openxmlformats.org/officeDocument/2006/relationships/hyperlink" Target="https://www.science.org/doi/abs/10.1126/sciadv.aef6600?af=R" TargetMode="External"/><Relationship Id="rId54" Type="http://schemas.openxmlformats.org/officeDocument/2006/relationships/hyperlink" Target="https://doi.org/10.1126/sciadv.aef6600" TargetMode="External"/><Relationship Id="rId55" Type="http://schemas.openxmlformats.org/officeDocument/2006/relationships/hyperlink" Target="https://advanced.onlinelibrary.wiley.com/doi/10.1002/aenm.71373?af=R" TargetMode="External"/><Relationship Id="rId56" Type="http://schemas.openxmlformats.org/officeDocument/2006/relationships/hyperlink" Target="https://doi.org/10.1002/aenm.71373" TargetMode="External"/><Relationship Id="rId57" Type="http://schemas.openxmlformats.org/officeDocument/2006/relationships/hyperlink" Target="https://www.sciencedirect.com/science/article/pii/S0306261926011311?dgcid=rss_sd_all" TargetMode="External"/><Relationship Id="rId58" Type="http://schemas.openxmlformats.org/officeDocument/2006/relationships/hyperlink" Target="https://doi.org/10.1016/j.apenergy.2026.128475" TargetMode="External"/><Relationship Id="rId59" Type="http://schemas.openxmlformats.org/officeDocument/2006/relationships/hyperlink" Target="https://www.nature.com/articles/s41467-026-76217-9" TargetMode="External"/><Relationship Id="rId60" Type="http://schemas.openxmlformats.org/officeDocument/2006/relationships/hyperlink" Target="https://www.science.org/doi/abs/10.1126/science.aeg1730?af=R" TargetMode="External"/><Relationship Id="rId61" Type="http://schemas.openxmlformats.org/officeDocument/2006/relationships/hyperlink" Target="https://doi.org/10.1126/science.aeg1730" TargetMode="External"/><Relationship Id="rId62" Type="http://schemas.openxmlformats.org/officeDocument/2006/relationships/hyperlink" Target="https://www.science.org/doi/abs/10.1126/science.aed8175?af=R" TargetMode="External"/><Relationship Id="rId63" Type="http://schemas.openxmlformats.org/officeDocument/2006/relationships/hyperlink" Target="https://doi.org/10.1126/science.aed8175" TargetMode="External"/><Relationship Id="rId64" Type="http://schemas.openxmlformats.org/officeDocument/2006/relationships/hyperlink" Target="https://advanced.onlinelibrary.wiley.com/doi/10.1002/adma.74206?af=R" TargetMode="External"/><Relationship Id="rId65" Type="http://schemas.openxmlformats.org/officeDocument/2006/relationships/hyperlink" Target="https://doi.org/10.1002/adma.74206" TargetMode="External"/><Relationship Id="rId66" Type="http://schemas.openxmlformats.org/officeDocument/2006/relationships/hyperlink" Target="https://onlinelibrary.wiley.com/doi/10.1002/anie.8021992?af=R" TargetMode="External"/><Relationship Id="rId67" Type="http://schemas.openxmlformats.org/officeDocument/2006/relationships/hyperlink" Target="https://doi.org/10.1002/anie.8021992" TargetMode="External"/><Relationship Id="rId68" Type="http://schemas.openxmlformats.org/officeDocument/2006/relationships/hyperlink" Target="https://advanced.onlinelibrary.wiley.com/doi/10.1002/adma.74324?af=R" TargetMode="External"/><Relationship Id="rId69" Type="http://schemas.openxmlformats.org/officeDocument/2006/relationships/hyperlink" Target="https://doi.org/10.1002/adma.74324" TargetMode="External"/><Relationship Id="rId70" Type="http://schemas.openxmlformats.org/officeDocument/2006/relationships/hyperlink" Target="https://advanced.onlinelibrary.wiley.com/doi/10.1002/adma.74257?af=R" TargetMode="External"/><Relationship Id="rId71" Type="http://schemas.openxmlformats.org/officeDocument/2006/relationships/hyperlink" Target="https://doi.org/10.1002/adma.74257" TargetMode="External"/><Relationship Id="rId72" Type="http://schemas.openxmlformats.org/officeDocument/2006/relationships/hyperlink" Target="https://advanced.onlinelibrary.wiley.com/doi/10.1002/aenm.71354?af=R" TargetMode="External"/><Relationship Id="rId73" Type="http://schemas.openxmlformats.org/officeDocument/2006/relationships/hyperlink" Target="https://doi.org/10.1002/aenm.71354" TargetMode="External"/><Relationship Id="rId74" Type="http://schemas.openxmlformats.org/officeDocument/2006/relationships/hyperlink" Target="https://advanced.onlinelibrary.wiley.com/doi/10.1002/adma.74296?af=R" TargetMode="External"/><Relationship Id="rId75" Type="http://schemas.openxmlformats.org/officeDocument/2006/relationships/hyperlink" Target="https://doi.org/10.1002/adma.74296" TargetMode="External"/><Relationship Id="rId76" Type="http://schemas.openxmlformats.org/officeDocument/2006/relationships/hyperlink" Target="https://advanced.onlinelibrary.wiley.com/doi/10.1002/adma.74282?af=R" TargetMode="External"/><Relationship Id="rId77" Type="http://schemas.openxmlformats.org/officeDocument/2006/relationships/hyperlink" Target="https://doi.org/10.1002/adma.74282" TargetMode="External"/><Relationship Id="rId78" Type="http://schemas.openxmlformats.org/officeDocument/2006/relationships/hyperlink" Target="https://advanced.onlinelibrary.wiley.com/doi/10.1002/adma.74230?af=R" TargetMode="External"/><Relationship Id="rId79" Type="http://schemas.openxmlformats.org/officeDocument/2006/relationships/hyperlink" Target="https://doi.org/10.1002/adma.74230" TargetMode="External"/><Relationship Id="rId80" Type="http://schemas.openxmlformats.org/officeDocument/2006/relationships/hyperlink" Target="https://advanced.onlinelibrary.wiley.com/doi/10.1002/adma.74373?af=R" TargetMode="External"/><Relationship Id="rId81" Type="http://schemas.openxmlformats.org/officeDocument/2006/relationships/hyperlink" Target="https://doi.org/10.1002/adma.74373" TargetMode="External"/><Relationship Id="rId82" Type="http://schemas.openxmlformats.org/officeDocument/2006/relationships/hyperlink" Target="https://advanced.onlinelibrary.wiley.com/doi/10.1002/adma.74357?af=R" TargetMode="External"/><Relationship Id="rId83" Type="http://schemas.openxmlformats.org/officeDocument/2006/relationships/hyperlink" Target="https://doi.org/10.1002/adma.74357" TargetMode="External"/><Relationship Id="rId84" Type="http://schemas.openxmlformats.org/officeDocument/2006/relationships/hyperlink" Target="https://advanced.onlinelibrary.wiley.com/doi/10.1002/adma.74333?af=R" TargetMode="External"/><Relationship Id="rId85" Type="http://schemas.openxmlformats.org/officeDocument/2006/relationships/hyperlink" Target="https://doi.org/10.1002/adma.74333" TargetMode="External"/><Relationship Id="rId86" Type="http://schemas.openxmlformats.org/officeDocument/2006/relationships/hyperlink" Target="https://advanced.onlinelibrary.wiley.com/doi/10.1002/aenm.71367?af=R" TargetMode="External"/><Relationship Id="rId87" Type="http://schemas.openxmlformats.org/officeDocument/2006/relationships/hyperlink" Target="https://doi.org/10.1002/aenm.71367" TargetMode="External"/><Relationship Id="rId88" Type="http://schemas.openxmlformats.org/officeDocument/2006/relationships/hyperlink" Target="https://advanced.onlinelibrary.wiley.com/doi/10.1002/adma.74394?af=R" TargetMode="External"/><Relationship Id="rId89" Type="http://schemas.openxmlformats.org/officeDocument/2006/relationships/hyperlink" Target="https://doi.org/10.1002/adma.74394" TargetMode="External"/><Relationship Id="rId90" Type="http://schemas.openxmlformats.org/officeDocument/2006/relationships/hyperlink" Target="https://www.nmlett.org/index.php/nml/article/view/2610" TargetMode="External"/><Relationship Id="rId91" Type="http://schemas.openxmlformats.org/officeDocument/2006/relationships/hyperlink" Target="https://doi.org/10.1007/s40820-026-02321-6" TargetMode="External"/><Relationship Id="rId92" Type="http://schemas.openxmlformats.org/officeDocument/2006/relationships/hyperlink" Target="https://www.nmlett.org/index.php/nml/article/view/2612" TargetMode="External"/><Relationship Id="rId93" Type="http://schemas.openxmlformats.org/officeDocument/2006/relationships/hyperlink" Target="https://doi.org/10.1007/s40820-026-02313-6" TargetMode="External"/><Relationship Id="rId94" Type="http://schemas.openxmlformats.org/officeDocument/2006/relationships/hyperlink" Target="https://advanced.onlinelibrary.wiley.com/doi/10.1002/aenm.71359?af=R" TargetMode="External"/><Relationship Id="rId95" Type="http://schemas.openxmlformats.org/officeDocument/2006/relationships/hyperlink" Target="https://doi.org/10.1002/aenm.71359" TargetMode="External"/><Relationship Id="rId96" Type="http://schemas.openxmlformats.org/officeDocument/2006/relationships/hyperlink" Target="https://advanced.onlinelibrary.wiley.com/doi/10.1002/aenm.71377?af=R" TargetMode="External"/><Relationship Id="rId97" Type="http://schemas.openxmlformats.org/officeDocument/2006/relationships/hyperlink" Target="https://doi.org/10.1002/aenm.71377" TargetMode="External"/><Relationship Id="rId98" Type="http://schemas.openxmlformats.org/officeDocument/2006/relationships/hyperlink" Target="https://www.science.org/doi/abs/10.1126/sciadv.aeg5141?af=R" TargetMode="External"/><Relationship Id="rId99" Type="http://schemas.openxmlformats.org/officeDocument/2006/relationships/hyperlink" Target="https://doi.org/10.1126/sciadv.aeg5141" TargetMode="External"/><Relationship Id="rId100" Type="http://schemas.openxmlformats.org/officeDocument/2006/relationships/hyperlink" Target="https://www.science.org/doi/abs/10.1126/sciadv.aef1038?af=R" TargetMode="External"/><Relationship Id="rId101" Type="http://schemas.openxmlformats.org/officeDocument/2006/relationships/hyperlink" Target="https://doi.org/10.1126/sciadv.aef1038" TargetMode="External"/><Relationship Id="rId102" Type="http://schemas.openxmlformats.org/officeDocument/2006/relationships/hyperlink" Target="https://www.nature.com/articles/s41467-026-76060-y" TargetMode="External"/><Relationship Id="rId103" Type="http://schemas.openxmlformats.org/officeDocument/2006/relationships/hyperlink" Target="https://advanced.onlinelibrary.wiley.com/doi/10.1002/aenm.71339?af=R" TargetMode="External"/><Relationship Id="rId104" Type="http://schemas.openxmlformats.org/officeDocument/2006/relationships/hyperlink" Target="https://doi.org/10.1002/aenm.71339" TargetMode="External"/><Relationship Id="rId105" Type="http://schemas.openxmlformats.org/officeDocument/2006/relationships/hyperlink" Target="https://advanced.onlinelibrary.wiley.com/doi/10.1002/adma.74286?af=R" TargetMode="External"/><Relationship Id="rId106" Type="http://schemas.openxmlformats.org/officeDocument/2006/relationships/hyperlink" Target="https://doi.org/10.1002/adma.74286" TargetMode="External"/><Relationship Id="rId107" Type="http://schemas.openxmlformats.org/officeDocument/2006/relationships/hyperlink" Target="https://pubs.acs.org/doi/10.1021/acsenergylett.6c01543" TargetMode="External"/><Relationship Id="rId108" Type="http://schemas.openxmlformats.org/officeDocument/2006/relationships/hyperlink" Target="https://doi.org/10.1021/acsenergylett.6c01543" TargetMode="External"/><Relationship Id="rId109" Type="http://schemas.openxmlformats.org/officeDocument/2006/relationships/hyperlink" Target="https://advanced.onlinelibrary.wiley.com/doi/10.1002/aenm.71342?af=R" TargetMode="External"/><Relationship Id="rId110" Type="http://schemas.openxmlformats.org/officeDocument/2006/relationships/hyperlink" Target="https://doi.org/10.1002/aenm.71342" TargetMode="External"/><Relationship Id="rId111" Type="http://schemas.openxmlformats.org/officeDocument/2006/relationships/hyperlink" Target="https://advanced.onlinelibrary.wiley.com/doi/10.1002/aenm.71369?af=R" TargetMode="External"/><Relationship Id="rId112" Type="http://schemas.openxmlformats.org/officeDocument/2006/relationships/hyperlink" Target="https://doi.org/10.1002/aenm.71369" TargetMode="External"/><Relationship Id="rId113" Type="http://schemas.openxmlformats.org/officeDocument/2006/relationships/hyperlink" Target="https://advanced.onlinelibrary.wiley.com/doi/10.1002/adma.74314?af=R" TargetMode="External"/><Relationship Id="rId114" Type="http://schemas.openxmlformats.org/officeDocument/2006/relationships/hyperlink" Target="https://doi.org/10.1002/adma.74314" TargetMode="External"/><Relationship Id="rId115" Type="http://schemas.openxmlformats.org/officeDocument/2006/relationships/hyperlink" Target="https://advanced.onlinelibrary.wiley.com/doi/10.1002/adma.74338?af=R" TargetMode="External"/><Relationship Id="rId116" Type="http://schemas.openxmlformats.org/officeDocument/2006/relationships/hyperlink" Target="https://doi.org/10.1002/adma.74338" TargetMode="External"/><Relationship Id="rId117" Type="http://schemas.openxmlformats.org/officeDocument/2006/relationships/hyperlink" Target="https://onlinelibrary.wiley.com/doi/10.1002/anie.2482042?af=R" TargetMode="External"/><Relationship Id="rId118" Type="http://schemas.openxmlformats.org/officeDocument/2006/relationships/hyperlink" Target="https://doi.org/10.1002/anie.2482042" TargetMode="External"/><Relationship Id="rId119" Type="http://schemas.openxmlformats.org/officeDocument/2006/relationships/hyperlink" Target="https://www.nature.com/articles/s41586-026-10862-4" TargetMode="External"/><Relationship Id="rId120" Type="http://schemas.openxmlformats.org/officeDocument/2006/relationships/hyperlink" Target="https://doi.org/10.1038/s41586-026-10862-4" TargetMode="External"/><Relationship Id="rId121" Type="http://schemas.openxmlformats.org/officeDocument/2006/relationships/hyperlink" Target="https://advanced.onlinelibrary.wiley.com/doi/10.1002/adma.74276?af=R" TargetMode="External"/><Relationship Id="rId122" Type="http://schemas.openxmlformats.org/officeDocument/2006/relationships/hyperlink" Target="https://doi.org/10.1002/adma.74276" TargetMode="External"/><Relationship Id="rId123" Type="http://schemas.openxmlformats.org/officeDocument/2006/relationships/hyperlink" Target="https://advanced.onlinelibrary.wiley.com/doi/10.1002/adma.74289?af=R" TargetMode="External"/><Relationship Id="rId124" Type="http://schemas.openxmlformats.org/officeDocument/2006/relationships/hyperlink" Target="https://doi.org/10.1002/adma.74289" TargetMode="External"/><Relationship Id="rId125" Type="http://schemas.openxmlformats.org/officeDocument/2006/relationships/hyperlink" Target="https://onlinelibrary.wiley.com/doi/10.1002/anie.8176173?af=R" TargetMode="External"/><Relationship Id="rId126" Type="http://schemas.openxmlformats.org/officeDocument/2006/relationships/hyperlink" Target="https://doi.org/10.1002/anie.8176173" TargetMode="External"/><Relationship Id="rId127" Type="http://schemas.openxmlformats.org/officeDocument/2006/relationships/hyperlink" Target="https://advanced.onlinelibrary.wiley.com/doi/10.1002/aenm.71376?af=R" TargetMode="External"/><Relationship Id="rId128" Type="http://schemas.openxmlformats.org/officeDocument/2006/relationships/hyperlink" Target="https://doi.org/10.1002/aenm.71376" TargetMode="External"/><Relationship Id="rId129" Type="http://schemas.openxmlformats.org/officeDocument/2006/relationships/hyperlink" Target="https://advanced.onlinelibrary.wiley.com/doi/10.1002/aenm.71362?af=R" TargetMode="External"/><Relationship Id="rId130" Type="http://schemas.openxmlformats.org/officeDocument/2006/relationships/hyperlink" Target="https://doi.org/10.1002/aenm.71362" TargetMode="External"/><Relationship Id="rId131" Type="http://schemas.openxmlformats.org/officeDocument/2006/relationships/hyperlink" Target="https://advanced.onlinelibrary.wiley.com/doi/10.1002/aenm.71360?af=R" TargetMode="External"/><Relationship Id="rId132" Type="http://schemas.openxmlformats.org/officeDocument/2006/relationships/hyperlink" Target="https://doi.org/10.1002/aenm.71360" TargetMode="External"/><Relationship Id="rId133" Type="http://schemas.openxmlformats.org/officeDocument/2006/relationships/hyperlink" Target="https://onlinelibrary.wiley.com/doi/10.1002/anie.2915160?af=R" TargetMode="External"/><Relationship Id="rId134" Type="http://schemas.openxmlformats.org/officeDocument/2006/relationships/hyperlink" Target="https://doi.org/10.1002/anie.2915160" TargetMode="External"/><Relationship Id="rId135" Type="http://schemas.openxmlformats.org/officeDocument/2006/relationships/hyperlink" Target="https://advanced.onlinelibrary.wiley.com/doi/10.1002/adma.74299?af=R" TargetMode="External"/><Relationship Id="rId136" Type="http://schemas.openxmlformats.org/officeDocument/2006/relationships/hyperlink" Target="https://doi.org/10.1002/adma.74299" TargetMode="External"/><Relationship Id="rId137" Type="http://schemas.openxmlformats.org/officeDocument/2006/relationships/hyperlink" Target="https://pubs.acs.org/doi/10.1021/jacs.6c08260" TargetMode="External"/><Relationship Id="rId138" Type="http://schemas.openxmlformats.org/officeDocument/2006/relationships/hyperlink" Target="https://doi.org/10.1021/jacs.6c08260" TargetMode="External"/><Relationship Id="rId139" Type="http://schemas.openxmlformats.org/officeDocument/2006/relationships/hyperlink" Target="https://www.nature.com/articles/s41557-026-02221-7" TargetMode="External"/><Relationship Id="rId140" Type="http://schemas.openxmlformats.org/officeDocument/2006/relationships/hyperlink" Target="https://doi.org/10.1038/s41557-026-02221-7" TargetMode="External"/><Relationship Id="rId141" Type="http://schemas.openxmlformats.org/officeDocument/2006/relationships/hyperlink" Target="https://pubs.acs.org/doi/10.1021/jacs.6c04480" TargetMode="External"/><Relationship Id="rId142" Type="http://schemas.openxmlformats.org/officeDocument/2006/relationships/hyperlink" Target="https://doi.org/10.1021/jacs.6c04480" TargetMode="External"/><Relationship Id="rId143" Type="http://schemas.openxmlformats.org/officeDocument/2006/relationships/hyperlink" Target="https://www.nmlett.org/index.php/nml/article/view/2608" TargetMode="External"/><Relationship Id="rId144" Type="http://schemas.openxmlformats.org/officeDocument/2006/relationships/hyperlink" Target="https://doi.org/10.1007/s40820-026-02314-5" TargetMode="External"/><Relationship Id="rId145" Type="http://schemas.openxmlformats.org/officeDocument/2006/relationships/hyperlink" Target="https://www.nature.com/articles/s41586-026-10945-2" TargetMode="External"/><Relationship Id="rId146" Type="http://schemas.openxmlformats.org/officeDocument/2006/relationships/hyperlink" Target="https://doi.org/10.1038/s41586-026-10945-2" TargetMode="External"/><Relationship Id="rId147" Type="http://schemas.openxmlformats.org/officeDocument/2006/relationships/hyperlink" Target="https://advanced.onlinelibrary.wiley.com/doi/10.1002/aenm.71332?af=R" TargetMode="External"/><Relationship Id="rId148" Type="http://schemas.openxmlformats.org/officeDocument/2006/relationships/hyperlink" Target="https://doi.org/10.1002/aenm.71332" TargetMode="External"/><Relationship Id="rId149" Type="http://schemas.openxmlformats.org/officeDocument/2006/relationships/hyperlink" Target="https://advanced.onlinelibrary.wiley.com/doi/10.1002/adma.74309?af=R" TargetMode="External"/><Relationship Id="rId150" Type="http://schemas.openxmlformats.org/officeDocument/2006/relationships/hyperlink" Target="https://doi.org/10.1002/adma.74309" TargetMode="External"/><Relationship Id="rId151" Type="http://schemas.openxmlformats.org/officeDocument/2006/relationships/hyperlink" Target="https://onlinelibrary.wiley.com/doi/10.1002/anie.9405074?af=R" TargetMode="External"/><Relationship Id="rId152" Type="http://schemas.openxmlformats.org/officeDocument/2006/relationships/hyperlink" Target="https://doi.org/10.1002/anie.9405074" TargetMode="External"/><Relationship Id="rId153" Type="http://schemas.openxmlformats.org/officeDocument/2006/relationships/hyperlink" Target="https://www.nature.com/articles/s41467-026-75929-2" TargetMode="External"/><Relationship Id="rId154" Type="http://schemas.openxmlformats.org/officeDocument/2006/relationships/hyperlink" Target="https://advanced.onlinelibrary.wiley.com/doi/10.1002/aenm.71326?af=R" TargetMode="External"/><Relationship Id="rId155" Type="http://schemas.openxmlformats.org/officeDocument/2006/relationships/hyperlink" Target="https://doi.org/10.1002/aenm.71326" TargetMode="External"/><Relationship Id="rId156" Type="http://schemas.openxmlformats.org/officeDocument/2006/relationships/hyperlink" Target="https://www.sciencedirect.com/science/article/pii/S0306261926011529?dgcid=rss_sd_all" TargetMode="External"/><Relationship Id="rId157" Type="http://schemas.openxmlformats.org/officeDocument/2006/relationships/hyperlink" Target="https://doi.org/10.1016/j.apenergy.2026.128496" TargetMode="External"/><Relationship Id="rId158" Type="http://schemas.openxmlformats.org/officeDocument/2006/relationships/hyperlink" Target="https://advanced.onlinelibrary.wiley.com/doi/10.1002/adma.74334?af=R" TargetMode="External"/><Relationship Id="rId159" Type="http://schemas.openxmlformats.org/officeDocument/2006/relationships/hyperlink" Target="https://doi.org/10.1002/adma.74334" TargetMode="External"/><Relationship Id="rId160" Type="http://schemas.openxmlformats.org/officeDocument/2006/relationships/hyperlink" Target="https://pubs.acs.org/doi/10.1021/acsami.6c10656" TargetMode="External"/><Relationship Id="rId161" Type="http://schemas.openxmlformats.org/officeDocument/2006/relationships/hyperlink" Target="https://doi.org/10.1021/acsami.6c10656" TargetMode="External"/><Relationship Id="rId162" Type="http://schemas.openxmlformats.org/officeDocument/2006/relationships/hyperlink" Target="https://www.sciencedirect.com/science/article/pii/S0306261926011074?dgcid=rss_sd_all" TargetMode="External"/><Relationship Id="rId163" Type="http://schemas.openxmlformats.org/officeDocument/2006/relationships/hyperlink" Target="https://doi.org/10.1016/j.apenergy.2026.128451" TargetMode="External"/><Relationship Id="rId164" Type="http://schemas.openxmlformats.org/officeDocument/2006/relationships/hyperlink" Target="https://www.nature.com/articles/s41578-026-00947-x" TargetMode="External"/><Relationship Id="rId165" Type="http://schemas.openxmlformats.org/officeDocument/2006/relationships/hyperlink" Target="https://doi.org/10.1038/s41578-026-00947-x" TargetMode="External"/><Relationship Id="rId166" Type="http://schemas.openxmlformats.org/officeDocument/2006/relationships/hyperlink" Target="https://www.sciencedirect.com/science/article/pii/S0306261926011608?dgcid=rss_sd_all" TargetMode="External"/><Relationship Id="rId167" Type="http://schemas.openxmlformats.org/officeDocument/2006/relationships/hyperlink" Target="https://doi.org/10.1016/j.apenergy.2026.128504" TargetMode="External"/><Relationship Id="rId168" Type="http://schemas.openxmlformats.org/officeDocument/2006/relationships/hyperlink" Target="https://www.sciencedirect.com/science/article/pii/S0306261926011748?dgcid=rss_sd_all" TargetMode="External"/><Relationship Id="rId169" Type="http://schemas.openxmlformats.org/officeDocument/2006/relationships/hyperlink" Target="https://doi.org/10.1016/j.apenergy.2026.128518" TargetMode="External"/><Relationship Id="rId170" Type="http://schemas.openxmlformats.org/officeDocument/2006/relationships/hyperlink" Target="https://www.sciencedirect.com/science/article/pii/S0306261926011803?dgcid=rss_sd_all" TargetMode="External"/><Relationship Id="rId171" Type="http://schemas.openxmlformats.org/officeDocument/2006/relationships/hyperlink" Target="https://doi.org/10.1016/j.apenergy.2026.128524" TargetMode="External"/><Relationship Id="rId172" Type="http://schemas.openxmlformats.org/officeDocument/2006/relationships/hyperlink" Target="https://www.science.org/doi/abs/10.1126/sciadv.aec5358?af=R" TargetMode="External"/><Relationship Id="rId173" Type="http://schemas.openxmlformats.org/officeDocument/2006/relationships/hyperlink" Target="https://doi.org/10.1126/sciadv.aec5358" TargetMode="External"/><Relationship Id="rId174" Type="http://schemas.openxmlformats.org/officeDocument/2006/relationships/hyperlink" Target="https://advanced.onlinelibrary.wiley.com/doi/10.1002/aenm.71191?af=R" TargetMode="External"/><Relationship Id="rId175" Type="http://schemas.openxmlformats.org/officeDocument/2006/relationships/hyperlink" Target="https://doi.org/10.1002/aenm.71191" TargetMode="External"/><Relationship Id="rId176" Type="http://schemas.openxmlformats.org/officeDocument/2006/relationships/hyperlink" Target="https://onlinelibrary.wiley.com/doi/10.1002/anie.8135011?af=R" TargetMode="External"/><Relationship Id="rId177" Type="http://schemas.openxmlformats.org/officeDocument/2006/relationships/hyperlink" Target="https://doi.org/10.1002/anie.8135011" TargetMode="External"/><Relationship Id="rId178" Type="http://schemas.openxmlformats.org/officeDocument/2006/relationships/hyperlink" Target="https://advanced.onlinelibrary.wiley.com/doi/10.1002/adma.74302?af=R" TargetMode="External"/><Relationship Id="rId179" Type="http://schemas.openxmlformats.org/officeDocument/2006/relationships/hyperlink" Target="https://doi.org/10.1002/adma.74302" TargetMode="External"/><Relationship Id="rId180" Type="http://schemas.openxmlformats.org/officeDocument/2006/relationships/hyperlink" Target="https://advanced.onlinelibrary.wiley.com/doi/10.1002/adma.74274?af=R" TargetMode="External"/><Relationship Id="rId181" Type="http://schemas.openxmlformats.org/officeDocument/2006/relationships/hyperlink" Target="https://doi.org/10.1002/adma.74274" TargetMode="External"/><Relationship Id="rId182" Type="http://schemas.openxmlformats.org/officeDocument/2006/relationships/hyperlink" Target="https://onlinelibrary.wiley.com/doi/10.1002/anie.8407735?af=R" TargetMode="External"/><Relationship Id="rId183" Type="http://schemas.openxmlformats.org/officeDocument/2006/relationships/hyperlink" Target="https://doi.org/10.1002/anie.8407735" TargetMode="External"/><Relationship Id="rId184" Type="http://schemas.openxmlformats.org/officeDocument/2006/relationships/hyperlink" Target="https://advanced.onlinelibrary.wiley.com/doi/10.1002/aenm.71355?af=R" TargetMode="External"/><Relationship Id="rId185" Type="http://schemas.openxmlformats.org/officeDocument/2006/relationships/hyperlink" Target="https://doi.org/10.1002/aenm.71355" TargetMode="External"/><Relationship Id="rId186" Type="http://schemas.openxmlformats.org/officeDocument/2006/relationships/hyperlink" Target="https://advanced.onlinelibrary.wiley.com/doi/10.1002/adma.74157?af=R" TargetMode="External"/><Relationship Id="rId187" Type="http://schemas.openxmlformats.org/officeDocument/2006/relationships/hyperlink" Target="https://doi.org/10.1002/adma.74157" TargetMode="External"/><Relationship Id="rId188" Type="http://schemas.openxmlformats.org/officeDocument/2006/relationships/hyperlink" Target="https://advanced.onlinelibrary.wiley.com/doi/10.1002/adma.74329?af=R" TargetMode="External"/><Relationship Id="rId189" Type="http://schemas.openxmlformats.org/officeDocument/2006/relationships/hyperlink" Target="https://doi.org/10.1002/adma.74329" TargetMode="External"/><Relationship Id="rId190" Type="http://schemas.openxmlformats.org/officeDocument/2006/relationships/hyperlink" Target="https://advanced.onlinelibrary.wiley.com/doi/10.1002/adma.74343?af=R" TargetMode="External"/><Relationship Id="rId191" Type="http://schemas.openxmlformats.org/officeDocument/2006/relationships/hyperlink" Target="https://doi.org/10.1002/adma.74343" TargetMode="External"/><Relationship Id="rId192" Type="http://schemas.openxmlformats.org/officeDocument/2006/relationships/hyperlink" Target="https://www.nature.com/articles/s41560-026-02117-3" TargetMode="External"/><Relationship Id="rId193" Type="http://schemas.openxmlformats.org/officeDocument/2006/relationships/hyperlink" Target="https://doi.org/10.1038/s41560-026-02117-3" TargetMode="External"/><Relationship Id="rId194" Type="http://schemas.openxmlformats.org/officeDocument/2006/relationships/hyperlink" Target="https://www.nature.com/articles/s41467-026-76085-3" TargetMode="External"/><Relationship Id="rId195" Type="http://schemas.openxmlformats.org/officeDocument/2006/relationships/hyperlink" Target="https://www.nature.com/articles/s41467-026-76116-z" TargetMode="External"/><Relationship Id="rId196" Type="http://schemas.openxmlformats.org/officeDocument/2006/relationships/hyperlink" Target="https://advanced.onlinelibrary.wiley.com/doi/10.1002/aenm.71344?af=R" TargetMode="External"/><Relationship Id="rId197" Type="http://schemas.openxmlformats.org/officeDocument/2006/relationships/hyperlink" Target="https://doi.org/10.1002/aenm.71344" TargetMode="External"/><Relationship Id="rId198" Type="http://schemas.openxmlformats.org/officeDocument/2006/relationships/hyperlink" Target="https://onlinelibrary.wiley.com/doi/10.1002/anie.8705276?af=R" TargetMode="External"/><Relationship Id="rId199" Type="http://schemas.openxmlformats.org/officeDocument/2006/relationships/hyperlink" Target="https://doi.org/10.1002/anie.8705276" TargetMode="External"/><Relationship Id="rId200" Type="http://schemas.openxmlformats.org/officeDocument/2006/relationships/hyperlink" Target="https://www.nature.com/articles/d41586-026-02127-x" TargetMode="External"/><Relationship Id="rId201" Type="http://schemas.openxmlformats.org/officeDocument/2006/relationships/hyperlink" Target="https://doi.org/10.1038/d41586-026-02127-x" TargetMode="External"/><Relationship Id="rId202" Type="http://schemas.openxmlformats.org/officeDocument/2006/relationships/hyperlink" Target="https://www.nature.com/articles/s41586-026-10839-3" TargetMode="External"/><Relationship Id="rId203" Type="http://schemas.openxmlformats.org/officeDocument/2006/relationships/hyperlink" Target="https://doi.org/10.1038/s41586-026-10839-3" TargetMode="External"/><Relationship Id="rId204" Type="http://schemas.openxmlformats.org/officeDocument/2006/relationships/hyperlink" Target="https://academic.oup.com/nsr/advance-article/doi/10.1093/nsr/nwag459/8746764?rss=1" TargetMode="External"/><Relationship Id="rId205" Type="http://schemas.openxmlformats.org/officeDocument/2006/relationships/hyperlink" Target="https://doi.org/10.1093/nsr/nwag459" TargetMode="External"/><Relationship Id="rId206" Type="http://schemas.openxmlformats.org/officeDocument/2006/relationships/hyperlink" Target="http://link.aps.org/doi/10.1103/f591-hx6x" TargetMode="External"/><Relationship Id="rId207" Type="http://schemas.openxmlformats.org/officeDocument/2006/relationships/hyperlink" Target="https://doi.org/10.1103/f591-hx6x" TargetMode="External"/><Relationship Id="rId208" Type="http://schemas.openxmlformats.org/officeDocument/2006/relationships/hyperlink" Target="https://www.sciencedirect.com/science/article/pii/S0306261926012134?dgcid=rss_sd_all" TargetMode="External"/><Relationship Id="rId209" Type="http://schemas.openxmlformats.org/officeDocument/2006/relationships/hyperlink" Target="https://doi.org/10.1016/j.apenergy.2026.128557" TargetMode="External"/><Relationship Id="rId210" Type="http://schemas.openxmlformats.org/officeDocument/2006/relationships/hyperlink" Target="https://advanced.onlinelibrary.wiley.com/doi/10.1002/aenm.71357?af=R" TargetMode="External"/><Relationship Id="rId211" Type="http://schemas.openxmlformats.org/officeDocument/2006/relationships/hyperlink" Target="https://doi.org/10.1002/aenm.71357" TargetMode="External"/><Relationship Id="rId212" Type="http://schemas.openxmlformats.org/officeDocument/2006/relationships/hyperlink" Target="https://www.sciencedirect.com/science/article/pii/S0306261926010731?dgcid=rss_sd_all" TargetMode="External"/><Relationship Id="rId213" Type="http://schemas.openxmlformats.org/officeDocument/2006/relationships/hyperlink" Target="https://doi.org/10.1016/j.apenergy.2026.128419" TargetMode="External"/><Relationship Id="rId214" Type="http://schemas.openxmlformats.org/officeDocument/2006/relationships/hyperlink" Target="https://advanced.onlinelibrary.wiley.com/doi/10.1002/adma.74295?af=R" TargetMode="External"/><Relationship Id="rId215" Type="http://schemas.openxmlformats.org/officeDocument/2006/relationships/hyperlink" Target="https://doi.org/10.1002/adma.74295" TargetMode="External"/><Relationship Id="rId216" Type="http://schemas.openxmlformats.org/officeDocument/2006/relationships/hyperlink" Target="https://www.nature.com/articles/s41467-026-76056-8" TargetMode="External"/><Relationship Id="rId217" Type="http://schemas.openxmlformats.org/officeDocument/2006/relationships/hyperlink" Target="https://www.sciencedirect.com/science/article/pii/S0306261926011451?dgcid=rss_sd_all" TargetMode="External"/><Relationship Id="rId218" Type="http://schemas.openxmlformats.org/officeDocument/2006/relationships/hyperlink" Target="https://doi.org/10.1016/j.apenergy.2026.128489" TargetMode="External"/><Relationship Id="rId219" Type="http://schemas.openxmlformats.org/officeDocument/2006/relationships/hyperlink" Target="https://www.sciencedirect.com/science/article/pii/S0306261926011645?dgcid=rss_sd_all" TargetMode="External"/><Relationship Id="rId220" Type="http://schemas.openxmlformats.org/officeDocument/2006/relationships/hyperlink" Target="https://doi.org/10.1016/j.apenergy.2026.128508" TargetMode="External"/><Relationship Id="rId221" Type="http://schemas.openxmlformats.org/officeDocument/2006/relationships/hyperlink" Target="https://advanced.onlinelibrary.wiley.com/doi/10.1002/adma.74271?af=R" TargetMode="External"/><Relationship Id="rId222" Type="http://schemas.openxmlformats.org/officeDocument/2006/relationships/hyperlink" Target="https://doi.org/10.1002/adma.74271" TargetMode="External"/><Relationship Id="rId223" Type="http://schemas.openxmlformats.org/officeDocument/2006/relationships/hyperlink" Target="https://www.sciencedirect.com/science/article/pii/S030626192601144X?dgcid=rss_sd_all" TargetMode="External"/><Relationship Id="rId224" Type="http://schemas.openxmlformats.org/officeDocument/2006/relationships/hyperlink" Target="https://doi.org/10.1016/j.apenergy.2026.128488" TargetMode="External"/><Relationship Id="rId225" Type="http://schemas.openxmlformats.org/officeDocument/2006/relationships/hyperlink" Target="https://advanced.onlinelibrary.wiley.com/doi/10.1002/adma.74234?af=R" TargetMode="External"/><Relationship Id="rId226" Type="http://schemas.openxmlformats.org/officeDocument/2006/relationships/hyperlink" Target="https://doi.org/10.1002/adma.74234" TargetMode="External"/><Relationship Id="rId227" Type="http://schemas.openxmlformats.org/officeDocument/2006/relationships/hyperlink" Target="https://advanced.onlinelibrary.wiley.com/doi/10.1002/adma.74359?af=R" TargetMode="External"/><Relationship Id="rId228" Type="http://schemas.openxmlformats.org/officeDocument/2006/relationships/hyperlink" Target="https://doi.org/10.1002/adma.74359" TargetMode="External"/><Relationship Id="rId229" Type="http://schemas.openxmlformats.org/officeDocument/2006/relationships/hyperlink" Target="https://onlinelibrary.wiley.com/doi/10.1002/anie.2307998?af=R" TargetMode="External"/><Relationship Id="rId230" Type="http://schemas.openxmlformats.org/officeDocument/2006/relationships/hyperlink" Target="https://doi.org/10.1002/anie.2307998" TargetMode="External"/><Relationship Id="rId231" Type="http://schemas.openxmlformats.org/officeDocument/2006/relationships/hyperlink" Target="https://www.sciencedirect.com/science/article/pii/S0306261926012018?dgcid=rss_sd_all" TargetMode="External"/><Relationship Id="rId232" Type="http://schemas.openxmlformats.org/officeDocument/2006/relationships/hyperlink" Target="https://doi.org/10.1016/j.apenergy.2026.128545" TargetMode="External"/><Relationship Id="rId233" Type="http://schemas.openxmlformats.org/officeDocument/2006/relationships/hyperlink" Target="https://www.nature.com/articles/s41467-026-76043-z" TargetMode="External"/><Relationship Id="rId234" Type="http://schemas.openxmlformats.org/officeDocument/2006/relationships/hyperlink" Target="https://iopscience.iop.org/article/10.1088/1741-4326/ae8607" TargetMode="External"/><Relationship Id="rId235" Type="http://schemas.openxmlformats.org/officeDocument/2006/relationships/hyperlink" Target="https://doi.org/10.1088/1741-4326/ae8607" TargetMode="External"/><Relationship Id="rId236" Type="http://schemas.openxmlformats.org/officeDocument/2006/relationships/hyperlink" Target="https://www.nature.com/articles/s41467-026-75930-9" TargetMode="External"/><Relationship Id="rId237" Type="http://schemas.openxmlformats.org/officeDocument/2006/relationships/hyperlink" Target="https://iopscience.iop.org/article/10.1088/1741-4326/ae89c9" TargetMode="External"/><Relationship Id="rId238" Type="http://schemas.openxmlformats.org/officeDocument/2006/relationships/hyperlink" Target="https://doi.org/10.1088/1741-4326/ae89c9" TargetMode="External"/><Relationship Id="rId239" Type="http://schemas.openxmlformats.org/officeDocument/2006/relationships/hyperlink" Target="http://link.aps.org/doi/10.1103/bn6f-7cr2" TargetMode="External"/><Relationship Id="rId240" Type="http://schemas.openxmlformats.org/officeDocument/2006/relationships/hyperlink" Target="https://doi.org/10.1103/bn6f-7cr2" TargetMode="External"/><Relationship Id="rId241" Type="http://schemas.openxmlformats.org/officeDocument/2006/relationships/hyperlink" Target="http://link.aps.org/doi/10.1103/vhms-qgr4" TargetMode="External"/><Relationship Id="rId242" Type="http://schemas.openxmlformats.org/officeDocument/2006/relationships/hyperlink" Target="https://doi.org/10.1103/vhms-qgr4" TargetMode="External"/><Relationship Id="rId243" Type="http://schemas.openxmlformats.org/officeDocument/2006/relationships/hyperlink" Target="https://iopscience.iop.org/article/10.1088/1741-4326/ae8fe7" TargetMode="External"/><Relationship Id="rId244" Type="http://schemas.openxmlformats.org/officeDocument/2006/relationships/hyperlink" Target="https://doi.org/10.1088/1741-4326/ae8fe7" TargetMode="External"/><Relationship Id="rId245" Type="http://schemas.openxmlformats.org/officeDocument/2006/relationships/hyperlink" Target="https://iopscience.iop.org/article/10.1088/1741-4326/ae855d" TargetMode="External"/><Relationship Id="rId246" Type="http://schemas.openxmlformats.org/officeDocument/2006/relationships/hyperlink" Target="https://doi.org/10.1088/1741-4326/ae855d" TargetMode="External"/><Relationship Id="rId247" Type="http://schemas.openxmlformats.org/officeDocument/2006/relationships/hyperlink" Target="https://www.nature.com/articles/s41467-026-75910-z" TargetMode="External"/><Relationship Id="rId248" Type="http://schemas.openxmlformats.org/officeDocument/2006/relationships/hyperlink" Target="https://www.sciencedirect.com/science/article/pii/S0306261926011323?dgcid=rss_sd_all" TargetMode="External"/><Relationship Id="rId249" Type="http://schemas.openxmlformats.org/officeDocument/2006/relationships/hyperlink" Target="https://doi.org/10.1016/j.apenergy.2026.128476" TargetMode="External"/><Relationship Id="rId250" Type="http://schemas.openxmlformats.org/officeDocument/2006/relationships/hyperlink" Target="https://www.sciencedirect.com/science/article/pii/S0306261926010998?dgcid=rss_sd_all" TargetMode="External"/><Relationship Id="rId251" Type="http://schemas.openxmlformats.org/officeDocument/2006/relationships/hyperlink" Target="https://doi.org/10.1016/j.apenergy.2026.128445" TargetMode="External"/><Relationship Id="rId252" Type="http://schemas.openxmlformats.org/officeDocument/2006/relationships/hyperlink" Target="https://www.sciencedirect.com/science/article/pii/S0306261926011189?dgcid=rss_sd_all" TargetMode="External"/><Relationship Id="rId253" Type="http://schemas.openxmlformats.org/officeDocument/2006/relationships/hyperlink" Target="https://doi.org/10.1016/j.apenergy.2026.128462" TargetMode="External"/><Relationship Id="rId254" Type="http://schemas.openxmlformats.org/officeDocument/2006/relationships/hyperlink" Target="https://www.sciencedirect.com/science/article/pii/S0306261926011116?dgcid=rss_sd_all" TargetMode="External"/><Relationship Id="rId255" Type="http://schemas.openxmlformats.org/officeDocument/2006/relationships/hyperlink" Target="https://doi.org/10.1016/j.apenergy.2026.128455" TargetMode="External"/><Relationship Id="rId256" Type="http://schemas.openxmlformats.org/officeDocument/2006/relationships/hyperlink" Target="https://www.sciencedirect.com/science/article/pii/S0306261926010652?dgcid=rss_sd_all" TargetMode="External"/><Relationship Id="rId257" Type="http://schemas.openxmlformats.org/officeDocument/2006/relationships/hyperlink" Target="https://doi.org/10.1016/j.apenergy.2026.128411" TargetMode="External"/><Relationship Id="rId258" Type="http://schemas.openxmlformats.org/officeDocument/2006/relationships/hyperlink" Target="https://www.sciencedirect.com/science/article/pii/S0306261926011621?dgcid=rss_sd_all" TargetMode="External"/><Relationship Id="rId259" Type="http://schemas.openxmlformats.org/officeDocument/2006/relationships/hyperlink" Target="https://doi.org/10.1016/j.apenergy.2026.128506" TargetMode="External"/><Relationship Id="rId260" Type="http://schemas.openxmlformats.org/officeDocument/2006/relationships/hyperlink" Target="https://advanced.onlinelibrary.wiley.com/doi/10.1002/aenm.71190?af=R" TargetMode="External"/><Relationship Id="rId261" Type="http://schemas.openxmlformats.org/officeDocument/2006/relationships/hyperlink" Target="https://doi.org/10.1002/aenm.71190" TargetMode="External"/><Relationship Id="rId262" Type="http://schemas.openxmlformats.org/officeDocument/2006/relationships/hyperlink" Target="https://advanced.onlinelibrary.wiley.com/doi/10.1002/aenm.71331?af=R" TargetMode="External"/><Relationship Id="rId263" Type="http://schemas.openxmlformats.org/officeDocument/2006/relationships/hyperlink" Target="https://doi.org/10.1002/aenm.71331" TargetMode="External"/><Relationship Id="rId264" Type="http://schemas.openxmlformats.org/officeDocument/2006/relationships/hyperlink" Target="https://onlinelibrary.wiley.com/doi/10.1002/anie.1030679?af=R" TargetMode="External"/><Relationship Id="rId265" Type="http://schemas.openxmlformats.org/officeDocument/2006/relationships/hyperlink" Target="https://doi.org/10.1002/anie.1030679" TargetMode="External"/><Relationship Id="rId266" Type="http://schemas.openxmlformats.org/officeDocument/2006/relationships/hyperlink" Target="https://onlinelibrary.wiley.com/doi/10.1002/anie.9794796?af=R" TargetMode="External"/><Relationship Id="rId267" Type="http://schemas.openxmlformats.org/officeDocument/2006/relationships/hyperlink" Target="https://doi.org/10.1002/anie.9794796" TargetMode="External"/><Relationship Id="rId268" Type="http://schemas.openxmlformats.org/officeDocument/2006/relationships/hyperlink" Target="https://onlinelibrary.wiley.com/doi/10.1002/anie.9669690?af=R" TargetMode="External"/><Relationship Id="rId269" Type="http://schemas.openxmlformats.org/officeDocument/2006/relationships/hyperlink" Target="https://doi.org/10.1002/anie.9669690" TargetMode="External"/><Relationship Id="rId270" Type="http://schemas.openxmlformats.org/officeDocument/2006/relationships/hyperlink" Target="https://onlinelibrary.wiley.com/doi/10.1002/anie.1512549?af=R" TargetMode="External"/><Relationship Id="rId271" Type="http://schemas.openxmlformats.org/officeDocument/2006/relationships/hyperlink" Target="https://doi.org/10.1002/anie.1512549" TargetMode="External"/><Relationship Id="rId272" Type="http://schemas.openxmlformats.org/officeDocument/2006/relationships/hyperlink" Target="https://advanced.onlinelibrary.wiley.com/doi/10.1002/adma.74224?af=R" TargetMode="External"/><Relationship Id="rId273" Type="http://schemas.openxmlformats.org/officeDocument/2006/relationships/hyperlink" Target="https://doi.org/10.1002/adma.74224" TargetMode="External"/><Relationship Id="rId274" Type="http://schemas.openxmlformats.org/officeDocument/2006/relationships/hyperlink" Target="https://advanced.onlinelibrary.wiley.com/doi/10.1002/adma.74323?af=R" TargetMode="External"/><Relationship Id="rId275" Type="http://schemas.openxmlformats.org/officeDocument/2006/relationships/hyperlink" Target="https://doi.org/10.1002/adma.74323" TargetMode="External"/><Relationship Id="rId276" Type="http://schemas.openxmlformats.org/officeDocument/2006/relationships/hyperlink" Target="https://www.sciencedirect.com/science/article/pii/S0306261926010639?dgcid=rss_sd_all" TargetMode="External"/><Relationship Id="rId277" Type="http://schemas.openxmlformats.org/officeDocument/2006/relationships/hyperlink" Target="https://doi.org/10.1016/j.apenergy.2026.128409" TargetMode="External"/><Relationship Id="rId278" Type="http://schemas.openxmlformats.org/officeDocument/2006/relationships/hyperlink" Target="https://www.sciencedirect.com/science/article/pii/S0306261926010792?dgcid=rss_sd_all" TargetMode="External"/><Relationship Id="rId279" Type="http://schemas.openxmlformats.org/officeDocument/2006/relationships/hyperlink" Target="https://doi.org/10.1016/j.apenergy.2026.128425" TargetMode="External"/><Relationship Id="rId280" Type="http://schemas.openxmlformats.org/officeDocument/2006/relationships/hyperlink" Target="https://onlinelibrary.wiley.com/doi/10.1002/anie.6182981?af=R" TargetMode="External"/><Relationship Id="rId281" Type="http://schemas.openxmlformats.org/officeDocument/2006/relationships/hyperlink" Target="https://doi.org/10.1002/anie.6182981" TargetMode="External"/><Relationship Id="rId282" Type="http://schemas.openxmlformats.org/officeDocument/2006/relationships/hyperlink" Target="https://advanced.onlinelibrary.wiley.com/doi/10.1002/aenm.71353?af=R" TargetMode="External"/><Relationship Id="rId283" Type="http://schemas.openxmlformats.org/officeDocument/2006/relationships/hyperlink" Target="https://doi.org/10.1002/aenm.71353" TargetMode="External"/><Relationship Id="rId284" Type="http://schemas.openxmlformats.org/officeDocument/2006/relationships/hyperlink" Target="https://advanced.onlinelibrary.wiley.com/doi/10.1002/adma.74253?af=R" TargetMode="External"/><Relationship Id="rId285" Type="http://schemas.openxmlformats.org/officeDocument/2006/relationships/hyperlink" Target="https://doi.org/10.1002/adma.74253" TargetMode="External"/><Relationship Id="rId286" Type="http://schemas.openxmlformats.org/officeDocument/2006/relationships/hyperlink" Target="https://advanced.onlinelibrary.wiley.com/doi/10.1002/adma.74347?af=R" TargetMode="External"/><Relationship Id="rId287" Type="http://schemas.openxmlformats.org/officeDocument/2006/relationships/hyperlink" Target="https://doi.org/10.1002/adma.74347" TargetMode="External"/><Relationship Id="rId288" Type="http://schemas.openxmlformats.org/officeDocument/2006/relationships/hyperlink" Target="https://pubs.acs.org/doi/10.1021/jacs.6c06781" TargetMode="External"/><Relationship Id="rId289" Type="http://schemas.openxmlformats.org/officeDocument/2006/relationships/hyperlink" Target="https://doi.org/10.1021/jacs.6c06781" TargetMode="External"/><Relationship Id="rId290" Type="http://schemas.openxmlformats.org/officeDocument/2006/relationships/hyperlink" Target="https://www.sciencedirect.com/science/article/pii/S0306261926010494?dgcid=rss_sd_all" TargetMode="External"/><Relationship Id="rId291" Type="http://schemas.openxmlformats.org/officeDocument/2006/relationships/hyperlink" Target="https://doi.org/10.1016/j.apenergy.2026.128395" TargetMode="External"/><Relationship Id="rId292" Type="http://schemas.openxmlformats.org/officeDocument/2006/relationships/hyperlink" Target="https://www.sciencedirect.com/science/article/pii/S0306261926011657?dgcid=rss_sd_all" TargetMode="External"/><Relationship Id="rId293" Type="http://schemas.openxmlformats.org/officeDocument/2006/relationships/hyperlink" Target="https://doi.org/10.1016/j.apenergy.2026.128509" TargetMode="External"/><Relationship Id="rId294" Type="http://schemas.openxmlformats.org/officeDocument/2006/relationships/hyperlink" Target="https://onlinelibrary.wiley.com/doi/10.1002/anie.1134406?af=R" TargetMode="External"/><Relationship Id="rId295" Type="http://schemas.openxmlformats.org/officeDocument/2006/relationships/hyperlink" Target="https://doi.org/10.1002/anie.1134406" TargetMode="External"/><Relationship Id="rId296" Type="http://schemas.openxmlformats.org/officeDocument/2006/relationships/hyperlink" Target="https://pubs.acs.org/doi/10.1021/jacs.6c07954" TargetMode="External"/><Relationship Id="rId297" Type="http://schemas.openxmlformats.org/officeDocument/2006/relationships/hyperlink" Target="https://doi.org/10.1021/jacs.6c07954" TargetMode="External"/><Relationship Id="rId298" Type="http://schemas.openxmlformats.org/officeDocument/2006/relationships/hyperlink" Target="https://pubs.acs.org/jacsat/article/doi/10.1021/jacs.6c10541/5233903/Anionic-Passivation-Enables-Reconstruction-Free" TargetMode="External"/><Relationship Id="rId299" Type="http://schemas.openxmlformats.org/officeDocument/2006/relationships/hyperlink" Target="https://doi.org/10.1021/jacs.6c10541" TargetMode="External"/><Relationship Id="rId300" Type="http://schemas.openxmlformats.org/officeDocument/2006/relationships/hyperlink" Target="https://pubs.acs.org/doi/10.1021/jacs.6c07813" TargetMode="External"/><Relationship Id="rId301" Type="http://schemas.openxmlformats.org/officeDocument/2006/relationships/hyperlink" Target="https://doi.org/10.1021/jacs.6c07813" TargetMode="External"/><Relationship Id="rId302" Type="http://schemas.openxmlformats.org/officeDocument/2006/relationships/hyperlink" Target="https://www.nature.com/articles/s41563-026-02680-w" TargetMode="External"/><Relationship Id="rId303" Type="http://schemas.openxmlformats.org/officeDocument/2006/relationships/hyperlink" Target="https://doi.org/10.1038/s41563-026-02680-w" TargetMode="External"/><Relationship Id="rId304" Type="http://schemas.openxmlformats.org/officeDocument/2006/relationships/hyperlink" Target="https://www.nature.com/articles/s41563-026-02707-2" TargetMode="External"/><Relationship Id="rId305" Type="http://schemas.openxmlformats.org/officeDocument/2006/relationships/hyperlink" Target="https://doi.org/10.1038/s41563-026-02707-2" TargetMode="External"/><Relationship Id="rId306" Type="http://schemas.openxmlformats.org/officeDocument/2006/relationships/hyperlink" Target="https://www.nature.com/articles/s41467-026-76145-8" TargetMode="External"/><Relationship Id="rId307" Type="http://schemas.openxmlformats.org/officeDocument/2006/relationships/hyperlink" Target="https://onlinelibrary.wiley.com/doi/10.1002/anie.4029889?af=R" TargetMode="External"/><Relationship Id="rId308" Type="http://schemas.openxmlformats.org/officeDocument/2006/relationships/hyperlink" Target="https://doi.org/10.1002/anie.4029889" TargetMode="External"/><Relationship Id="rId309" Type="http://schemas.openxmlformats.org/officeDocument/2006/relationships/hyperlink" Target="https://onlinelibrary.wiley.com/doi/10.1002/anie.6960943?af=R" TargetMode="External"/><Relationship Id="rId310" Type="http://schemas.openxmlformats.org/officeDocument/2006/relationships/hyperlink" Target="https://doi.org/10.1002/anie.6960943" TargetMode="External"/><Relationship Id="rId311" Type="http://schemas.openxmlformats.org/officeDocument/2006/relationships/hyperlink" Target="https://onlinelibrary.wiley.com/doi/10.1002/anie.3319404?af=R" TargetMode="External"/><Relationship Id="rId312" Type="http://schemas.openxmlformats.org/officeDocument/2006/relationships/hyperlink" Target="https://doi.org/10.1002/anie.3319404" TargetMode="External"/><Relationship Id="rId313" Type="http://schemas.openxmlformats.org/officeDocument/2006/relationships/hyperlink" Target="https://onlinelibrary.wiley.com/doi/10.1002/anie.4911353?af=R" TargetMode="External"/><Relationship Id="rId314" Type="http://schemas.openxmlformats.org/officeDocument/2006/relationships/hyperlink" Target="https://doi.org/10.1002/anie.4911353" TargetMode="External"/><Relationship Id="rId315" Type="http://schemas.openxmlformats.org/officeDocument/2006/relationships/hyperlink" Target="https://advanced.onlinelibrary.wiley.com/doi/10.1002/adma.74305?af=R" TargetMode="External"/><Relationship Id="rId316" Type="http://schemas.openxmlformats.org/officeDocument/2006/relationships/hyperlink" Target="https://doi.org/10.1002/adma.74305" TargetMode="External"/><Relationship Id="rId317" Type="http://schemas.openxmlformats.org/officeDocument/2006/relationships/hyperlink" Target="https://advanced.onlinelibrary.wiley.com/doi/10.1002/adma.74362?af=R" TargetMode="External"/><Relationship Id="rId318" Type="http://schemas.openxmlformats.org/officeDocument/2006/relationships/hyperlink" Target="https://doi.org/10.1002/adma.74362" TargetMode="External"/><Relationship Id="rId319" Type="http://schemas.openxmlformats.org/officeDocument/2006/relationships/hyperlink" Target="https://advanced.onlinelibrary.wiley.com/doi/10.1002/adma.74396?af=R" TargetMode="External"/><Relationship Id="rId320" Type="http://schemas.openxmlformats.org/officeDocument/2006/relationships/hyperlink" Target="https://doi.org/10.1002/adma.74396" TargetMode="External"/><Relationship Id="rId321" Type="http://schemas.openxmlformats.org/officeDocument/2006/relationships/hyperlink" Target="https://www.nature.com/articles/s41467-026-76134-x" TargetMode="External"/><Relationship Id="rId322" Type="http://schemas.openxmlformats.org/officeDocument/2006/relationships/hyperlink" Target="https://www.nature.com/articles/s41467-026-75878-w" TargetMode="External"/><Relationship Id="rId323" Type="http://schemas.openxmlformats.org/officeDocument/2006/relationships/hyperlink" Target="https://www.nature.com/articles/s41467-026-75978-7" TargetMode="External"/><Relationship Id="rId324" Type="http://schemas.openxmlformats.org/officeDocument/2006/relationships/hyperlink" Target="https://www.nature.com/articles/s41586-026-10866-0" TargetMode="External"/><Relationship Id="rId325" Type="http://schemas.openxmlformats.org/officeDocument/2006/relationships/hyperlink" Target="https://doi.org/10.1038/s41586-026-10866-0" TargetMode="External"/><Relationship Id="rId326" Type="http://schemas.openxmlformats.org/officeDocument/2006/relationships/hyperlink" Target="https://www.sciencedirect.com/science/article/pii/S0306261926010901?dgcid=rss_sd_all" TargetMode="External"/><Relationship Id="rId327" Type="http://schemas.openxmlformats.org/officeDocument/2006/relationships/hyperlink" Target="https://doi.org/10.1016/j.apenergy.2026.128436" TargetMode="External"/><Relationship Id="rId328" Type="http://schemas.openxmlformats.org/officeDocument/2006/relationships/hyperlink" Target="https://www.sciencedirect.com/science/article/pii/S0306261926011694?dgcid=rss_sd_all" TargetMode="External"/><Relationship Id="rId329" Type="http://schemas.openxmlformats.org/officeDocument/2006/relationships/hyperlink" Target="https://doi.org/10.1016/j.apenergy.2026.128513" TargetMode="External"/><Relationship Id="rId330" Type="http://schemas.openxmlformats.org/officeDocument/2006/relationships/hyperlink" Target="https://www.sciencedirect.com/science/article/pii/S0306261926011840?dgcid=rss_sd_all" TargetMode="External"/><Relationship Id="rId331" Type="http://schemas.openxmlformats.org/officeDocument/2006/relationships/hyperlink" Target="https://doi.org/10.1016/j.apenergy.2026.128528" TargetMode="External"/><Relationship Id="rId332" Type="http://schemas.openxmlformats.org/officeDocument/2006/relationships/hyperlink" Target="https://www.nature.com/articles/s41586-026-10851-7" TargetMode="External"/><Relationship Id="rId333" Type="http://schemas.openxmlformats.org/officeDocument/2006/relationships/hyperlink" Target="https://doi.org/10.1038/s41586-026-10851-7" TargetMode="External"/><Relationship Id="rId334" Type="http://schemas.openxmlformats.org/officeDocument/2006/relationships/hyperlink" Target="https://advanced.onlinelibrary.wiley.com/doi/10.1002/aenm.71371?af=R" TargetMode="External"/><Relationship Id="rId335" Type="http://schemas.openxmlformats.org/officeDocument/2006/relationships/hyperlink" Target="https://doi.org/10.1002/aenm.71371" TargetMode="External"/><Relationship Id="rId336" Type="http://schemas.openxmlformats.org/officeDocument/2006/relationships/hyperlink" Target="https://www.science.org/doi/abs/10.1126/sciadv.aeb2204?af=R" TargetMode="External"/><Relationship Id="rId337" Type="http://schemas.openxmlformats.org/officeDocument/2006/relationships/hyperlink" Target="https://doi.org/10.1126/sciadv.aeb2204" TargetMode="External"/><Relationship Id="rId338" Type="http://schemas.openxmlformats.org/officeDocument/2006/relationships/hyperlink" Target="https://www.science.org/doi/abs/10.1126/sciadv.aee9782?af=R" TargetMode="External"/><Relationship Id="rId339" Type="http://schemas.openxmlformats.org/officeDocument/2006/relationships/hyperlink" Target="https://doi.org/10.1126/sciadv.aee9782" TargetMode="External"/><Relationship Id="rId340" Type="http://schemas.openxmlformats.org/officeDocument/2006/relationships/hyperlink" Target="https://www.sciencedirect.com/science/article/pii/S0306261926012158?dgcid=rss_sd_all" TargetMode="External"/><Relationship Id="rId341" Type="http://schemas.openxmlformats.org/officeDocument/2006/relationships/hyperlink" Target="https://doi.org/10.1016/j.apenergy.2026.128559" TargetMode="External"/><Relationship Id="rId342" Type="http://schemas.openxmlformats.org/officeDocument/2006/relationships/hyperlink" Target="https://academic.oup.com/nsr/advance-article/doi/10.1093/nsr/nwag461/8747582?rss=1" TargetMode="External"/><Relationship Id="rId343" Type="http://schemas.openxmlformats.org/officeDocument/2006/relationships/hyperlink" Target="https://doi.org/10.1093/nsr/nwag461" TargetMode="External"/><Relationship Id="rId344" Type="http://schemas.openxmlformats.org/officeDocument/2006/relationships/hyperlink" Target="https://www.sciencedirect.com/science/article/pii/S0306261926011906?dgcid=rss_sd_all" TargetMode="External"/><Relationship Id="rId345" Type="http://schemas.openxmlformats.org/officeDocument/2006/relationships/hyperlink" Target="https://doi.org/10.1016/j.apenergy.2026.128534" TargetMode="External"/><Relationship Id="rId346" Type="http://schemas.openxmlformats.org/officeDocument/2006/relationships/hyperlink" Target="https://www.sciencedirect.com/science/article/pii/S0301421526004593?dgcid=rss_sd_all" TargetMode="External"/><Relationship Id="rId347" Type="http://schemas.openxmlformats.org/officeDocument/2006/relationships/hyperlink" Target="https://doi.org/10.1016/j.enpol.2026.115525" TargetMode="External"/><Relationship Id="rId348" Type="http://schemas.openxmlformats.org/officeDocument/2006/relationships/hyperlink" Target="https://www.sciencedirect.com/science/article/pii/S0301421526004519?dgcid=rss_sd_all" TargetMode="External"/><Relationship Id="rId349" Type="http://schemas.openxmlformats.org/officeDocument/2006/relationships/hyperlink" Target="https://doi.org/10.1016/j.enpol.2026.115517" TargetMode="External"/><Relationship Id="rId350" Type="http://schemas.openxmlformats.org/officeDocument/2006/relationships/hyperlink" Target="https://www.sciencedirect.com/science/article/pii/S0301421526004234?dgcid=rss_sd_all" TargetMode="External"/><Relationship Id="rId351" Type="http://schemas.openxmlformats.org/officeDocument/2006/relationships/hyperlink" Target="https://doi.org/10.1016/j.enpol.2026.115489" TargetMode="External"/><Relationship Id="rId352" Type="http://schemas.openxmlformats.org/officeDocument/2006/relationships/hyperlink" Target="https://www.sciencedirect.com/science/article/pii/S0301421526004246?dgcid=rss_sd_all" TargetMode="External"/><Relationship Id="rId353" Type="http://schemas.openxmlformats.org/officeDocument/2006/relationships/hyperlink" Target="https://doi.org/10.1016/j.enpol.2026.115490" TargetMode="External"/><Relationship Id="rId354" Type="http://schemas.openxmlformats.org/officeDocument/2006/relationships/hyperlink" Target="https://www.sciencedirect.com/science/article/pii/S0301421526004258?dgcid=rss_sd_all" TargetMode="External"/><Relationship Id="rId355" Type="http://schemas.openxmlformats.org/officeDocument/2006/relationships/hyperlink" Target="https://doi.org/10.1016/j.enpol.2026.115491" TargetMode="External"/><Relationship Id="rId356" Type="http://schemas.openxmlformats.org/officeDocument/2006/relationships/hyperlink" Target="https://www.nature.com/articles/s41558-026-02708-8" TargetMode="External"/><Relationship Id="rId357" Type="http://schemas.openxmlformats.org/officeDocument/2006/relationships/hyperlink" Target="https://doi.org/10.1038/s41558-026-02708-8" TargetMode="External"/><Relationship Id="rId358" Type="http://schemas.openxmlformats.org/officeDocument/2006/relationships/hyperlink" Target="https://www.sciencedirect.com/science/article/pii/S0306261926011566?dgcid=rss_sd_all" TargetMode="External"/><Relationship Id="rId359" Type="http://schemas.openxmlformats.org/officeDocument/2006/relationships/hyperlink" Target="https://doi.org/10.1016/j.apenergy.2026.128500" TargetMode="External"/><Relationship Id="rId360" Type="http://schemas.openxmlformats.org/officeDocument/2006/relationships/hyperlink" Target="https://www.sciencedirect.com/science/article/pii/S0306261926011104?dgcid=rss_sd_all" TargetMode="External"/><Relationship Id="rId361" Type="http://schemas.openxmlformats.org/officeDocument/2006/relationships/hyperlink" Target="https://doi.org/10.1016/j.apenergy.2026.128454" TargetMode="External"/><Relationship Id="rId362" Type="http://schemas.openxmlformats.org/officeDocument/2006/relationships/hyperlink" Target="https://www.sciencedirect.com/science/article/pii/S0306261926011487?dgcid=rss_sd_all" TargetMode="External"/><Relationship Id="rId363" Type="http://schemas.openxmlformats.org/officeDocument/2006/relationships/hyperlink" Target="https://doi.org/10.1016/j.apenergy.2026.128492" TargetMode="External"/><Relationship Id="rId364" Type="http://schemas.openxmlformats.org/officeDocument/2006/relationships/hyperlink" Target="https://www.sciencedirect.com/science/article/pii/S0306261926011463?dgcid=rss_sd_all" TargetMode="External"/><Relationship Id="rId365" Type="http://schemas.openxmlformats.org/officeDocument/2006/relationships/hyperlink" Target="https://doi.org/10.1016/j.apenergy.2026.128490" TargetMode="External"/><Relationship Id="rId366" Type="http://schemas.openxmlformats.org/officeDocument/2006/relationships/hyperlink" Target="https://www.cell.com/one-earth/fulltext/S2590-3322(26)00179-X?rss=yes" TargetMode="External"/><Relationship Id="rId367" Type="http://schemas.openxmlformats.org/officeDocument/2006/relationships/hyperlink" Target="https://doi.org/10.1016/j.oneear.2026.101778" TargetMode="External"/><Relationship Id="rId368" Type="http://schemas.openxmlformats.org/officeDocument/2006/relationships/hyperlink" Target="https://www.sciencedirect.com/science/article/pii/S030626192601161X?dgcid=rss_sd_all" TargetMode="External"/><Relationship Id="rId369" Type="http://schemas.openxmlformats.org/officeDocument/2006/relationships/hyperlink" Target="https://doi.org/10.1016/j.apenergy.2026.128505" TargetMode="External"/><Relationship Id="rId370" Type="http://schemas.openxmlformats.org/officeDocument/2006/relationships/hyperlink" Target="https://www.nature.com/articles/s41467-026-75982-x" TargetMode="External"/><Relationship Id="rId371" Type="http://schemas.openxmlformats.org/officeDocument/2006/relationships/hyperlink" Target="https://www.sciencedirect.com/science/article/pii/S0306261926011128?dgcid=rss_sd_all" TargetMode="External"/><Relationship Id="rId372" Type="http://schemas.openxmlformats.org/officeDocument/2006/relationships/hyperlink" Target="https://doi.org/10.1016/j.apenergy.2026.128456" TargetMode="External"/><Relationship Id="rId373" Type="http://schemas.openxmlformats.org/officeDocument/2006/relationships/hyperlink" Target="https://www.nature.com/articles/s41467-026-76010-8" TargetMode="External"/><Relationship Id="rId374" Type="http://schemas.openxmlformats.org/officeDocument/2006/relationships/hyperlink" Target="https://www.sciencedirect.com/science/article/pii/S0306261926011517?dgcid=rss_sd_all" TargetMode="External"/><Relationship Id="rId375" Type="http://schemas.openxmlformats.org/officeDocument/2006/relationships/hyperlink" Target="https://doi.org/10.1016/j.apenergy.2026.128495" TargetMode="External"/><Relationship Id="rId376" Type="http://schemas.openxmlformats.org/officeDocument/2006/relationships/hyperlink" Target="https://www.sciencedirect.com/science/article/pii/S0306261926011414?dgcid=rss_sd_all" TargetMode="External"/><Relationship Id="rId377" Type="http://schemas.openxmlformats.org/officeDocument/2006/relationships/hyperlink" Target="https://doi.org/10.1016/j.apenergy.2026.128485" TargetMode="External"/><Relationship Id="rId378" Type="http://schemas.openxmlformats.org/officeDocument/2006/relationships/hyperlink" Target="https://www.sciencedirect.com/science/article/pii/S0301421526004428?dgcid=rss_sd_all" TargetMode="External"/><Relationship Id="rId379" Type="http://schemas.openxmlformats.org/officeDocument/2006/relationships/hyperlink" Target="https://doi.org/10.1016/j.enpol.2026.115508" TargetMode="External"/><Relationship Id="rId380" Type="http://schemas.openxmlformats.org/officeDocument/2006/relationships/hyperlink" Target="https://www.nature.com/articles/s41467-026-75802-2" TargetMode="External"/><Relationship Id="rId381" Type="http://schemas.openxmlformats.org/officeDocument/2006/relationships/hyperlink" Target="https://www.sciencedirect.com/science/article/pii/S0306261926010962?dgcid=rss_sd_all" TargetMode="External"/><Relationship Id="rId382" Type="http://schemas.openxmlformats.org/officeDocument/2006/relationships/hyperlink" Target="https://doi.org/10.1016/j.apenergy.2026.128442" TargetMode="External"/><Relationship Id="rId383" Type="http://schemas.openxmlformats.org/officeDocument/2006/relationships/hyperlink" Target="https://www.sciencedirect.com/science/article/pii/S0306261926011177?dgcid=rss_sd_all" TargetMode="External"/><Relationship Id="rId384" Type="http://schemas.openxmlformats.org/officeDocument/2006/relationships/hyperlink" Target="https://doi.org/10.1016/j.apenergy.2026.128461" TargetMode="External"/><Relationship Id="rId385" Type="http://schemas.openxmlformats.org/officeDocument/2006/relationships/hyperlink" Target="https://www.sciencedirect.com/science/article/pii/S0306261926010482?dgcid=rss_sd_all" TargetMode="External"/><Relationship Id="rId386" Type="http://schemas.openxmlformats.org/officeDocument/2006/relationships/hyperlink" Target="https://doi.org/10.1016/j.apenergy.2026.128394" TargetMode="External"/><Relationship Id="rId387" Type="http://schemas.openxmlformats.org/officeDocument/2006/relationships/hyperlink" Target="https://www.sciencedirect.com/science/article/pii/S0306261926011438?dgcid=rss_sd_all" TargetMode="External"/><Relationship Id="rId388" Type="http://schemas.openxmlformats.org/officeDocument/2006/relationships/hyperlink" Target="https://doi.org/10.1016/j.apenergy.2026.128487" TargetMode="External"/><Relationship Id="rId389" Type="http://schemas.openxmlformats.org/officeDocument/2006/relationships/hyperlink" Target="https://www.sciencedirect.com/science/article/pii/S0306261926011499?dgcid=rss_sd_all" TargetMode="External"/><Relationship Id="rId390" Type="http://schemas.openxmlformats.org/officeDocument/2006/relationships/hyperlink" Target="https://doi.org/10.1016/j.apenergy.2026.128493" TargetMode="External"/><Relationship Id="rId391" Type="http://schemas.openxmlformats.org/officeDocument/2006/relationships/hyperlink" Target="https://www.nature.com/articles/s41560-026-02106-6" TargetMode="External"/><Relationship Id="rId392" Type="http://schemas.openxmlformats.org/officeDocument/2006/relationships/hyperlink" Target="https://doi.org/10.1038/s41560-026-02106-6" TargetMode="External"/><Relationship Id="rId393" Type="http://schemas.openxmlformats.org/officeDocument/2006/relationships/hyperlink" Target="https://www.pnas.org/doi/abs/10.1073/pnas.2624228123?mi=eymic2&amp;af=R&amp;access=on&amp;content=articlesChapters&amp;publication=pnas&amp;sortBy=Earliest&amp;target=default" TargetMode="External"/><Relationship Id="rId394" Type="http://schemas.openxmlformats.org/officeDocument/2006/relationships/hyperlink" Target="https://doi.org/10.1073/pnas.2624228123" TargetMode="External"/><Relationship Id="rId395" Type="http://schemas.openxmlformats.org/officeDocument/2006/relationships/hyperlink" Target="https://www.nature.com/articles/d41586-026-02304-y" TargetMode="External"/><Relationship Id="rId396" Type="http://schemas.openxmlformats.org/officeDocument/2006/relationships/hyperlink" Target="https://doi.org/10.1038/d41586-026-02304-y" TargetMode="External"/><Relationship Id="rId397" Type="http://schemas.openxmlformats.org/officeDocument/2006/relationships/hyperlink" Target="https://onlinelibrary.wiley.com/doi/10.1002/anie.8364254?af=R" TargetMode="External"/><Relationship Id="rId398" Type="http://schemas.openxmlformats.org/officeDocument/2006/relationships/hyperlink" Target="https://doi.org/10.1002/anie.8364254" TargetMode="External"/><Relationship Id="rId399" Type="http://schemas.openxmlformats.org/officeDocument/2006/relationships/hyperlink" Target="https://www.nature.com/articles/s41467-026-76009-1" TargetMode="External"/><Relationship Id="rId400" Type="http://schemas.openxmlformats.org/officeDocument/2006/relationships/hyperlink" Target="https://www.sciencedirect.com/science/article/pii/S0306261926011724?dgcid=rss_sd_all" TargetMode="External"/><Relationship Id="rId401" Type="http://schemas.openxmlformats.org/officeDocument/2006/relationships/hyperlink" Target="https://doi.org/10.1016/j.apenergy.2026.128516" TargetMode="External"/><Relationship Id="rId402" Type="http://schemas.openxmlformats.org/officeDocument/2006/relationships/hyperlink" Target="https://www.sciencedirect.com/science/article/pii/S0306261926011736?dgcid=rss_sd_all" TargetMode="External"/><Relationship Id="rId403" Type="http://schemas.openxmlformats.org/officeDocument/2006/relationships/hyperlink" Target="https://doi.org/10.1016/j.apenergy.2026.128517" TargetMode="External"/><Relationship Id="rId404" Type="http://schemas.openxmlformats.org/officeDocument/2006/relationships/hyperlink" Target="https://www.sciencedirect.com/science/article/pii/S0306261926010457?dgcid=rss_sd_all" TargetMode="External"/><Relationship Id="rId405" Type="http://schemas.openxmlformats.org/officeDocument/2006/relationships/hyperlink" Target="https://doi.org/10.1016/j.apenergy.2026.128391" TargetMode="External"/><Relationship Id="rId406" Type="http://schemas.openxmlformats.org/officeDocument/2006/relationships/hyperlink" Target="https://advanced.onlinelibrary.wiley.com/doi/10.1002/adma.74344?af=R" TargetMode="External"/><Relationship Id="rId407" Type="http://schemas.openxmlformats.org/officeDocument/2006/relationships/hyperlink" Target="https://doi.org/10.1002/adma.74344" TargetMode="External"/><Relationship Id="rId408" Type="http://schemas.openxmlformats.org/officeDocument/2006/relationships/hyperlink" Target="https://advanced.onlinelibrary.wiley.com/doi/10.1002/adma.74322?af=R" TargetMode="External"/><Relationship Id="rId409" Type="http://schemas.openxmlformats.org/officeDocument/2006/relationships/hyperlink" Target="https://doi.org/10.1002/adma.74322" TargetMode="External"/><Relationship Id="rId410" Type="http://schemas.openxmlformats.org/officeDocument/2006/relationships/hyperlink" Target="https://advanced.onlinelibrary.wiley.com/doi/10.1002/adma.74320?af=R" TargetMode="External"/><Relationship Id="rId411" Type="http://schemas.openxmlformats.org/officeDocument/2006/relationships/hyperlink" Target="https://doi.org/10.1002/adma.74320" TargetMode="External"/><Relationship Id="rId412" Type="http://schemas.openxmlformats.org/officeDocument/2006/relationships/hyperlink" Target="https://onlinelibrary.wiley.com/doi/10.1002/anie.5362334?af=R" TargetMode="External"/><Relationship Id="rId413" Type="http://schemas.openxmlformats.org/officeDocument/2006/relationships/hyperlink" Target="https://doi.org/10.1002/anie.5362334" TargetMode="External"/><Relationship Id="rId414" Type="http://schemas.openxmlformats.org/officeDocument/2006/relationships/hyperlink" Target="https://www.sciencedirect.com/science/article/pii/S0306261926011827?dgcid=rss_sd_all" TargetMode="External"/><Relationship Id="rId415" Type="http://schemas.openxmlformats.org/officeDocument/2006/relationships/hyperlink" Target="https://doi.org/10.1016/j.apenergy.2026.128526" TargetMode="External"/><Relationship Id="rId416" Type="http://schemas.openxmlformats.org/officeDocument/2006/relationships/hyperlink" Target="https://www.sciencedirect.com/science/article/pii/S0306261926012043?dgcid=rss_sd_all" TargetMode="External"/><Relationship Id="rId417" Type="http://schemas.openxmlformats.org/officeDocument/2006/relationships/hyperlink" Target="https://doi.org/10.1016/j.apenergy.2026.128548" TargetMode="External"/><Relationship Id="rId418" Type="http://schemas.openxmlformats.org/officeDocument/2006/relationships/hyperlink" Target="https://www.nature.com/articles/s41893-026-01908-6" TargetMode="External"/><Relationship Id="rId419" Type="http://schemas.openxmlformats.org/officeDocument/2006/relationships/hyperlink" Target="https://doi.org/10.1038/s41893-026-01908-6" TargetMode="External"/><Relationship Id="rId420" Type="http://schemas.openxmlformats.org/officeDocument/2006/relationships/hyperlink" Target="https://www.nature.com/articles/s41467-026-75994-7" TargetMode="External"/><Relationship Id="rId421" Type="http://schemas.openxmlformats.org/officeDocument/2006/relationships/hyperlink" Target="https://www.nature.com/articles/s41467-026-75350-9" TargetMode="External"/><Relationship Id="rId422" Type="http://schemas.openxmlformats.org/officeDocument/2006/relationships/hyperlink" Target="https://onlinelibrary.wiley.com/doi/10.1002/anie.2113321?af=R" TargetMode="External"/><Relationship Id="rId423" Type="http://schemas.openxmlformats.org/officeDocument/2006/relationships/hyperlink" Target="https://doi.org/10.1002/anie.2113321" TargetMode="External"/><Relationship Id="rId424" Type="http://schemas.openxmlformats.org/officeDocument/2006/relationships/hyperlink" Target="https://onlinelibrary.wiley.com/doi/10.1002/anie.1702233?af=R" TargetMode="External"/><Relationship Id="rId425" Type="http://schemas.openxmlformats.org/officeDocument/2006/relationships/hyperlink" Target="https://doi.org/10.1002/anie.1702233" TargetMode="External"/><Relationship Id="rId426" Type="http://schemas.openxmlformats.org/officeDocument/2006/relationships/hyperlink" Target="https://advanced.onlinelibrary.wiley.com/doi/10.1002/adma.74331?af=R" TargetMode="External"/><Relationship Id="rId427" Type="http://schemas.openxmlformats.org/officeDocument/2006/relationships/hyperlink" Target="https://doi.org/10.1002/adma.74331" TargetMode="External"/><Relationship Id="rId428" Type="http://schemas.openxmlformats.org/officeDocument/2006/relationships/hyperlink" Target="https://onlinelibrary.wiley.com/doi/10.1002/anie.7448862?af=R" TargetMode="External"/><Relationship Id="rId429" Type="http://schemas.openxmlformats.org/officeDocument/2006/relationships/hyperlink" Target="https://doi.org/10.1002/anie.7448862" TargetMode="External"/><Relationship Id="rId430" Type="http://schemas.openxmlformats.org/officeDocument/2006/relationships/hyperlink" Target="https://www.nature.com/articles/s41467-026-76063-9" TargetMode="External"/><Relationship Id="rId431" Type="http://schemas.openxmlformats.org/officeDocument/2006/relationships/hyperlink" Target="https://www.nature.com/articles/s41467-026-76064-8" TargetMode="External"/><Relationship Id="rId432" Type="http://schemas.openxmlformats.org/officeDocument/2006/relationships/hyperlink" Target="https://onlinelibrary.wiley.com/doi/10.1002/anie.9925316?af=R" TargetMode="External"/><Relationship Id="rId433" Type="http://schemas.openxmlformats.org/officeDocument/2006/relationships/hyperlink" Target="https://doi.org/10.1002/anie.9925316" TargetMode="External"/><Relationship Id="rId434" Type="http://schemas.openxmlformats.org/officeDocument/2006/relationships/hyperlink" Target="https://www.nature.com/articles/s41586-026-10848-2" TargetMode="External"/><Relationship Id="rId435" Type="http://schemas.openxmlformats.org/officeDocument/2006/relationships/hyperlink" Target="https://doi.org/10.1038/s41586-026-10848-2" TargetMode="External"/><Relationship Id="rId436" Type="http://schemas.openxmlformats.org/officeDocument/2006/relationships/hyperlink" Target="https://www.nature.com/articles/s41586-026-10795-y" TargetMode="External"/><Relationship Id="rId437" Type="http://schemas.openxmlformats.org/officeDocument/2006/relationships/hyperlink" Target="https://doi.org/10.1038/s41586-026-10795-y" TargetMode="External"/><Relationship Id="rId438" Type="http://schemas.openxmlformats.org/officeDocument/2006/relationships/hyperlink" Target="https://www.nature.com/articles/d41586-026-02126-y" TargetMode="External"/><Relationship Id="rId439" Type="http://schemas.openxmlformats.org/officeDocument/2006/relationships/hyperlink" Target="https://doi.org/10.1038/d41586-026-02126-y" TargetMode="External"/><Relationship Id="rId440" Type="http://schemas.openxmlformats.org/officeDocument/2006/relationships/hyperlink" Target="https://www.sciencedirect.com/science/article/pii/S0306261926012110?dgcid=rss_sd_all" TargetMode="External"/><Relationship Id="rId441" Type="http://schemas.openxmlformats.org/officeDocument/2006/relationships/hyperlink" Target="https://doi.org/10.1016/j.apenergy.2026.128555" TargetMode="External"/><Relationship Id="rId442" Type="http://schemas.openxmlformats.org/officeDocument/2006/relationships/hyperlink" Target="https://advanced.onlinelibrary.wiley.com/doi/10.1002/adma.74248?af=R" TargetMode="External"/><Relationship Id="rId443" Type="http://schemas.openxmlformats.org/officeDocument/2006/relationships/hyperlink" Target="https://doi.org/10.1002/adma.74248" TargetMode="External"/><Relationship Id="rId444" Type="http://schemas.openxmlformats.org/officeDocument/2006/relationships/hyperlink" Target="https://advanced.onlinelibrary.wiley.com/doi/10.1002/adma.74280?af=R" TargetMode="External"/><Relationship Id="rId445" Type="http://schemas.openxmlformats.org/officeDocument/2006/relationships/hyperlink" Target="https://doi.org/10.1002/adma.74280" TargetMode="External"/><Relationship Id="rId446" Type="http://schemas.openxmlformats.org/officeDocument/2006/relationships/hyperlink" Target="https://pubs.acs.org/doi/10.1021/jacs.6c05975" TargetMode="External"/><Relationship Id="rId447" Type="http://schemas.openxmlformats.org/officeDocument/2006/relationships/hyperlink" Target="https://doi.org/10.1021/jacs.6c05975" TargetMode="External"/><Relationship Id="rId448" Type="http://schemas.openxmlformats.org/officeDocument/2006/relationships/hyperlink" Target="https://onlinelibrary.wiley.com/doi/10.1002/anie.6957018?af=R" TargetMode="External"/><Relationship Id="rId449" Type="http://schemas.openxmlformats.org/officeDocument/2006/relationships/hyperlink" Target="https://doi.org/10.1002/anie.6957018" TargetMode="External"/><Relationship Id="rId450" Type="http://schemas.openxmlformats.org/officeDocument/2006/relationships/hyperlink" Target="https://advanced.onlinelibrary.wiley.com/doi/10.1002/adma.74377?af=R" TargetMode="External"/><Relationship Id="rId451" Type="http://schemas.openxmlformats.org/officeDocument/2006/relationships/hyperlink" Target="https://doi.org/10.1002/adma.74377" TargetMode="External"/><Relationship Id="rId452" Type="http://schemas.openxmlformats.org/officeDocument/2006/relationships/hyperlink" Target="https://www.nature.com/articles/s41467-026-75386-x" TargetMode="External"/><Relationship Id="rId453" Type="http://schemas.openxmlformats.org/officeDocument/2006/relationships/hyperlink" Target="https://www.nature.com/articles/s41467-026-75794-z" TargetMode="External"/><Relationship Id="rId454" Type="http://schemas.openxmlformats.org/officeDocument/2006/relationships/hyperlink" Target="https://www.sciencedirect.com/science/article/pii/S0301421526004088?dgcid=rss_sd_all" TargetMode="External"/><Relationship Id="rId455" Type="http://schemas.openxmlformats.org/officeDocument/2006/relationships/hyperlink" Target="https://doi.org/10.1016/j.enpol.2026.115474" TargetMode="External"/><Relationship Id="rId456" Type="http://schemas.openxmlformats.org/officeDocument/2006/relationships/hyperlink" Target="https://academic.oup.com/nsr/advance-article/doi/10.1093/nsr/nwag450/8741424?rss=1" TargetMode="External"/><Relationship Id="rId457" Type="http://schemas.openxmlformats.org/officeDocument/2006/relationships/hyperlink" Target="https://doi.org/10.1093/nsr/nwag450" TargetMode="External"/><Relationship Id="rId458" Type="http://schemas.openxmlformats.org/officeDocument/2006/relationships/hyperlink" Target="https://www.nature.com/articles/s41558-026-02720-y" TargetMode="External"/><Relationship Id="rId459" Type="http://schemas.openxmlformats.org/officeDocument/2006/relationships/hyperlink" Target="https://doi.org/10.1038/s41558-026-02720-y" TargetMode="External"/><Relationship Id="rId460" Type="http://schemas.openxmlformats.org/officeDocument/2006/relationships/hyperlink" Target="https://www.nature.com/articles/s41558-026-02700-2" TargetMode="External"/><Relationship Id="rId461" Type="http://schemas.openxmlformats.org/officeDocument/2006/relationships/hyperlink" Target="https://doi.org/10.1038/s41558-026-02700-2" TargetMode="External"/><Relationship Id="rId462" Type="http://schemas.openxmlformats.org/officeDocument/2006/relationships/hyperlink" Target="https://www.nature.com/articles/s41928-026-01679-0" TargetMode="External"/><Relationship Id="rId463" Type="http://schemas.openxmlformats.org/officeDocument/2006/relationships/hyperlink" Target="https://doi.org/10.1038/s41928-026-01679-0" TargetMode="External"/><Relationship Id="rId464" Type="http://schemas.openxmlformats.org/officeDocument/2006/relationships/hyperlink" Target="https://academic.oup.com/nsr/advance-article/doi/10.1093/nsr/nwag455/8741426?rss=1" TargetMode="External"/><Relationship Id="rId465" Type="http://schemas.openxmlformats.org/officeDocument/2006/relationships/hyperlink" Target="https://doi.org/10.1093/nsr/nwag455" TargetMode="External"/><Relationship Id="rId466" Type="http://schemas.openxmlformats.org/officeDocument/2006/relationships/hyperlink" Target="https://www.sciencedirect.com/science/article/pii/S0306261926011335?dgcid=rss_sd_all" TargetMode="External"/><Relationship Id="rId467" Type="http://schemas.openxmlformats.org/officeDocument/2006/relationships/hyperlink" Target="https://doi.org/10.1016/j.apenergy.2026.128477" TargetMode="External"/><Relationship Id="rId468" Type="http://schemas.openxmlformats.org/officeDocument/2006/relationships/hyperlink" Target="https://www.nature.com/articles/s41467-026-75864-2" TargetMode="External"/><Relationship Id="rId469" Type="http://schemas.openxmlformats.org/officeDocument/2006/relationships/hyperlink" Target="https://www.nature.com/articles/s41467-026-75854-4" TargetMode="External"/><Relationship Id="rId470" Type="http://schemas.openxmlformats.org/officeDocument/2006/relationships/hyperlink" Target="https://www.nature.com/articles/s41467-026-76036-y" TargetMode="External"/><Relationship Id="rId471" Type="http://schemas.openxmlformats.org/officeDocument/2006/relationships/hyperlink" Target="https://www.nature.com/articles/s41467-026-76016-2" TargetMode="External"/><Relationship Id="rId472" Type="http://schemas.openxmlformats.org/officeDocument/2006/relationships/hyperlink" Target="https://www.nature.com/articles/s41467-026-75612-6" TargetMode="External"/><Relationship Id="rId473" Type="http://schemas.openxmlformats.org/officeDocument/2006/relationships/hyperlink" Target="https://www.nature.com/articles/s41467-026-75926-5" TargetMode="External"/><Relationship Id="rId474" Type="http://schemas.openxmlformats.org/officeDocument/2006/relationships/hyperlink" Target="https://www.sciencedirect.com/science/article/pii/S0306261926011396?dgcid=rss_sd_all" TargetMode="External"/><Relationship Id="rId475" Type="http://schemas.openxmlformats.org/officeDocument/2006/relationships/hyperlink" Target="https://doi.org/10.1016/j.apenergy.2026.128483" TargetMode="External"/><Relationship Id="rId476" Type="http://schemas.openxmlformats.org/officeDocument/2006/relationships/hyperlink" Target="https://www.nature.com/articles/s41467-026-75178-3" TargetMode="External"/><Relationship Id="rId477" Type="http://schemas.openxmlformats.org/officeDocument/2006/relationships/hyperlink" Target="https://www.sciencedirect.com/science/article/pii/S0306261926011542?dgcid=rss_sd_all" TargetMode="External"/><Relationship Id="rId478" Type="http://schemas.openxmlformats.org/officeDocument/2006/relationships/hyperlink" Target="https://doi.org/10.1016/j.apenergy.2026.128498" TargetMode="External"/><Relationship Id="rId479" Type="http://schemas.openxmlformats.org/officeDocument/2006/relationships/hyperlink" Target="https://www.nature.com/articles/s41467-026-75492-w" TargetMode="External"/><Relationship Id="rId480" Type="http://schemas.openxmlformats.org/officeDocument/2006/relationships/hyperlink" Target="https://www.nature.com/articles/s41467-026-75863-3" TargetMode="External"/><Relationship Id="rId481" Type="http://schemas.openxmlformats.org/officeDocument/2006/relationships/hyperlink" Target="https://www.nature.com/articles/s41467-026-75953-2" TargetMode="External"/><Relationship Id="rId482" Type="http://schemas.openxmlformats.org/officeDocument/2006/relationships/hyperlink" Target="https://www.nature.com/articles/d41586-026-02332-8" TargetMode="External"/><Relationship Id="rId483" Type="http://schemas.openxmlformats.org/officeDocument/2006/relationships/hyperlink" Target="https://doi.org/10.1038/d41586-026-02332-8" TargetMode="External"/><Relationship Id="rId484" Type="http://schemas.openxmlformats.org/officeDocument/2006/relationships/hyperlink" Target="https://www.nature.com/articles/s41467-026-75850-8" TargetMode="External"/><Relationship Id="rId485" Type="http://schemas.openxmlformats.org/officeDocument/2006/relationships/hyperlink" Target="https://www.nature.com/articles/s41467-026-76039-9" TargetMode="External"/><Relationship Id="rId486" Type="http://schemas.openxmlformats.org/officeDocument/2006/relationships/hyperlink" Target="https://www.nature.com/articles/s41467-026-75569-6" TargetMode="External"/><Relationship Id="rId487" Type="http://schemas.openxmlformats.org/officeDocument/2006/relationships/hyperlink" Target="https://www.nature.com/articles/s41467-026-75951-4" TargetMode="External"/><Relationship Id="rId488" Type="http://schemas.openxmlformats.org/officeDocument/2006/relationships/hyperlink" Target="https://www.nature.com/articles/s41467-026-75804-0" TargetMode="External"/><Relationship Id="rId489" Type="http://schemas.openxmlformats.org/officeDocument/2006/relationships/hyperlink" Target="https://www.nature.com/articles/s41467-026-75849-1" TargetMode="External"/><Relationship Id="rId490" Type="http://schemas.openxmlformats.org/officeDocument/2006/relationships/hyperlink" Target="https://www.nature.com/articles/s41467-026-75918-5" TargetMode="External"/><Relationship Id="rId491" Type="http://schemas.openxmlformats.org/officeDocument/2006/relationships/hyperlink" Target="https://www.nature.com/articles/s41467-026-75810-2" TargetMode="External"/><Relationship Id="rId492" Type="http://schemas.openxmlformats.org/officeDocument/2006/relationships/hyperlink" Target="https://www.nature.com/articles/d41586-026-02268-z" TargetMode="External"/><Relationship Id="rId493" Type="http://schemas.openxmlformats.org/officeDocument/2006/relationships/hyperlink" Target="https://doi.org/10.1038/d41586-026-02268-z" TargetMode="External"/><Relationship Id="rId494" Type="http://schemas.openxmlformats.org/officeDocument/2006/relationships/hyperlink" Target="https://www.nature.com/articles/d41586-026-02338-2" TargetMode="External"/><Relationship Id="rId495" Type="http://schemas.openxmlformats.org/officeDocument/2006/relationships/hyperlink" Target="https://doi.org/10.1038/d41586-026-02338-2" TargetMode="External"/><Relationship Id="rId496" Type="http://schemas.openxmlformats.org/officeDocument/2006/relationships/hyperlink" Target="https://www.nature.com/articles/d41586-026-02267-0" TargetMode="External"/><Relationship Id="rId497" Type="http://schemas.openxmlformats.org/officeDocument/2006/relationships/hyperlink" Target="https://doi.org/10.1038/d41586-026-02267-0" TargetMode="External"/><Relationship Id="rId498" Type="http://schemas.openxmlformats.org/officeDocument/2006/relationships/hyperlink" Target="https://www.nature.com/articles/s41586-026-10911-y" TargetMode="External"/><Relationship Id="rId499" Type="http://schemas.openxmlformats.org/officeDocument/2006/relationships/hyperlink" Target="https://doi.org/10.1038/s41586-026-10911-y" TargetMode="External"/><Relationship Id="rId500" Type="http://schemas.openxmlformats.org/officeDocument/2006/relationships/hyperlink" Target="https://www.nature.com/articles/s41467-026-75637-x" TargetMode="External"/><Relationship Id="rId501" Type="http://schemas.openxmlformats.org/officeDocument/2006/relationships/hyperlink" Target="https://www.nature.com/articles/s41467-026-76047-9" TargetMode="External"/><Relationship Id="rId502" Type="http://schemas.openxmlformats.org/officeDocument/2006/relationships/hyperlink" Target="https://www.nature.com/articles/s41467-026-75907-8" TargetMode="External"/><Relationship Id="rId503" Type="http://schemas.openxmlformats.org/officeDocument/2006/relationships/hyperlink" Target="https://www.nature.com/articles/s41467-026-75816-w" TargetMode="External"/><Relationship Id="rId504" Type="http://schemas.openxmlformats.org/officeDocument/2006/relationships/hyperlink" Target="https://www.nature.com/articles/s41467-026-76035-z" TargetMode="External"/><Relationship Id="rId505" Type="http://schemas.openxmlformats.org/officeDocument/2006/relationships/hyperlink" Target="https://www.nature.com/articles/s41467-026-75791-2" TargetMode="External"/><Relationship Id="rId506" Type="http://schemas.openxmlformats.org/officeDocument/2006/relationships/hyperlink" Target="https://www.nature.com/articles/s41467-026-75844-6" TargetMode="External"/><Relationship Id="rId507" Type="http://schemas.openxmlformats.org/officeDocument/2006/relationships/hyperlink" Target="https://www.nature.com/articles/s41467-026-76004-6" TargetMode="External"/><Relationship Id="rId508" Type="http://schemas.openxmlformats.org/officeDocument/2006/relationships/hyperlink" Target="https://www.sciencedirect.com/science/article/pii/S0301421526004222?dgcid=rss_sd_all" TargetMode="External"/><Relationship Id="rId509" Type="http://schemas.openxmlformats.org/officeDocument/2006/relationships/hyperlink" Target="https://doi.org/10.1016/j.enpol.2026.115488" TargetMode="External"/><Relationship Id="rId510" Type="http://schemas.openxmlformats.org/officeDocument/2006/relationships/hyperlink" Target="https://www.nature.com/articles/s41467-026-75874-0" TargetMode="External"/><Relationship Id="rId511" Type="http://schemas.openxmlformats.org/officeDocument/2006/relationships/hyperlink" Target="https://www.nature.com/articles/s41467-026-75911-y" TargetMode="External"/><Relationship Id="rId512" Type="http://schemas.openxmlformats.org/officeDocument/2006/relationships/hyperlink" Target="https://www.nature.com/articles/s41467-026-74928-7" TargetMode="External"/><Relationship Id="rId513" Type="http://schemas.openxmlformats.org/officeDocument/2006/relationships/hyperlink" Target="https://www.nature.com/articles/s41467-026-75900-1" TargetMode="External"/><Relationship Id="rId514" Type="http://schemas.openxmlformats.org/officeDocument/2006/relationships/hyperlink" Target="https://www.nature.com/articles/s41467-026-75875-z" TargetMode="External"/><Relationship Id="rId515" Type="http://schemas.openxmlformats.org/officeDocument/2006/relationships/hyperlink" Target="https://www.nature.com/articles/s41467-026-75935-4" TargetMode="External"/><Relationship Id="rId516" Type="http://schemas.openxmlformats.org/officeDocument/2006/relationships/hyperlink" Target="https://www.nature.com/articles/s41467-026-75879-9" TargetMode="External"/><Relationship Id="rId517" Type="http://schemas.openxmlformats.org/officeDocument/2006/relationships/hyperlink" Target="https://advanced.onlinelibrary.wiley.com/doi/10.1002/adma.74263?af=R" TargetMode="External"/><Relationship Id="rId518" Type="http://schemas.openxmlformats.org/officeDocument/2006/relationships/hyperlink" Target="https://doi.org/10.1002/adma.74263" TargetMode="External"/><Relationship Id="rId519" Type="http://schemas.openxmlformats.org/officeDocument/2006/relationships/hyperlink" Target="https://advanced.onlinelibrary.wiley.com/doi/10.1002/adma.74269?af=R" TargetMode="External"/><Relationship Id="rId520" Type="http://schemas.openxmlformats.org/officeDocument/2006/relationships/hyperlink" Target="https://doi.org/10.1002/adma.74269" TargetMode="External"/><Relationship Id="rId521" Type="http://schemas.openxmlformats.org/officeDocument/2006/relationships/hyperlink" Target="https://www.science.org/doi/abs/10.1126/sciadv.aeg2060?af=R" TargetMode="External"/><Relationship Id="rId522" Type="http://schemas.openxmlformats.org/officeDocument/2006/relationships/hyperlink" Target="https://doi.org/10.1126/sciadv.aeg2060" TargetMode="External"/><Relationship Id="rId523" Type="http://schemas.openxmlformats.org/officeDocument/2006/relationships/hyperlink" Target="https://www.science.org/doi/abs/10.1126/sciadv.aed3656?af=R" TargetMode="External"/><Relationship Id="rId524" Type="http://schemas.openxmlformats.org/officeDocument/2006/relationships/hyperlink" Target="https://doi.org/10.1126/sciadv.aed3656" TargetMode="External"/><Relationship Id="rId525" Type="http://schemas.openxmlformats.org/officeDocument/2006/relationships/hyperlink" Target="https://www.science.org/doi/abs/10.1126/sciadv.aef3219?af=R" TargetMode="External"/><Relationship Id="rId526" Type="http://schemas.openxmlformats.org/officeDocument/2006/relationships/hyperlink" Target="https://doi.org/10.1126/sciadv.aef3219" TargetMode="External"/><Relationship Id="rId527" Type="http://schemas.openxmlformats.org/officeDocument/2006/relationships/hyperlink" Target="https://www.science.org/doi/abs/10.1126/sciadv.aed5439?af=R" TargetMode="External"/><Relationship Id="rId528" Type="http://schemas.openxmlformats.org/officeDocument/2006/relationships/hyperlink" Target="https://doi.org/10.1126/sciadv.aed5439" TargetMode="External"/><Relationship Id="rId529" Type="http://schemas.openxmlformats.org/officeDocument/2006/relationships/hyperlink" Target="https://www.science.org/doi/abs/10.1126/sciadv.aee0624?af=R" TargetMode="External"/><Relationship Id="rId530" Type="http://schemas.openxmlformats.org/officeDocument/2006/relationships/hyperlink" Target="https://doi.org/10.1126/sciadv.aee0624" TargetMode="External"/><Relationship Id="rId531" Type="http://schemas.openxmlformats.org/officeDocument/2006/relationships/hyperlink" Target="https://www.science.org/doi/abs/10.1126/sciadv.aed8023?af=R" TargetMode="External"/><Relationship Id="rId532" Type="http://schemas.openxmlformats.org/officeDocument/2006/relationships/hyperlink" Target="https://doi.org/10.1126/sciadv.aed8023" TargetMode="External"/><Relationship Id="rId533" Type="http://schemas.openxmlformats.org/officeDocument/2006/relationships/hyperlink" Target="https://www.science.org/doi/abs/10.1126/sciadv.aed7904?af=R" TargetMode="External"/><Relationship Id="rId534" Type="http://schemas.openxmlformats.org/officeDocument/2006/relationships/hyperlink" Target="https://doi.org/10.1126/sciadv.aed7904" TargetMode="External"/><Relationship Id="rId535" Type="http://schemas.openxmlformats.org/officeDocument/2006/relationships/hyperlink" Target="https://www.science.org/doi/abs/10.1126/sciadv.aeg3025?af=R" TargetMode="External"/><Relationship Id="rId536" Type="http://schemas.openxmlformats.org/officeDocument/2006/relationships/hyperlink" Target="https://doi.org/10.1126/sciadv.aeg3025" TargetMode="External"/><Relationship Id="rId537" Type="http://schemas.openxmlformats.org/officeDocument/2006/relationships/hyperlink" Target="https://www.science.org/doi/abs/10.1126/sciadv.aef1760?af=R" TargetMode="External"/><Relationship Id="rId538" Type="http://schemas.openxmlformats.org/officeDocument/2006/relationships/hyperlink" Target="https://doi.org/10.1126/sciadv.aef1760" TargetMode="External"/><Relationship Id="rId539" Type="http://schemas.openxmlformats.org/officeDocument/2006/relationships/hyperlink" Target="https://www.science.org/doi/abs/10.1126/sciadv.aec0429?af=R" TargetMode="External"/><Relationship Id="rId540" Type="http://schemas.openxmlformats.org/officeDocument/2006/relationships/hyperlink" Target="https://doi.org/10.1126/sciadv.aec0429" TargetMode="External"/><Relationship Id="rId541" Type="http://schemas.openxmlformats.org/officeDocument/2006/relationships/hyperlink" Target="https://www.science.org/doi/abs/10.1126/sciadv.aed9832?af=R" TargetMode="External"/><Relationship Id="rId542" Type="http://schemas.openxmlformats.org/officeDocument/2006/relationships/hyperlink" Target="https://doi.org/10.1126/sciadv.aed9832" TargetMode="External"/><Relationship Id="rId543" Type="http://schemas.openxmlformats.org/officeDocument/2006/relationships/hyperlink" Target="https://www.science.org/doi/abs/10.1126/sciadv.aea2862?af=R" TargetMode="External"/><Relationship Id="rId544" Type="http://schemas.openxmlformats.org/officeDocument/2006/relationships/hyperlink" Target="https://doi.org/10.1126/sciadv.aea2862" TargetMode="External"/><Relationship Id="rId545" Type="http://schemas.openxmlformats.org/officeDocument/2006/relationships/hyperlink" Target="https://www.science.org/doi/abs/10.1126/sciadv.aeg2304?af=R" TargetMode="External"/><Relationship Id="rId546" Type="http://schemas.openxmlformats.org/officeDocument/2006/relationships/hyperlink" Target="https://doi.org/10.1126/sciadv.aeg2304" TargetMode="External"/><Relationship Id="rId547" Type="http://schemas.openxmlformats.org/officeDocument/2006/relationships/hyperlink" Target="https://onlinelibrary.wiley.com/doi/10.1002/anie.1147827?af=R" TargetMode="External"/><Relationship Id="rId548" Type="http://schemas.openxmlformats.org/officeDocument/2006/relationships/hyperlink" Target="https://doi.org/10.1002/anie.1147827" TargetMode="External"/><Relationship Id="rId549" Type="http://schemas.openxmlformats.org/officeDocument/2006/relationships/hyperlink" Target="https://www.science.org/doi/abs/10.1126/sciadv.aeh5197?af=R" TargetMode="External"/><Relationship Id="rId550" Type="http://schemas.openxmlformats.org/officeDocument/2006/relationships/hyperlink" Target="https://doi.org/10.1126/sciadv.aeh5197" TargetMode="External"/><Relationship Id="rId551" Type="http://schemas.openxmlformats.org/officeDocument/2006/relationships/hyperlink" Target="https://www.pnas.org/doi/abs/10.1073/pnas.2517969123?mi=eymic2&amp;af=R&amp;access=on&amp;content=articlesChapters&amp;publication=pnas&amp;sortBy=Earliest&amp;target=default" TargetMode="External"/><Relationship Id="rId552" Type="http://schemas.openxmlformats.org/officeDocument/2006/relationships/hyperlink" Target="https://doi.org/10.1073/pnas.2517969123" TargetMode="External"/><Relationship Id="rId553" Type="http://schemas.openxmlformats.org/officeDocument/2006/relationships/hyperlink" Target="https://www.science.org/doi/abs/10.1126/sciadv.aed8964?af=R" TargetMode="External"/><Relationship Id="rId554" Type="http://schemas.openxmlformats.org/officeDocument/2006/relationships/hyperlink" Target="https://doi.org/10.1126/sciadv.aed8964" TargetMode="External"/><Relationship Id="rId555" Type="http://schemas.openxmlformats.org/officeDocument/2006/relationships/hyperlink" Target="https://www.science.org/doi/abs/10.1126/sciadv.aec6741?af=R" TargetMode="External"/><Relationship Id="rId556" Type="http://schemas.openxmlformats.org/officeDocument/2006/relationships/hyperlink" Target="https://doi.org/10.1126/sciadv.aec6741" TargetMode="External"/><Relationship Id="rId557" Type="http://schemas.openxmlformats.org/officeDocument/2006/relationships/hyperlink" Target="https://www.science.org/doi/abs/10.1126/sciadv.aea2430?af=R" TargetMode="External"/><Relationship Id="rId558" Type="http://schemas.openxmlformats.org/officeDocument/2006/relationships/hyperlink" Target="https://doi.org/10.1126/sciadv.aea2430" TargetMode="External"/><Relationship Id="rId559" Type="http://schemas.openxmlformats.org/officeDocument/2006/relationships/hyperlink" Target="https://www.science.org/doi/abs/10.1126/sciadv.adz2992?af=R" TargetMode="External"/><Relationship Id="rId560" Type="http://schemas.openxmlformats.org/officeDocument/2006/relationships/hyperlink" Target="https://doi.org/10.1126/sciadv.adz2992" TargetMode="External"/><Relationship Id="rId561" Type="http://schemas.openxmlformats.org/officeDocument/2006/relationships/hyperlink" Target="https://www.science.org/doi/abs/10.1126/sciadv.adw9707?af=R" TargetMode="External"/><Relationship Id="rId562" Type="http://schemas.openxmlformats.org/officeDocument/2006/relationships/hyperlink" Target="https://doi.org/10.1126/sciadv.adw9707" TargetMode="External"/><Relationship Id="rId563" Type="http://schemas.openxmlformats.org/officeDocument/2006/relationships/hyperlink" Target="https://www.science.org/doi/abs/10.1126/sciadv.aea9457?af=R" TargetMode="External"/><Relationship Id="rId564" Type="http://schemas.openxmlformats.org/officeDocument/2006/relationships/hyperlink" Target="https://doi.org/10.1126/sciadv.aea9457" TargetMode="External"/><Relationship Id="rId565" Type="http://schemas.openxmlformats.org/officeDocument/2006/relationships/hyperlink" Target="https://www.science.org/doi/abs/10.1126/sciadv.aef1430?af=R" TargetMode="External"/><Relationship Id="rId566" Type="http://schemas.openxmlformats.org/officeDocument/2006/relationships/hyperlink" Target="https://doi.org/10.1126/sciadv.aef1430" TargetMode="External"/><Relationship Id="rId567" Type="http://schemas.openxmlformats.org/officeDocument/2006/relationships/hyperlink" Target="https://www.science.org/doi/abs/10.1126/sciadv.aef7326?af=R" TargetMode="External"/><Relationship Id="rId568" Type="http://schemas.openxmlformats.org/officeDocument/2006/relationships/hyperlink" Target="https://doi.org/10.1126/sciadv.aef7326" TargetMode="External"/><Relationship Id="rId569" Type="http://schemas.openxmlformats.org/officeDocument/2006/relationships/hyperlink" Target="https://www.pnas.org/doi/abs/10.1073/pnas.2622611123?mi=eymic2&amp;af=R&amp;access=on&amp;content=articlesChapters&amp;publication=pnas&amp;sortBy=Earliest&amp;target=default" TargetMode="External"/><Relationship Id="rId570" Type="http://schemas.openxmlformats.org/officeDocument/2006/relationships/hyperlink" Target="https://doi.org/10.1073/pnas.2622611123" TargetMode="External"/><Relationship Id="rId571" Type="http://schemas.openxmlformats.org/officeDocument/2006/relationships/hyperlink" Target="https://www.science.org/doi/abs/10.1126/sciadv.aea4296?af=R" TargetMode="External"/><Relationship Id="rId572" Type="http://schemas.openxmlformats.org/officeDocument/2006/relationships/hyperlink" Target="https://doi.org/10.1126/sciadv.aea4296" TargetMode="External"/><Relationship Id="rId573" Type="http://schemas.openxmlformats.org/officeDocument/2006/relationships/hyperlink" Target="https://www.pnas.org/doi/abs/10.1073/pnas.2608709123?mi=eymic2&amp;af=R&amp;access=on&amp;content=articlesChapters&amp;publication=pnas&amp;sortBy=Earliest&amp;target=default" TargetMode="External"/><Relationship Id="rId574" Type="http://schemas.openxmlformats.org/officeDocument/2006/relationships/hyperlink" Target="https://doi.org/10.1073/pnas.2608709123" TargetMode="External"/><Relationship Id="rId575" Type="http://schemas.openxmlformats.org/officeDocument/2006/relationships/hyperlink" Target="https://www.science.org/doi/abs/10.1126/sciadv.aeb3543?af=R" TargetMode="External"/><Relationship Id="rId576" Type="http://schemas.openxmlformats.org/officeDocument/2006/relationships/hyperlink" Target="https://doi.org/10.1126/sciadv.aeb3543" TargetMode="External"/><Relationship Id="rId577" Type="http://schemas.openxmlformats.org/officeDocument/2006/relationships/hyperlink" Target="https://www.science.org/doi/abs/10.1126/sciadv.aed5028?af=R" TargetMode="External"/><Relationship Id="rId578" Type="http://schemas.openxmlformats.org/officeDocument/2006/relationships/hyperlink" Target="https://doi.org/10.1126/sciadv.aed5028" TargetMode="External"/><Relationship Id="rId579" Type="http://schemas.openxmlformats.org/officeDocument/2006/relationships/hyperlink" Target="https://www.science.org/doi/abs/10.1126/sciadv.aed4197?af=R" TargetMode="External"/><Relationship Id="rId580" Type="http://schemas.openxmlformats.org/officeDocument/2006/relationships/hyperlink" Target="https://doi.org/10.1126/sciadv.aed4197" TargetMode="External"/><Relationship Id="rId581" Type="http://schemas.openxmlformats.org/officeDocument/2006/relationships/hyperlink" Target="https://www.science.org/doi/abs/10.1126/sciadv.aed6937?af=R" TargetMode="External"/><Relationship Id="rId582" Type="http://schemas.openxmlformats.org/officeDocument/2006/relationships/hyperlink" Target="https://doi.org/10.1126/sciadv.aed6937" TargetMode="External"/><Relationship Id="rId583" Type="http://schemas.openxmlformats.org/officeDocument/2006/relationships/hyperlink" Target="https://www.science.org/doi/abs/10.1126/sciadv.aec7394?af=R" TargetMode="External"/><Relationship Id="rId584" Type="http://schemas.openxmlformats.org/officeDocument/2006/relationships/hyperlink" Target="https://doi.org/10.1126/sciadv.aec7394" TargetMode="External"/><Relationship Id="rId585" Type="http://schemas.openxmlformats.org/officeDocument/2006/relationships/hyperlink" Target="https://www.science.org/doi/abs/10.1126/sciadv.aee5316?af=R" TargetMode="External"/><Relationship Id="rId586" Type="http://schemas.openxmlformats.org/officeDocument/2006/relationships/hyperlink" Target="https://doi.org/10.1126/sciadv.aee5316" TargetMode="External"/><Relationship Id="rId587" Type="http://schemas.openxmlformats.org/officeDocument/2006/relationships/hyperlink" Target="https://www.science.org/doi/abs/10.1126/sciadv.aec3824?af=R" TargetMode="External"/><Relationship Id="rId588" Type="http://schemas.openxmlformats.org/officeDocument/2006/relationships/hyperlink" Target="https://doi.org/10.1126/sciadv.aec3824" TargetMode="External"/><Relationship Id="rId589" Type="http://schemas.openxmlformats.org/officeDocument/2006/relationships/hyperlink" Target="https://www.science.org/doi/abs/10.1126/sciadv.aeb3636?af=R" TargetMode="External"/><Relationship Id="rId590" Type="http://schemas.openxmlformats.org/officeDocument/2006/relationships/hyperlink" Target="https://doi.org/10.1126/sciadv.aeb3636" TargetMode="External"/><Relationship Id="rId591" Type="http://schemas.openxmlformats.org/officeDocument/2006/relationships/hyperlink" Target="https://www.pnas.org/doi/abs/10.1073/pnas.2610049123?mi=eymic2&amp;af=R&amp;access=on&amp;content=articlesChapters&amp;publication=pnas&amp;sortBy=Earliest&amp;target=default" TargetMode="External"/><Relationship Id="rId592" Type="http://schemas.openxmlformats.org/officeDocument/2006/relationships/hyperlink" Target="https://doi.org/10.1073/pnas.2610049123" TargetMode="External"/><Relationship Id="rId593" Type="http://schemas.openxmlformats.org/officeDocument/2006/relationships/hyperlink" Target="https://www.pnas.org/doi/abs/10.1073/pnas.2532063123?mi=eymic2&amp;af=R&amp;access=on&amp;content=articlesChapters&amp;publication=pnas&amp;sortBy=Earliest&amp;target=default" TargetMode="External"/><Relationship Id="rId594" Type="http://schemas.openxmlformats.org/officeDocument/2006/relationships/hyperlink" Target="https://doi.org/10.1073/pnas.2532063123" TargetMode="External"/><Relationship Id="rId595" Type="http://schemas.openxmlformats.org/officeDocument/2006/relationships/hyperlink" Target="https://www.pnas.org/doi/abs/10.1073/pnas.2602128123?mi=eymic2&amp;af=R&amp;access=on&amp;content=articlesChapters&amp;publication=pnas&amp;sortBy=Earliest&amp;target=default" TargetMode="External"/><Relationship Id="rId596" Type="http://schemas.openxmlformats.org/officeDocument/2006/relationships/hyperlink" Target="https://doi.org/10.1073/pnas.2602128123" TargetMode="External"/><Relationship Id="rId597" Type="http://schemas.openxmlformats.org/officeDocument/2006/relationships/hyperlink" Target="https://www.science.org/doi/abs/10.1126/sciadv.aeb6386?af=R" TargetMode="External"/><Relationship Id="rId598" Type="http://schemas.openxmlformats.org/officeDocument/2006/relationships/hyperlink" Target="https://doi.org/10.1126/sciadv.aeb6386" TargetMode="External"/><Relationship Id="rId599" Type="http://schemas.openxmlformats.org/officeDocument/2006/relationships/hyperlink" Target="https://www.pnas.org/doi/abs/10.1073/pnas.2603069123?mi=eymic2&amp;af=R&amp;access=on&amp;content=articlesChapters&amp;publication=pnas&amp;sortBy=Earliest&amp;target=default" TargetMode="External"/><Relationship Id="rId600" Type="http://schemas.openxmlformats.org/officeDocument/2006/relationships/hyperlink" Target="https://doi.org/10.1073/pnas.2603069123" TargetMode="External"/><Relationship Id="rId601" Type="http://schemas.openxmlformats.org/officeDocument/2006/relationships/hyperlink" Target="https://www.pnas.org/doi/abs/10.1073/pnas.2603194123?mi=eymic2&amp;af=R&amp;access=on&amp;content=articlesChapters&amp;publication=pnas&amp;sortBy=Earliest&amp;target=default" TargetMode="External"/><Relationship Id="rId602" Type="http://schemas.openxmlformats.org/officeDocument/2006/relationships/hyperlink" Target="https://doi.org/10.1073/pnas.2603194123" TargetMode="External"/><Relationship Id="rId603" Type="http://schemas.openxmlformats.org/officeDocument/2006/relationships/hyperlink" Target="https://www.pnas.org/doi/abs/10.1073/pnas.2607437123?mi=eymic2&amp;af=R&amp;access=on&amp;content=articlesChapters&amp;publication=pnas&amp;sortBy=Earliest&amp;target=default" TargetMode="External"/><Relationship Id="rId604" Type="http://schemas.openxmlformats.org/officeDocument/2006/relationships/hyperlink" Target="https://doi.org/10.1073/pnas.2607437123" TargetMode="External"/><Relationship Id="rId605" Type="http://schemas.openxmlformats.org/officeDocument/2006/relationships/hyperlink" Target="https://www.science.org/doi/abs/10.1126/sciadv.aec8488?af=R" TargetMode="External"/><Relationship Id="rId606" Type="http://schemas.openxmlformats.org/officeDocument/2006/relationships/hyperlink" Target="https://doi.org/10.1126/sciadv.aec8488" TargetMode="External"/><Relationship Id="rId607" Type="http://schemas.openxmlformats.org/officeDocument/2006/relationships/hyperlink" Target="http://link.aps.org/doi/10.1103/byzm-k9lw" TargetMode="External"/><Relationship Id="rId608" Type="http://schemas.openxmlformats.org/officeDocument/2006/relationships/hyperlink" Target="https://doi.org/10.1103/byzm-k9lw" TargetMode="External"/><Relationship Id="rId609" Type="http://schemas.openxmlformats.org/officeDocument/2006/relationships/hyperlink" Target="http://link.aps.org/doi/10.1103/jhgx-c8f1" TargetMode="External"/><Relationship Id="rId610" Type="http://schemas.openxmlformats.org/officeDocument/2006/relationships/hyperlink" Target="https://doi.org/10.1103/jhgx-c8f1" TargetMode="External"/><Relationship Id="rId611" Type="http://schemas.openxmlformats.org/officeDocument/2006/relationships/hyperlink" Target="http://link.aps.org/doi/10.1103/dldv-n4f2" TargetMode="External"/><Relationship Id="rId612" Type="http://schemas.openxmlformats.org/officeDocument/2006/relationships/hyperlink" Target="https://doi.org/10.1103/dldv-n4f2" TargetMode="External"/><Relationship Id="rId613" Type="http://schemas.openxmlformats.org/officeDocument/2006/relationships/hyperlink" Target="http://link.aps.org/doi/10.1103/wsyy-p1ly" TargetMode="External"/><Relationship Id="rId614" Type="http://schemas.openxmlformats.org/officeDocument/2006/relationships/hyperlink" Target="https://doi.org/10.1103/wsyy-p1ly" TargetMode="External"/><Relationship Id="rId615" Type="http://schemas.openxmlformats.org/officeDocument/2006/relationships/hyperlink" Target="http://link.aps.org/doi/10.1103/yb8k-7tpg" TargetMode="External"/><Relationship Id="rId616" Type="http://schemas.openxmlformats.org/officeDocument/2006/relationships/hyperlink" Target="https://doi.org/10.1103/yb8k-7tpg" TargetMode="External"/><Relationship Id="rId617" Type="http://schemas.openxmlformats.org/officeDocument/2006/relationships/hyperlink" Target="https://onlinelibrary.wiley.com/doi/10.1002/anie.5650963?af=R" TargetMode="External"/><Relationship Id="rId618" Type="http://schemas.openxmlformats.org/officeDocument/2006/relationships/hyperlink" Target="https://doi.org/10.1002/anie.5650963" TargetMode="External"/><Relationship Id="rId619" Type="http://schemas.openxmlformats.org/officeDocument/2006/relationships/hyperlink" Target="https://onlinelibrary.wiley.com/doi/10.1002/anie.9277722?af=R" TargetMode="External"/><Relationship Id="rId620" Type="http://schemas.openxmlformats.org/officeDocument/2006/relationships/hyperlink" Target="https://doi.org/10.1002/anie.9277722" TargetMode="External"/><Relationship Id="rId621" Type="http://schemas.openxmlformats.org/officeDocument/2006/relationships/hyperlink" Target="https://onlinelibrary.wiley.com/doi/10.1002/anie.2653602?af=R" TargetMode="External"/><Relationship Id="rId622" Type="http://schemas.openxmlformats.org/officeDocument/2006/relationships/hyperlink" Target="https://doi.org/10.1002/anie.2653602" TargetMode="External"/><Relationship Id="rId623" Type="http://schemas.openxmlformats.org/officeDocument/2006/relationships/hyperlink" Target="https://onlinelibrary.wiley.com/doi/10.1002/anie.2073269?af=R" TargetMode="External"/><Relationship Id="rId624" Type="http://schemas.openxmlformats.org/officeDocument/2006/relationships/hyperlink" Target="https://doi.org/10.1002/anie.2073269" TargetMode="External"/><Relationship Id="rId625" Type="http://schemas.openxmlformats.org/officeDocument/2006/relationships/hyperlink" Target="https://onlinelibrary.wiley.com/doi/10.1002/anie.2621546?af=R" TargetMode="External"/><Relationship Id="rId626" Type="http://schemas.openxmlformats.org/officeDocument/2006/relationships/hyperlink" Target="https://doi.org/10.1002/anie.2621546" TargetMode="External"/><Relationship Id="rId627" Type="http://schemas.openxmlformats.org/officeDocument/2006/relationships/hyperlink" Target="https://onlinelibrary.wiley.com/doi/10.1002/anie.7568921?af=R" TargetMode="External"/><Relationship Id="rId628" Type="http://schemas.openxmlformats.org/officeDocument/2006/relationships/hyperlink" Target="https://doi.org/10.1002/anie.7568921" TargetMode="External"/><Relationship Id="rId629" Type="http://schemas.openxmlformats.org/officeDocument/2006/relationships/hyperlink" Target="https://onlinelibrary.wiley.com/doi/10.1002/anie.8648830?af=R" TargetMode="External"/><Relationship Id="rId630" Type="http://schemas.openxmlformats.org/officeDocument/2006/relationships/hyperlink" Target="https://doi.org/10.1002/anie.8648830" TargetMode="External"/><Relationship Id="rId631" Type="http://schemas.openxmlformats.org/officeDocument/2006/relationships/hyperlink" Target="https://onlinelibrary.wiley.com/doi/10.1002/anie.4495111?af=R" TargetMode="External"/><Relationship Id="rId632" Type="http://schemas.openxmlformats.org/officeDocument/2006/relationships/hyperlink" Target="https://doi.org/10.1002/anie.4495111" TargetMode="External"/><Relationship Id="rId633" Type="http://schemas.openxmlformats.org/officeDocument/2006/relationships/hyperlink" Target="https://onlinelibrary.wiley.com/doi/10.1002/anie.4976163?af=R" TargetMode="External"/><Relationship Id="rId634" Type="http://schemas.openxmlformats.org/officeDocument/2006/relationships/hyperlink" Target="https://doi.org/10.1002/anie.4976163" TargetMode="External"/><Relationship Id="rId635" Type="http://schemas.openxmlformats.org/officeDocument/2006/relationships/hyperlink" Target="https://onlinelibrary.wiley.com/doi/10.1002/anie.7774464?af=R" TargetMode="External"/><Relationship Id="rId636" Type="http://schemas.openxmlformats.org/officeDocument/2006/relationships/hyperlink" Target="https://doi.org/10.1002/anie.7774464" TargetMode="External"/><Relationship Id="rId637" Type="http://schemas.openxmlformats.org/officeDocument/2006/relationships/hyperlink" Target="https://onlinelibrary.wiley.com/doi/10.1002/anie.1144662?af=R" TargetMode="External"/><Relationship Id="rId638" Type="http://schemas.openxmlformats.org/officeDocument/2006/relationships/hyperlink" Target="https://doi.org/10.1002/anie.1144662" TargetMode="External"/><Relationship Id="rId639" Type="http://schemas.openxmlformats.org/officeDocument/2006/relationships/hyperlink" Target="https://onlinelibrary.wiley.com/doi/10.1002/anie.9479227?af=R" TargetMode="External"/><Relationship Id="rId640" Type="http://schemas.openxmlformats.org/officeDocument/2006/relationships/hyperlink" Target="https://doi.org/10.1002/anie.9479227" TargetMode="External"/><Relationship Id="rId641" Type="http://schemas.openxmlformats.org/officeDocument/2006/relationships/hyperlink" Target="https://onlinelibrary.wiley.com/doi/10.1002/anie.7332846?af=R" TargetMode="External"/><Relationship Id="rId642" Type="http://schemas.openxmlformats.org/officeDocument/2006/relationships/hyperlink" Target="https://doi.org/10.1002/anie.7332846" TargetMode="External"/><Relationship Id="rId643" Type="http://schemas.openxmlformats.org/officeDocument/2006/relationships/hyperlink" Target="https://onlinelibrary.wiley.com/doi/10.1002/anie.1508970?af=R" TargetMode="External"/><Relationship Id="rId644" Type="http://schemas.openxmlformats.org/officeDocument/2006/relationships/hyperlink" Target="https://doi.org/10.1002/anie.1508970" TargetMode="External"/><Relationship Id="rId645" Type="http://schemas.openxmlformats.org/officeDocument/2006/relationships/hyperlink" Target="https://onlinelibrary.wiley.com/doi/10.1002/anie.4230000?af=R" TargetMode="External"/><Relationship Id="rId646" Type="http://schemas.openxmlformats.org/officeDocument/2006/relationships/hyperlink" Target="https://doi.org/10.1002/anie.4230000" TargetMode="External"/><Relationship Id="rId647" Type="http://schemas.openxmlformats.org/officeDocument/2006/relationships/hyperlink" Target="https://advanced.onlinelibrary.wiley.com/doi/10.1002/adma.73978?af=R" TargetMode="External"/><Relationship Id="rId648" Type="http://schemas.openxmlformats.org/officeDocument/2006/relationships/hyperlink" Target="https://doi.org/10.1002/adma.73978" TargetMode="External"/><Relationship Id="rId649" Type="http://schemas.openxmlformats.org/officeDocument/2006/relationships/hyperlink" Target="https://advanced.onlinelibrary.wiley.com/doi/10.1002/adma.74107?af=R" TargetMode="External"/><Relationship Id="rId650" Type="http://schemas.openxmlformats.org/officeDocument/2006/relationships/hyperlink" Target="https://doi.org/10.1002/adma.74107" TargetMode="External"/><Relationship Id="rId651" Type="http://schemas.openxmlformats.org/officeDocument/2006/relationships/hyperlink" Target="https://advanced.onlinelibrary.wiley.com/doi/10.1002/adma.202517721?af=R" TargetMode="External"/><Relationship Id="rId652" Type="http://schemas.openxmlformats.org/officeDocument/2006/relationships/hyperlink" Target="https://doi.org/10.1002/adma.202517721" TargetMode="External"/><Relationship Id="rId653" Type="http://schemas.openxmlformats.org/officeDocument/2006/relationships/hyperlink" Target="https://advanced.onlinelibrary.wiley.com/doi/10.1002/adma.74325?af=R" TargetMode="External"/><Relationship Id="rId654" Type="http://schemas.openxmlformats.org/officeDocument/2006/relationships/hyperlink" Target="https://doi.org/10.1002/adma.74325" TargetMode="External"/><Relationship Id="rId655" Type="http://schemas.openxmlformats.org/officeDocument/2006/relationships/hyperlink" Target="https://advanced.onlinelibrary.wiley.com/doi/10.1002/adma.74288?af=R" TargetMode="External"/><Relationship Id="rId656" Type="http://schemas.openxmlformats.org/officeDocument/2006/relationships/hyperlink" Target="https://doi.org/10.1002/adma.74288" TargetMode="External"/><Relationship Id="rId657" Type="http://schemas.openxmlformats.org/officeDocument/2006/relationships/hyperlink" Target="https://www.nature.com/articles/s41467-026-75992-9" TargetMode="External"/><Relationship Id="rId658" Type="http://schemas.openxmlformats.org/officeDocument/2006/relationships/hyperlink" Target="https://www.nature.com/articles/s41467-026-75352-7" TargetMode="External"/><Relationship Id="rId659" Type="http://schemas.openxmlformats.org/officeDocument/2006/relationships/hyperlink" Target="https://www.nature.com/articles/s41467-026-76034-0" TargetMode="External"/><Relationship Id="rId660" Type="http://schemas.openxmlformats.org/officeDocument/2006/relationships/hyperlink" Target="https://www.nature.com/articles/s41467-026-75446-2" TargetMode="External"/><Relationship Id="rId661" Type="http://schemas.openxmlformats.org/officeDocument/2006/relationships/hyperlink" Target="https://www.nature.com/articles/s41467-026-75886-w" TargetMode="External"/><Relationship Id="rId662" Type="http://schemas.openxmlformats.org/officeDocument/2006/relationships/hyperlink" Target="https://www.nature.com/articles/s41467-026-75985-8" TargetMode="External"/><Relationship Id="rId663" Type="http://schemas.openxmlformats.org/officeDocument/2006/relationships/hyperlink" Target="https://www.nature.com/articles/s41467-026-75565-w" TargetMode="External"/><Relationship Id="rId664" Type="http://schemas.openxmlformats.org/officeDocument/2006/relationships/hyperlink" Target="https://www.nature.com/articles/s41467-026-75819-7" TargetMode="External"/><Relationship Id="rId665" Type="http://schemas.openxmlformats.org/officeDocument/2006/relationships/hyperlink" Target="https://www.nature.com/articles/s41467-026-75945-2" TargetMode="External"/><Relationship Id="rId666" Type="http://schemas.openxmlformats.org/officeDocument/2006/relationships/hyperlink" Target="https://www.nature.com/articles/s41467-026-75391-0" TargetMode="External"/><Relationship Id="rId667" Type="http://schemas.openxmlformats.org/officeDocument/2006/relationships/hyperlink" Target="https://www.nature.com/articles/s41467-026-75829-5" TargetMode="External"/><Relationship Id="rId668" Type="http://schemas.openxmlformats.org/officeDocument/2006/relationships/hyperlink" Target="https://www.nature.com/articles/s41467-026-76107-0" TargetMode="External"/><Relationship Id="rId669" Type="http://schemas.openxmlformats.org/officeDocument/2006/relationships/hyperlink" Target="https://www.nature.com/articles/s41467-026-75805-z" TargetMode="External"/><Relationship Id="rId670" Type="http://schemas.openxmlformats.org/officeDocument/2006/relationships/hyperlink" Target="https://www.nature.com/articles/s41467-026-75948-z" TargetMode="External"/><Relationship Id="rId671" Type="http://schemas.openxmlformats.org/officeDocument/2006/relationships/hyperlink" Target="https://www.nature.com/articles/s41467-026-76094-2" TargetMode="External"/><Relationship Id="rId672" Type="http://schemas.openxmlformats.org/officeDocument/2006/relationships/hyperlink" Target="https://www.nature.com/articles/s41467-026-75906-9" TargetMode="External"/><Relationship Id="rId673" Type="http://schemas.openxmlformats.org/officeDocument/2006/relationships/hyperlink" Target="https://www.sciencedirect.com/science/article/pii/S0306261926011578?dgcid=rss_sd_all" TargetMode="External"/><Relationship Id="rId674" Type="http://schemas.openxmlformats.org/officeDocument/2006/relationships/hyperlink" Target="https://doi.org/10.1016/j.apenergy.2026.128501" TargetMode="External"/><Relationship Id="rId675" Type="http://schemas.openxmlformats.org/officeDocument/2006/relationships/hyperlink" Target="https://www.nature.com/articles/s41467-026-76052-y" TargetMode="External"/><Relationship Id="rId676" Type="http://schemas.openxmlformats.org/officeDocument/2006/relationships/hyperlink" Target="https://www.sciencedirect.com/science/article/pii/S030626192601158X?dgcid=rss_sd_all" TargetMode="External"/><Relationship Id="rId677" Type="http://schemas.openxmlformats.org/officeDocument/2006/relationships/hyperlink" Target="https://doi.org/10.1016/j.apenergy.2026.128502" TargetMode="External"/><Relationship Id="rId678" Type="http://schemas.openxmlformats.org/officeDocument/2006/relationships/hyperlink" Target="https://www.nature.com/articles/s41467-026-75780-5" TargetMode="External"/><Relationship Id="rId679" Type="http://schemas.openxmlformats.org/officeDocument/2006/relationships/hyperlink" Target="https://www.nature.com/articles/s41467-026-75899-5" TargetMode="External"/><Relationship Id="rId680" Type="http://schemas.openxmlformats.org/officeDocument/2006/relationships/hyperlink" Target="https://www.nature.com/articles/s41467-026-75712-3" TargetMode="External"/><Relationship Id="rId681" Type="http://schemas.openxmlformats.org/officeDocument/2006/relationships/hyperlink" Target="https://www.nature.com/articles/s41467-026-75995-6" TargetMode="External"/><Relationship Id="rId682" Type="http://schemas.openxmlformats.org/officeDocument/2006/relationships/hyperlink" Target="https://onlinelibrary.wiley.com/doi/10.1002/anie.9590374?af=R" TargetMode="External"/><Relationship Id="rId683" Type="http://schemas.openxmlformats.org/officeDocument/2006/relationships/hyperlink" Target="https://doi.org/10.1002/anie.9590374" TargetMode="External"/><Relationship Id="rId684" Type="http://schemas.openxmlformats.org/officeDocument/2006/relationships/hyperlink" Target="https://onlinelibrary.wiley.com/doi/10.1002/anie.7178987?af=R" TargetMode="External"/><Relationship Id="rId685" Type="http://schemas.openxmlformats.org/officeDocument/2006/relationships/hyperlink" Target="https://doi.org/10.1002/anie.7178987" TargetMode="External"/><Relationship Id="rId686" Type="http://schemas.openxmlformats.org/officeDocument/2006/relationships/hyperlink" Target="https://onlinelibrary.wiley.com/doi/10.1002/anie.9905607?af=R" TargetMode="External"/><Relationship Id="rId687" Type="http://schemas.openxmlformats.org/officeDocument/2006/relationships/hyperlink" Target="https://doi.org/10.1002/anie.9905607" TargetMode="External"/><Relationship Id="rId688" Type="http://schemas.openxmlformats.org/officeDocument/2006/relationships/hyperlink" Target="https://onlinelibrary.wiley.com/doi/10.1002/anie.1497931?af=R" TargetMode="External"/><Relationship Id="rId689" Type="http://schemas.openxmlformats.org/officeDocument/2006/relationships/hyperlink" Target="https://doi.org/10.1002/anie.1497931" TargetMode="External"/><Relationship Id="rId690" Type="http://schemas.openxmlformats.org/officeDocument/2006/relationships/hyperlink" Target="https://advanced.onlinelibrary.wiley.com/doi/10.1002/aenm.71356?af=R" TargetMode="External"/><Relationship Id="rId691" Type="http://schemas.openxmlformats.org/officeDocument/2006/relationships/hyperlink" Target="https://doi.org/10.1002/aenm.71356" TargetMode="External"/><Relationship Id="rId692" Type="http://schemas.openxmlformats.org/officeDocument/2006/relationships/hyperlink" Target="https://advanced.onlinelibrary.wiley.com/doi/10.1002/adma.74318?af=R" TargetMode="External"/><Relationship Id="rId693" Type="http://schemas.openxmlformats.org/officeDocument/2006/relationships/hyperlink" Target="https://doi.org/10.1002/adma.74318" TargetMode="External"/><Relationship Id="rId694" Type="http://schemas.openxmlformats.org/officeDocument/2006/relationships/hyperlink" Target="https://advanced.onlinelibrary.wiley.com/doi/10.1002/adma.74281?af=R" TargetMode="External"/><Relationship Id="rId695" Type="http://schemas.openxmlformats.org/officeDocument/2006/relationships/hyperlink" Target="https://doi.org/10.1002/adma.74281" TargetMode="External"/><Relationship Id="rId696" Type="http://schemas.openxmlformats.org/officeDocument/2006/relationships/hyperlink" Target="https://advanced.onlinelibrary.wiley.com/doi/10.1002/adma.74265?af=R" TargetMode="External"/><Relationship Id="rId697" Type="http://schemas.openxmlformats.org/officeDocument/2006/relationships/hyperlink" Target="https://doi.org/10.1002/adma.74265" TargetMode="External"/><Relationship Id="rId698" Type="http://schemas.openxmlformats.org/officeDocument/2006/relationships/hyperlink" Target="https://advanced.onlinelibrary.wiley.com/doi/10.1002/adma.74172?af=R" TargetMode="External"/><Relationship Id="rId699" Type="http://schemas.openxmlformats.org/officeDocument/2006/relationships/hyperlink" Target="https://doi.org/10.1002/adma.74172" TargetMode="External"/><Relationship Id="rId700" Type="http://schemas.openxmlformats.org/officeDocument/2006/relationships/hyperlink" Target="https://advanced.onlinelibrary.wiley.com/doi/10.1002/adma.74185?af=R" TargetMode="External"/><Relationship Id="rId701" Type="http://schemas.openxmlformats.org/officeDocument/2006/relationships/hyperlink" Target="https://doi.org/10.1002/adma.74185" TargetMode="External"/><Relationship Id="rId702" Type="http://schemas.openxmlformats.org/officeDocument/2006/relationships/hyperlink" Target="https://advanced.onlinelibrary.wiley.com/doi/10.1002/adma.74335?af=R" TargetMode="External"/><Relationship Id="rId703" Type="http://schemas.openxmlformats.org/officeDocument/2006/relationships/hyperlink" Target="https://doi.org/10.1002/adma.74335" TargetMode="External"/><Relationship Id="rId704" Type="http://schemas.openxmlformats.org/officeDocument/2006/relationships/hyperlink" Target="https://advanced.onlinelibrary.wiley.com/doi/10.1002/adma.74044?af=R" TargetMode="External"/><Relationship Id="rId705" Type="http://schemas.openxmlformats.org/officeDocument/2006/relationships/hyperlink" Target="https://doi.org/10.1002/adma.74044" TargetMode="External"/><Relationship Id="rId706" Type="http://schemas.openxmlformats.org/officeDocument/2006/relationships/hyperlink" Target="https://advanced.onlinelibrary.wiley.com/doi/10.1002/adma.202518224?af=R" TargetMode="External"/><Relationship Id="rId707" Type="http://schemas.openxmlformats.org/officeDocument/2006/relationships/hyperlink" Target="https://doi.org/10.1002/adma.202518224" TargetMode="External"/><Relationship Id="rId708" Type="http://schemas.openxmlformats.org/officeDocument/2006/relationships/hyperlink" Target="https://advanced.onlinelibrary.wiley.com/doi/10.1002/adma.74307?af=R" TargetMode="External"/><Relationship Id="rId709" Type="http://schemas.openxmlformats.org/officeDocument/2006/relationships/hyperlink" Target="https://doi.org/10.1002/adma.74307" TargetMode="External"/><Relationship Id="rId710" Type="http://schemas.openxmlformats.org/officeDocument/2006/relationships/hyperlink" Target="https://advanced.onlinelibrary.wiley.com/doi/10.1002/adma.74203?af=R" TargetMode="External"/><Relationship Id="rId711" Type="http://schemas.openxmlformats.org/officeDocument/2006/relationships/hyperlink" Target="https://doi.org/10.1002/adma.74203" TargetMode="External"/><Relationship Id="rId712" Type="http://schemas.openxmlformats.org/officeDocument/2006/relationships/hyperlink" Target="https://advanced.onlinelibrary.wiley.com/doi/10.1002/adma.74308?af=R" TargetMode="External"/><Relationship Id="rId713" Type="http://schemas.openxmlformats.org/officeDocument/2006/relationships/hyperlink" Target="https://doi.org/10.1002/adma.74308" TargetMode="External"/><Relationship Id="rId714" Type="http://schemas.openxmlformats.org/officeDocument/2006/relationships/hyperlink" Target="https://advanced.onlinelibrary.wiley.com/doi/10.1002/adma.74352?af=R" TargetMode="External"/><Relationship Id="rId715" Type="http://schemas.openxmlformats.org/officeDocument/2006/relationships/hyperlink" Target="https://doi.org/10.1002/adma.74352" TargetMode="External"/><Relationship Id="rId716" Type="http://schemas.openxmlformats.org/officeDocument/2006/relationships/hyperlink" Target="https://advanced.onlinelibrary.wiley.com/doi/10.1002/adma.74311?af=R" TargetMode="External"/><Relationship Id="rId717" Type="http://schemas.openxmlformats.org/officeDocument/2006/relationships/hyperlink" Target="https://doi.org/10.1002/adma.74311" TargetMode="External"/><Relationship Id="rId718" Type="http://schemas.openxmlformats.org/officeDocument/2006/relationships/hyperlink" Target="https://advanced.onlinelibrary.wiley.com/doi/10.1002/adma.74304?af=R" TargetMode="External"/><Relationship Id="rId719" Type="http://schemas.openxmlformats.org/officeDocument/2006/relationships/hyperlink" Target="https://doi.org/10.1002/adma.74304" TargetMode="External"/><Relationship Id="rId720" Type="http://schemas.openxmlformats.org/officeDocument/2006/relationships/hyperlink" Target="https://advanced.onlinelibrary.wiley.com/doi/10.1002/adma.74189?af=R" TargetMode="External"/><Relationship Id="rId721" Type="http://schemas.openxmlformats.org/officeDocument/2006/relationships/hyperlink" Target="https://doi.org/10.1002/adma.74189" TargetMode="External"/><Relationship Id="rId722" Type="http://schemas.openxmlformats.org/officeDocument/2006/relationships/hyperlink" Target="https://advanced.onlinelibrary.wiley.com/doi/10.1002/adma.74330?af=R" TargetMode="External"/><Relationship Id="rId723" Type="http://schemas.openxmlformats.org/officeDocument/2006/relationships/hyperlink" Target="https://doi.org/10.1002/adma.74330" TargetMode="External"/><Relationship Id="rId724" Type="http://schemas.openxmlformats.org/officeDocument/2006/relationships/hyperlink" Target="https://pubs.acs.org/doi/10.1021/jacs.6c11370" TargetMode="External"/><Relationship Id="rId725" Type="http://schemas.openxmlformats.org/officeDocument/2006/relationships/hyperlink" Target="https://doi.org/10.1021/jacs.6c11370" TargetMode="External"/><Relationship Id="rId726" Type="http://schemas.openxmlformats.org/officeDocument/2006/relationships/hyperlink" Target="https://pubs.acs.org/doi/10.1021/jacs.6c09188" TargetMode="External"/><Relationship Id="rId727" Type="http://schemas.openxmlformats.org/officeDocument/2006/relationships/hyperlink" Target="https://doi.org/10.1021/jacs.6c09188" TargetMode="External"/><Relationship Id="rId728" Type="http://schemas.openxmlformats.org/officeDocument/2006/relationships/hyperlink" Target="https://pubs.acs.org/doi/10.1021/jacs.6c06773" TargetMode="External"/><Relationship Id="rId729" Type="http://schemas.openxmlformats.org/officeDocument/2006/relationships/hyperlink" Target="https://doi.org/10.1021/jacs.6c06773" TargetMode="External"/><Relationship Id="rId730" Type="http://schemas.openxmlformats.org/officeDocument/2006/relationships/hyperlink" Target="https://pubs.acs.org/doi/10.1021/jacs.6c12866" TargetMode="External"/><Relationship Id="rId731" Type="http://schemas.openxmlformats.org/officeDocument/2006/relationships/hyperlink" Target="https://doi.org/10.1021/jacs.6c12866" TargetMode="External"/><Relationship Id="rId732" Type="http://schemas.openxmlformats.org/officeDocument/2006/relationships/hyperlink" Target="https://pubs.acs.org/doi/10.1021/jacs.6c05465" TargetMode="External"/><Relationship Id="rId733" Type="http://schemas.openxmlformats.org/officeDocument/2006/relationships/hyperlink" Target="https://doi.org/10.1021/jacs.6c05465" TargetMode="External"/><Relationship Id="rId734" Type="http://schemas.openxmlformats.org/officeDocument/2006/relationships/hyperlink" Target="https://pubs.acs.org/doi/10.1021/jacs.6c10807" TargetMode="External"/><Relationship Id="rId735" Type="http://schemas.openxmlformats.org/officeDocument/2006/relationships/hyperlink" Target="https://doi.org/10.1021/jacs.6c10807" TargetMode="External"/><Relationship Id="rId736" Type="http://schemas.openxmlformats.org/officeDocument/2006/relationships/hyperlink" Target="https://pubs.acs.org/doi/10.1021/jacs.6c08384" TargetMode="External"/><Relationship Id="rId737" Type="http://schemas.openxmlformats.org/officeDocument/2006/relationships/hyperlink" Target="https://doi.org/10.1021/jacs.6c08384" TargetMode="External"/><Relationship Id="rId738" Type="http://schemas.openxmlformats.org/officeDocument/2006/relationships/hyperlink" Target="https://pubs.acs.org/doi/10.1021/jacs.5c22197" TargetMode="External"/><Relationship Id="rId739" Type="http://schemas.openxmlformats.org/officeDocument/2006/relationships/hyperlink" Target="https://doi.org/10.1021/jacs.5c22197" TargetMode="External"/><Relationship Id="rId740" Type="http://schemas.openxmlformats.org/officeDocument/2006/relationships/hyperlink" Target="https://pubs.acs.org/doi/10.1021/jacs.6c08476" TargetMode="External"/><Relationship Id="rId741" Type="http://schemas.openxmlformats.org/officeDocument/2006/relationships/hyperlink" Target="https://doi.org/10.1021/jacs.6c08476" TargetMode="External"/><Relationship Id="rId742" Type="http://schemas.openxmlformats.org/officeDocument/2006/relationships/hyperlink" Target="https://pubs.acs.org/doi/10.1021/jacs.6c10015" TargetMode="External"/><Relationship Id="rId743" Type="http://schemas.openxmlformats.org/officeDocument/2006/relationships/hyperlink" Target="https://doi.org/10.1021/jacs.6c10015" TargetMode="External"/><Relationship Id="rId744" Type="http://schemas.openxmlformats.org/officeDocument/2006/relationships/hyperlink" Target="https://pubs.acs.org/doi/10.1021/jacs.6c07731" TargetMode="External"/><Relationship Id="rId745" Type="http://schemas.openxmlformats.org/officeDocument/2006/relationships/hyperlink" Target="https://doi.org/10.1021/jacs.6c07731" TargetMode="External"/><Relationship Id="rId746" Type="http://schemas.openxmlformats.org/officeDocument/2006/relationships/hyperlink" Target="https://pubs.acs.org/doi/10.1021/jacs.6c07395" TargetMode="External"/><Relationship Id="rId747" Type="http://schemas.openxmlformats.org/officeDocument/2006/relationships/hyperlink" Target="https://doi.org/10.1021/jacs.6c07395" TargetMode="External"/><Relationship Id="rId748" Type="http://schemas.openxmlformats.org/officeDocument/2006/relationships/hyperlink" Target="https://pubs.acs.org/doi/10.1021/jacs.6c08190" TargetMode="External"/><Relationship Id="rId749" Type="http://schemas.openxmlformats.org/officeDocument/2006/relationships/hyperlink" Target="https://doi.org/10.1021/jacs.6c08190" TargetMode="External"/><Relationship Id="rId750" Type="http://schemas.openxmlformats.org/officeDocument/2006/relationships/hyperlink" Target="https://pubs.acs.org/doi/10.1021/acs.chemrev.5c00650" TargetMode="External"/><Relationship Id="rId751" Type="http://schemas.openxmlformats.org/officeDocument/2006/relationships/hyperlink" Target="https://doi.org/10.1021/acs.chemrev.5c00650" TargetMode="External"/><Relationship Id="rId752" Type="http://schemas.openxmlformats.org/officeDocument/2006/relationships/hyperlink" Target="https://pubs.acs.org/doi/10.1021/acsami.6c11556" TargetMode="External"/><Relationship Id="rId753" Type="http://schemas.openxmlformats.org/officeDocument/2006/relationships/hyperlink" Target="https://doi.org/10.1021/acsami.6c11556" TargetMode="External"/><Relationship Id="rId754" Type="http://schemas.openxmlformats.org/officeDocument/2006/relationships/hyperlink" Target="https://pubs.acs.org/doi/10.1021/jacs.6c10051" TargetMode="External"/><Relationship Id="rId755" Type="http://schemas.openxmlformats.org/officeDocument/2006/relationships/hyperlink" Target="https://doi.org/10.1021/jacs.6c10051" TargetMode="External"/><Relationship Id="rId756" Type="http://schemas.openxmlformats.org/officeDocument/2006/relationships/hyperlink" Target="https://pubs.acs.org/doi/10.1021/jacs.6c10121" TargetMode="External"/><Relationship Id="rId757" Type="http://schemas.openxmlformats.org/officeDocument/2006/relationships/hyperlink" Target="https://doi.org/10.1021/jacs.6c10121" TargetMode="External"/><Relationship Id="rId758" Type="http://schemas.openxmlformats.org/officeDocument/2006/relationships/hyperlink" Target="https://pubs.acs.org/doi/10.1021/jacs.6c05240" TargetMode="External"/><Relationship Id="rId759" Type="http://schemas.openxmlformats.org/officeDocument/2006/relationships/hyperlink" Target="https://doi.org/10.1021/jacs.6c05240" TargetMode="External"/><Relationship Id="rId760" Type="http://schemas.openxmlformats.org/officeDocument/2006/relationships/hyperlink" Target="https://www.nature.com/articles/s41467-026-75673-7" TargetMode="External"/><Relationship Id="rId761" Type="http://schemas.openxmlformats.org/officeDocument/2006/relationships/hyperlink" Target="https://pubs.acs.org/doi/10.1021/acsami.6c02611" TargetMode="External"/><Relationship Id="rId762" Type="http://schemas.openxmlformats.org/officeDocument/2006/relationships/hyperlink" Target="https://doi.org/10.1021/acsami.6c02611" TargetMode="External"/><Relationship Id="rId763" Type="http://schemas.openxmlformats.org/officeDocument/2006/relationships/hyperlink" Target="https://www.sciencedirect.com/science/article/pii/S0301421526004544?dgcid=rss_sd_all" TargetMode="External"/><Relationship Id="rId764" Type="http://schemas.openxmlformats.org/officeDocument/2006/relationships/hyperlink" Target="https://doi.org/10.1016/j.enpol.2026.115520" TargetMode="External"/><Relationship Id="rId765" Type="http://schemas.openxmlformats.org/officeDocument/2006/relationships/hyperlink" Target="https://www.sciencedirect.com/science/article/pii/S0306261926011554?dgcid=rss_sd_all" TargetMode="External"/><Relationship Id="rId766" Type="http://schemas.openxmlformats.org/officeDocument/2006/relationships/hyperlink" Target="https://doi.org/10.1016/j.apenergy.2026.128499" TargetMode="External"/><Relationship Id="rId767" Type="http://schemas.openxmlformats.org/officeDocument/2006/relationships/hyperlink" Target="https://pubs.acs.org/doi/10.1021/jacs.6c10980" TargetMode="External"/><Relationship Id="rId768" Type="http://schemas.openxmlformats.org/officeDocument/2006/relationships/hyperlink" Target="https://doi.org/10.1021/jacs.6c10980" TargetMode="External"/><Relationship Id="rId769" Type="http://schemas.openxmlformats.org/officeDocument/2006/relationships/hyperlink" Target="https://pubs.acs.org/doi/10.1021/jacs.6c08795" TargetMode="External"/><Relationship Id="rId770" Type="http://schemas.openxmlformats.org/officeDocument/2006/relationships/hyperlink" Target="https://doi.org/10.1021/jacs.6c08795" TargetMode="External"/><Relationship Id="rId771" Type="http://schemas.openxmlformats.org/officeDocument/2006/relationships/hyperlink" Target="https://pubs.acs.org/doi/10.1021/jacs.6c07767" TargetMode="External"/><Relationship Id="rId772" Type="http://schemas.openxmlformats.org/officeDocument/2006/relationships/hyperlink" Target="https://doi.org/10.1021/jacs.6c07767" TargetMode="External"/><Relationship Id="rId773" Type="http://schemas.openxmlformats.org/officeDocument/2006/relationships/hyperlink" Target="https://pubs.acs.org/doi/10.1021/jacs.6c07584" TargetMode="External"/><Relationship Id="rId774" Type="http://schemas.openxmlformats.org/officeDocument/2006/relationships/hyperlink" Target="https://doi.org/10.1021/jacs.6c07584" TargetMode="External"/><Relationship Id="rId775" Type="http://schemas.openxmlformats.org/officeDocument/2006/relationships/hyperlink" Target="https://pubs.acs.org/doi/10.1021/jacs.6c06650" TargetMode="External"/><Relationship Id="rId776" Type="http://schemas.openxmlformats.org/officeDocument/2006/relationships/hyperlink" Target="https://doi.org/10.1021/jacs.6c06650" TargetMode="External"/><Relationship Id="rId777" Type="http://schemas.openxmlformats.org/officeDocument/2006/relationships/hyperlink" Target="https://pubs.acs.org/doi/10.1021/jacs.6c06983" TargetMode="External"/><Relationship Id="rId778" Type="http://schemas.openxmlformats.org/officeDocument/2006/relationships/hyperlink" Target="https://doi.org/10.1021/jacs.6c06983" TargetMode="External"/><Relationship Id="rId779" Type="http://schemas.openxmlformats.org/officeDocument/2006/relationships/hyperlink" Target="https://pubs.acs.org/doi/10.1021/acs.chemrev.5c00922" TargetMode="External"/><Relationship Id="rId780" Type="http://schemas.openxmlformats.org/officeDocument/2006/relationships/hyperlink" Target="https://doi.org/10.1021/acs.chemrev.5c00922" TargetMode="External"/><Relationship Id="rId781" Type="http://schemas.openxmlformats.org/officeDocument/2006/relationships/hyperlink" Target="https://pubs.acs.org/doi/10.1021/jacs.6c09029" TargetMode="External"/><Relationship Id="rId782" Type="http://schemas.openxmlformats.org/officeDocument/2006/relationships/hyperlink" Target="https://doi.org/10.1021/jacs.6c09029" TargetMode="External"/><Relationship Id="rId783" Type="http://schemas.openxmlformats.org/officeDocument/2006/relationships/hyperlink" Target="https://onlinelibrary.wiley.com/doi/10.1002/anie.3724263?af=R" TargetMode="External"/><Relationship Id="rId784" Type="http://schemas.openxmlformats.org/officeDocument/2006/relationships/hyperlink" Target="https://doi.org/10.1002/anie.3724263" TargetMode="External"/><Relationship Id="rId785" Type="http://schemas.openxmlformats.org/officeDocument/2006/relationships/hyperlink" Target="https://onlinelibrary.wiley.com/doi/10.1002/anie.2119273?af=R" TargetMode="External"/><Relationship Id="rId786" Type="http://schemas.openxmlformats.org/officeDocument/2006/relationships/hyperlink" Target="https://doi.org/10.1002/anie.2119273" TargetMode="External"/><Relationship Id="rId787" Type="http://schemas.openxmlformats.org/officeDocument/2006/relationships/hyperlink" Target="https://onlinelibrary.wiley.com/doi/10.1002/anie.7100719?af=R" TargetMode="External"/><Relationship Id="rId788" Type="http://schemas.openxmlformats.org/officeDocument/2006/relationships/hyperlink" Target="https://doi.org/10.1002/anie.7100719" TargetMode="External"/><Relationship Id="rId789" Type="http://schemas.openxmlformats.org/officeDocument/2006/relationships/hyperlink" Target="https://onlinelibrary.wiley.com/doi/10.1002/anie.7843825?af=R" TargetMode="External"/><Relationship Id="rId790" Type="http://schemas.openxmlformats.org/officeDocument/2006/relationships/hyperlink" Target="https://doi.org/10.1002/anie.7843825" TargetMode="External"/><Relationship Id="rId791" Type="http://schemas.openxmlformats.org/officeDocument/2006/relationships/hyperlink" Target="https://onlinelibrary.wiley.com/doi/10.1002/anie.5778721?af=R" TargetMode="External"/><Relationship Id="rId792" Type="http://schemas.openxmlformats.org/officeDocument/2006/relationships/hyperlink" Target="https://doi.org/10.1002/anie.5778721" TargetMode="External"/><Relationship Id="rId793" Type="http://schemas.openxmlformats.org/officeDocument/2006/relationships/hyperlink" Target="https://onlinelibrary.wiley.com/doi/10.1002/anie.4743891?af=R" TargetMode="External"/><Relationship Id="rId794" Type="http://schemas.openxmlformats.org/officeDocument/2006/relationships/hyperlink" Target="https://doi.org/10.1002/anie.4743891" TargetMode="External"/><Relationship Id="rId795" Type="http://schemas.openxmlformats.org/officeDocument/2006/relationships/hyperlink" Target="https://onlinelibrary.wiley.com/doi/10.1002/anie.8702628?af=R" TargetMode="External"/><Relationship Id="rId796" Type="http://schemas.openxmlformats.org/officeDocument/2006/relationships/hyperlink" Target="https://doi.org/10.1002/anie.8702628" TargetMode="External"/><Relationship Id="rId797" Type="http://schemas.openxmlformats.org/officeDocument/2006/relationships/hyperlink" Target="https://onlinelibrary.wiley.com/doi/10.1002/anie.7978333?af=R" TargetMode="External"/><Relationship Id="rId798" Type="http://schemas.openxmlformats.org/officeDocument/2006/relationships/hyperlink" Target="https://doi.org/10.1002/anie.7978333" TargetMode="External"/><Relationship Id="rId799" Type="http://schemas.openxmlformats.org/officeDocument/2006/relationships/hyperlink" Target="https://onlinelibrary.wiley.com/doi/10.1002/anie.8342320?af=R" TargetMode="External"/><Relationship Id="rId800" Type="http://schemas.openxmlformats.org/officeDocument/2006/relationships/hyperlink" Target="https://doi.org/10.1002/anie.8342320" TargetMode="External"/><Relationship Id="rId801" Type="http://schemas.openxmlformats.org/officeDocument/2006/relationships/hyperlink" Target="https://onlinelibrary.wiley.com/doi/10.1002/anie.9818208?af=R" TargetMode="External"/><Relationship Id="rId802" Type="http://schemas.openxmlformats.org/officeDocument/2006/relationships/hyperlink" Target="https://doi.org/10.1002/anie.9818208" TargetMode="External"/><Relationship Id="rId803" Type="http://schemas.openxmlformats.org/officeDocument/2006/relationships/hyperlink" Target="https://pubs.acs.org/doi/10.1021/jacs.6c04114" TargetMode="External"/><Relationship Id="rId804" Type="http://schemas.openxmlformats.org/officeDocument/2006/relationships/hyperlink" Target="https://doi.org/10.1021/jacs.6c04114" TargetMode="External"/><Relationship Id="rId805" Type="http://schemas.openxmlformats.org/officeDocument/2006/relationships/hyperlink" Target="https://pubs.acs.org/doi/10.1021/jacs.6c11291" TargetMode="External"/><Relationship Id="rId806" Type="http://schemas.openxmlformats.org/officeDocument/2006/relationships/hyperlink" Target="https://doi.org/10.1021/jacs.6c11291" TargetMode="External"/><Relationship Id="rId807" Type="http://schemas.openxmlformats.org/officeDocument/2006/relationships/hyperlink" Target="https://pubs.acs.org/doi/10.1021/jacs.6c04934" TargetMode="External"/><Relationship Id="rId808" Type="http://schemas.openxmlformats.org/officeDocument/2006/relationships/hyperlink" Target="https://doi.org/10.1021/jacs.6c04934" TargetMode="External"/><Relationship Id="rId809" Type="http://schemas.openxmlformats.org/officeDocument/2006/relationships/hyperlink" Target="https://pubs.acs.org/doi/10.1021/jacs.6c09502" TargetMode="External"/><Relationship Id="rId810" Type="http://schemas.openxmlformats.org/officeDocument/2006/relationships/hyperlink" Target="https://doi.org/10.1021/jacs.6c09502" TargetMode="External"/><Relationship Id="rId811" Type="http://schemas.openxmlformats.org/officeDocument/2006/relationships/hyperlink" Target="https://pubs.acs.org/doi/10.1021/jacs.6c11826" TargetMode="External"/><Relationship Id="rId812" Type="http://schemas.openxmlformats.org/officeDocument/2006/relationships/hyperlink" Target="https://doi.org/10.1021/jacs.6c11826" TargetMode="External"/><Relationship Id="rId813" Type="http://schemas.openxmlformats.org/officeDocument/2006/relationships/hyperlink" Target="https://pubs.acs.org/doi/10.1021/jacs.6c08775" TargetMode="External"/><Relationship Id="rId814" Type="http://schemas.openxmlformats.org/officeDocument/2006/relationships/hyperlink" Target="https://doi.org/10.1021/jacs.6c08775" TargetMode="External"/><Relationship Id="rId815" Type="http://schemas.openxmlformats.org/officeDocument/2006/relationships/hyperlink" Target="https://pubs.acs.org/doi/10.1021/jacs.6c10544" TargetMode="External"/><Relationship Id="rId816" Type="http://schemas.openxmlformats.org/officeDocument/2006/relationships/hyperlink" Target="https://doi.org/10.1021/jacs.6c10544" TargetMode="External"/><Relationship Id="rId817" Type="http://schemas.openxmlformats.org/officeDocument/2006/relationships/hyperlink" Target="https://pubs.acs.org/doi/10.1021/jacs.6c11054" TargetMode="External"/><Relationship Id="rId818" Type="http://schemas.openxmlformats.org/officeDocument/2006/relationships/hyperlink" Target="https://doi.org/10.1021/jacs.6c11054" TargetMode="External"/><Relationship Id="rId819" Type="http://schemas.openxmlformats.org/officeDocument/2006/relationships/hyperlink" Target="https://academic.oup.com/nsr/advance-article/doi/10.1093/nsr/nwag457/8742437?rss=1" TargetMode="External"/><Relationship Id="rId820" Type="http://schemas.openxmlformats.org/officeDocument/2006/relationships/hyperlink" Target="https://doi.org/10.1093/nsr/nwag457" TargetMode="External"/><Relationship Id="rId821" Type="http://schemas.openxmlformats.org/officeDocument/2006/relationships/hyperlink" Target="https://www.nature.com/articles/s41557-026-02209-3" TargetMode="External"/><Relationship Id="rId822" Type="http://schemas.openxmlformats.org/officeDocument/2006/relationships/hyperlink" Target="https://doi.org/10.1038/s41557-026-02209-3" TargetMode="External"/><Relationship Id="rId823" Type="http://schemas.openxmlformats.org/officeDocument/2006/relationships/hyperlink" Target="https://www.nature.com/articles/s41557-026-02229-z" TargetMode="External"/><Relationship Id="rId824" Type="http://schemas.openxmlformats.org/officeDocument/2006/relationships/hyperlink" Target="https://doi.org/10.1038/s41557-026-02229-z" TargetMode="External"/><Relationship Id="rId825" Type="http://schemas.openxmlformats.org/officeDocument/2006/relationships/hyperlink" Target="https://academic.oup.com/nsr/advance-article/doi/10.1093/nsr/nwag454/8742432?rss=1" TargetMode="External"/><Relationship Id="rId826" Type="http://schemas.openxmlformats.org/officeDocument/2006/relationships/hyperlink" Target="https://doi.org/10.1093/nsr/nwag454" TargetMode="External"/><Relationship Id="rId827" Type="http://schemas.openxmlformats.org/officeDocument/2006/relationships/hyperlink" Target="https://academic.oup.com/nsr/advance-article/doi/10.1093/nsr/nwag458/8742436?rss=1" TargetMode="External"/><Relationship Id="rId828" Type="http://schemas.openxmlformats.org/officeDocument/2006/relationships/hyperlink" Target="https://doi.org/10.1093/nsr/nwag458" TargetMode="External"/><Relationship Id="rId829" Type="http://schemas.openxmlformats.org/officeDocument/2006/relationships/hyperlink" Target="https://www.nature.com/articles/d41586-026-02309-7" TargetMode="External"/><Relationship Id="rId830" Type="http://schemas.openxmlformats.org/officeDocument/2006/relationships/hyperlink" Target="https://doi.org/10.1038/d41586-026-02309-7" TargetMode="External"/><Relationship Id="rId831" Type="http://schemas.openxmlformats.org/officeDocument/2006/relationships/hyperlink" Target="https://www.nature.com/articles/d41586-026-02314-w" TargetMode="External"/><Relationship Id="rId832" Type="http://schemas.openxmlformats.org/officeDocument/2006/relationships/hyperlink" Target="https://doi.org/10.1038/d41586-026-02314-w" TargetMode="External"/><Relationship Id="rId833" Type="http://schemas.openxmlformats.org/officeDocument/2006/relationships/hyperlink" Target="https://www.nature.com/articles/s41467-026-75671-9" TargetMode="External"/><Relationship Id="rId834" Type="http://schemas.openxmlformats.org/officeDocument/2006/relationships/hyperlink" Target="https://www.nature.com/articles/s41467-026-76040-2" TargetMode="External"/><Relationship Id="rId835" Type="http://schemas.openxmlformats.org/officeDocument/2006/relationships/hyperlink" Target="https://www.nature.com/articles/d41586-026-02316-8" TargetMode="External"/><Relationship Id="rId836" Type="http://schemas.openxmlformats.org/officeDocument/2006/relationships/hyperlink" Target="https://doi.org/10.1038/d41586-026-02316-8" TargetMode="External"/><Relationship Id="rId837" Type="http://schemas.openxmlformats.org/officeDocument/2006/relationships/hyperlink" Target="https://www.nature.com/articles/d41586-026-02294-x" TargetMode="External"/><Relationship Id="rId838" Type="http://schemas.openxmlformats.org/officeDocument/2006/relationships/hyperlink" Target="https://doi.org/10.1038/d41586-026-02294-x" TargetMode="External"/><Relationship Id="rId839" Type="http://schemas.openxmlformats.org/officeDocument/2006/relationships/hyperlink" Target="https://www.nature.com/articles/s41565-026-02233-x" TargetMode="External"/><Relationship Id="rId840" Type="http://schemas.openxmlformats.org/officeDocument/2006/relationships/hyperlink" Target="https://doi.org/10.1038/s41565-026-02233-x" TargetMode="External"/><Relationship Id="rId841" Type="http://schemas.openxmlformats.org/officeDocument/2006/relationships/hyperlink" Target="https://pubs.acs.org/doi/10.1021/jacs.6c06132" TargetMode="External"/><Relationship Id="rId842" Type="http://schemas.openxmlformats.org/officeDocument/2006/relationships/hyperlink" Target="https://doi.org/10.1021/jacs.6c06132" TargetMode="External"/><Relationship Id="rId843" Type="http://schemas.openxmlformats.org/officeDocument/2006/relationships/hyperlink" Target="https://www.nature.com/articles/s41467-026-75735-w" TargetMode="External"/><Relationship Id="rId844" Type="http://schemas.openxmlformats.org/officeDocument/2006/relationships/hyperlink" Target="https://www.nature.com/articles/s41467-026-76026-0" TargetMode="External"/><Relationship Id="rId845" Type="http://schemas.openxmlformats.org/officeDocument/2006/relationships/hyperlink" Target="https://www.nature.com/articles/s41558-026-02692-z" TargetMode="External"/><Relationship Id="rId846" Type="http://schemas.openxmlformats.org/officeDocument/2006/relationships/hyperlink" Target="https://doi.org/10.1038/s41558-026-02692-z" TargetMode="External"/><Relationship Id="rId847" Type="http://schemas.openxmlformats.org/officeDocument/2006/relationships/hyperlink" Target="https://www.nature.com/articles/d41586-026-02171-7" TargetMode="External"/><Relationship Id="rId848" Type="http://schemas.openxmlformats.org/officeDocument/2006/relationships/hyperlink" Target="https://doi.org/10.1038/d41586-026-02171-7" TargetMode="External"/><Relationship Id="rId849" Type="http://schemas.openxmlformats.org/officeDocument/2006/relationships/hyperlink" Target="https://www.nature.com/articles/s41586-026-10930-9" TargetMode="External"/><Relationship Id="rId850" Type="http://schemas.openxmlformats.org/officeDocument/2006/relationships/hyperlink" Target="https://doi.org/10.1038/s41586-026-10930-9" TargetMode="External"/><Relationship Id="rId851" Type="http://schemas.openxmlformats.org/officeDocument/2006/relationships/hyperlink" Target="https://www.nature.com/articles/s41563-026-02682-8" TargetMode="External"/><Relationship Id="rId852" Type="http://schemas.openxmlformats.org/officeDocument/2006/relationships/hyperlink" Target="https://doi.org/10.1038/s41563-026-02682-8" TargetMode="External"/><Relationship Id="rId853" Type="http://schemas.openxmlformats.org/officeDocument/2006/relationships/hyperlink" Target="https://www.nature.com/articles/s41563-026-02660-0" TargetMode="External"/><Relationship Id="rId854" Type="http://schemas.openxmlformats.org/officeDocument/2006/relationships/hyperlink" Target="https://doi.org/10.1038/s41563-026-02660-0" TargetMode="External"/><Relationship Id="rId855" Type="http://schemas.openxmlformats.org/officeDocument/2006/relationships/hyperlink" Target="https://www.nature.com/articles/s41558-026-02698-7" TargetMode="External"/><Relationship Id="rId856" Type="http://schemas.openxmlformats.org/officeDocument/2006/relationships/hyperlink" Target="https://doi.org/10.1038/s41558-026-02698-7" TargetMode="External"/><Relationship Id="rId857" Type="http://schemas.openxmlformats.org/officeDocument/2006/relationships/hyperlink" Target="https://www.nature.com/articles/d41586-026-02313-x" TargetMode="External"/><Relationship Id="rId858" Type="http://schemas.openxmlformats.org/officeDocument/2006/relationships/hyperlink" Target="https://doi.org/10.1038/d41586-026-02313-x" TargetMode="External"/><Relationship Id="rId859" Type="http://schemas.openxmlformats.org/officeDocument/2006/relationships/hyperlink" Target="https://www.nature.com/articles/s41893-026-01902-y" TargetMode="External"/><Relationship Id="rId860" Type="http://schemas.openxmlformats.org/officeDocument/2006/relationships/hyperlink" Target="https://doi.org/10.1038/s41893-026-01902-y" TargetMode="External"/><Relationship Id="rId861" Type="http://schemas.openxmlformats.org/officeDocument/2006/relationships/hyperlink" Target="https://www.nature.com/articles/s41893-026-01906-8" TargetMode="External"/><Relationship Id="rId862" Type="http://schemas.openxmlformats.org/officeDocument/2006/relationships/hyperlink" Target="https://doi.org/10.1038/s41893-026-01906-8" TargetMode="External"/><Relationship Id="rId863" Type="http://schemas.openxmlformats.org/officeDocument/2006/relationships/hyperlink" Target="https://www.nature.com/articles/s41467-026-75894-w" TargetMode="External"/><Relationship Id="rId864" Type="http://schemas.openxmlformats.org/officeDocument/2006/relationships/hyperlink" Target="https://www.nature.com/articles/s41565-026-02238-6" TargetMode="External"/><Relationship Id="rId865" Type="http://schemas.openxmlformats.org/officeDocument/2006/relationships/hyperlink" Target="https://doi.org/10.1038/s41565-026-02238-6" TargetMode="External"/><Relationship Id="rId866" Type="http://schemas.openxmlformats.org/officeDocument/2006/relationships/hyperlink" Target="https://www.nature.com/articles/s41565-026-02237-7" TargetMode="External"/><Relationship Id="rId867" Type="http://schemas.openxmlformats.org/officeDocument/2006/relationships/hyperlink" Target="https://doi.org/10.1038/s41565-026-02237-7" TargetMode="External"/><Relationship Id="rId868" Type="http://schemas.openxmlformats.org/officeDocument/2006/relationships/hyperlink" Target="https://www.nature.com/articles/s41467-026-75779-y" TargetMode="External"/><Relationship Id="rId869" Type="http://schemas.openxmlformats.org/officeDocument/2006/relationships/hyperlink" Target="https://www.nature.com/articles/s41467-026-76000-w" TargetMode="External"/><Relationship Id="rId870" Type="http://schemas.openxmlformats.org/officeDocument/2006/relationships/hyperlink" Target="https://www.nature.com/articles/s41467-026-76142-x" TargetMode="External"/><Relationship Id="rId871" Type="http://schemas.openxmlformats.org/officeDocument/2006/relationships/hyperlink" Target="https://www.nature.com/articles/s41467-026-76020-6" TargetMode="External"/><Relationship Id="rId872" Type="http://schemas.openxmlformats.org/officeDocument/2006/relationships/hyperlink" Target="https://www.nature.com/articles/s41467-026-75784-1" TargetMode="External"/><Relationship Id="rId873" Type="http://schemas.openxmlformats.org/officeDocument/2006/relationships/hyperlink" Target="https://www.nature.com/articles/s41467-026-75543-2" TargetMode="External"/><Relationship Id="rId874" Type="http://schemas.openxmlformats.org/officeDocument/2006/relationships/hyperlink" Target="https://www.nature.com/articles/s41467-026-75259-3" TargetMode="External"/><Relationship Id="rId875" Type="http://schemas.openxmlformats.org/officeDocument/2006/relationships/hyperlink" Target="https://www.nature.com/articles/s41467-026-75896-8" TargetMode="External"/><Relationship Id="rId876" Type="http://schemas.openxmlformats.org/officeDocument/2006/relationships/hyperlink" Target="https://www.nature.com/articles/s41467-026-75857-1" TargetMode="External"/><Relationship Id="rId877" Type="http://schemas.openxmlformats.org/officeDocument/2006/relationships/hyperlink" Target="https://www.nature.com/articles/s41467-026-76125-y" TargetMode="External"/><Relationship Id="rId878" Type="http://schemas.openxmlformats.org/officeDocument/2006/relationships/hyperlink" Target="https://pubs.acs.org/doi/10.1021/acsami.6c12120" TargetMode="External"/><Relationship Id="rId879" Type="http://schemas.openxmlformats.org/officeDocument/2006/relationships/hyperlink" Target="https://doi.org/10.1021/acsami.6c12120" TargetMode="External"/><Relationship Id="rId880" Type="http://schemas.openxmlformats.org/officeDocument/2006/relationships/hyperlink" Target="https://www.nature.com/articles/s41467-026-75960-3" TargetMode="External"/><Relationship Id="rId881" Type="http://schemas.openxmlformats.org/officeDocument/2006/relationships/hyperlink" Target="https://pubs.acs.org/doi/10.1021/acsami.6c11287" TargetMode="External"/><Relationship Id="rId882" Type="http://schemas.openxmlformats.org/officeDocument/2006/relationships/hyperlink" Target="https://doi.org/10.1021/acsami.6c11287" TargetMode="External"/><Relationship Id="rId883" Type="http://schemas.openxmlformats.org/officeDocument/2006/relationships/hyperlink" Target="https://www.nature.com/articles/s41467-026-76029-x" TargetMode="External"/><Relationship Id="rId884" Type="http://schemas.openxmlformats.org/officeDocument/2006/relationships/hyperlink" Target="https://www.nature.com/articles/s41467-026-75660-y" TargetMode="External"/><Relationship Id="rId885" Type="http://schemas.openxmlformats.org/officeDocument/2006/relationships/hyperlink" Target="https://www.nature.com/articles/s41467-026-75749-4" TargetMode="External"/><Relationship Id="rId886" Type="http://schemas.openxmlformats.org/officeDocument/2006/relationships/hyperlink" Target="https://www.nature.com/articles/s41467-026-75835-7" TargetMode="External"/><Relationship Id="rId887" Type="http://schemas.openxmlformats.org/officeDocument/2006/relationships/hyperlink" Target="https://pubs.acs.org/doi/10.1021/acsami.6c05478" TargetMode="External"/><Relationship Id="rId888" Type="http://schemas.openxmlformats.org/officeDocument/2006/relationships/hyperlink" Target="https://doi.org/10.1021/acsami.6c05478" TargetMode="External"/><Relationship Id="rId889" Type="http://schemas.openxmlformats.org/officeDocument/2006/relationships/hyperlink" Target="https://pubs.acs.org/doi/10.1021/acsami.6c07588" TargetMode="External"/><Relationship Id="rId890" Type="http://schemas.openxmlformats.org/officeDocument/2006/relationships/hyperlink" Target="https://doi.org/10.1021/acsami.6c07588" TargetMode="External"/><Relationship Id="rId891" Type="http://schemas.openxmlformats.org/officeDocument/2006/relationships/hyperlink" Target="https://pubs.acs.org/doi/10.1021/acsami.6c10353" TargetMode="External"/><Relationship Id="rId892" Type="http://schemas.openxmlformats.org/officeDocument/2006/relationships/hyperlink" Target="https://doi.org/10.1021/acsami.6c10353" TargetMode="External"/><Relationship Id="rId893" Type="http://schemas.openxmlformats.org/officeDocument/2006/relationships/hyperlink" Target="https://www.nature.com/articles/s41467-026-75605-5" TargetMode="External"/><Relationship Id="rId894" Type="http://schemas.openxmlformats.org/officeDocument/2006/relationships/hyperlink" Target="https://www.nature.com/articles/s41467-026-76079-1" TargetMode="External"/><Relationship Id="rId895" Type="http://schemas.openxmlformats.org/officeDocument/2006/relationships/hyperlink" Target="https://www.nature.com/articles/s41467-026-74891-3" TargetMode="External"/><Relationship Id="rId896" Type="http://schemas.openxmlformats.org/officeDocument/2006/relationships/hyperlink" Target="https://www.nature.com/articles/s41467-026-75525-4" TargetMode="External"/><Relationship Id="rId897" Type="http://schemas.openxmlformats.org/officeDocument/2006/relationships/hyperlink" Target="https://pubs.acs.org/doi/10.1021/acsami.6c12267" TargetMode="External"/><Relationship Id="rId898" Type="http://schemas.openxmlformats.org/officeDocument/2006/relationships/hyperlink" Target="https://doi.org/10.1021/acsami.6c12267" TargetMode="External"/><Relationship Id="rId899" Type="http://schemas.openxmlformats.org/officeDocument/2006/relationships/hyperlink" Target="https://www.nature.com/articles/s41467-026-75941-6" TargetMode="External"/><Relationship Id="rId900" Type="http://schemas.openxmlformats.org/officeDocument/2006/relationships/hyperlink" Target="https://www.nature.com/articles/s41467-026-75751-w" TargetMode="External"/><Relationship Id="rId901" Type="http://schemas.openxmlformats.org/officeDocument/2006/relationships/hyperlink" Target="https://www.nature.com/articles/s41467-026-75512-9" TargetMode="External"/><Relationship Id="rId902" Type="http://schemas.openxmlformats.org/officeDocument/2006/relationships/hyperlink" Target="https://www.nature.com/articles/s41467-026-75975-w" TargetMode="External"/><Relationship Id="rId903" Type="http://schemas.openxmlformats.org/officeDocument/2006/relationships/hyperlink" Target="https://www.nature.com/articles/s41467-026-75881-1" TargetMode="External"/><Relationship Id="rId904" Type="http://schemas.openxmlformats.org/officeDocument/2006/relationships/hyperlink" Target="https://www.nature.com/articles/s41467-026-76070-w" TargetMode="External"/><Relationship Id="rId905" Type="http://schemas.openxmlformats.org/officeDocument/2006/relationships/hyperlink" Target="https://www.nature.com/articles/s41467-026-75868-y" TargetMode="External"/><Relationship Id="rId906" Type="http://schemas.openxmlformats.org/officeDocument/2006/relationships/hyperlink" Target="https://www.nature.com/articles/s41467-026-75903-y" TargetMode="External"/><Relationship Id="rId907" Type="http://schemas.openxmlformats.org/officeDocument/2006/relationships/hyperlink" Target="https://www.nature.com/articles/s41467-026-75983-w" TargetMode="External"/><Relationship Id="rId908" Type="http://schemas.openxmlformats.org/officeDocument/2006/relationships/hyperlink" Target="https://www.nature.com/articles/s41467-026-75251-x" TargetMode="External"/><Relationship Id="rId909" Type="http://schemas.openxmlformats.org/officeDocument/2006/relationships/hyperlink" Target="https://www.nature.com/articles/s41467-026-76075-5" TargetMode="External"/><Relationship Id="rId910" Type="http://schemas.openxmlformats.org/officeDocument/2006/relationships/hyperlink" Target="https://www.nature.com/articles/s41467-026-76033-1" TargetMode="External"/><Relationship Id="rId911" Type="http://schemas.openxmlformats.org/officeDocument/2006/relationships/hyperlink" Target="https://www.nature.com/articles/s41467-026-76005-5" TargetMode="External"/><Relationship Id="rId912" Type="http://schemas.openxmlformats.org/officeDocument/2006/relationships/hyperlink" Target="https://www.nature.com/articles/s41467-026-76099-x" TargetMode="External"/><Relationship Id="rId913" Type="http://schemas.openxmlformats.org/officeDocument/2006/relationships/hyperlink" Target="https://www.nature.com/articles/s41467-026-75192-5" TargetMode="External"/><Relationship Id="rId914" Type="http://schemas.openxmlformats.org/officeDocument/2006/relationships/hyperlink" Target="https://www.nature.com/articles/s41467-026-76028-y" TargetMode="External"/><Relationship Id="rId915" Type="http://schemas.openxmlformats.org/officeDocument/2006/relationships/hyperlink" Target="https://www.nature.com/articles/s41467-026-75378-x" TargetMode="External"/><Relationship Id="rId916" Type="http://schemas.openxmlformats.org/officeDocument/2006/relationships/hyperlink" Target="https://www.nature.com/articles/s41467-026-76008-2" TargetMode="External"/><Relationship Id="rId917" Type="http://schemas.openxmlformats.org/officeDocument/2006/relationships/hyperlink" Target="https://www.pnas.org/doi/abs/10.1073/pnas.2624390123?mi=eymic2&amp;af=R&amp;access=on&amp;content=articlesChapters&amp;publication=pnas&amp;sortBy=Earliest&amp;target=default" TargetMode="External"/><Relationship Id="rId918" Type="http://schemas.openxmlformats.org/officeDocument/2006/relationships/hyperlink" Target="https://doi.org/10.1073/pnas.2624390123" TargetMode="External"/><Relationship Id="rId919" Type="http://schemas.openxmlformats.org/officeDocument/2006/relationships/hyperlink" Target="https://www.pnas.org/doi/abs/10.1073/pnas.2530120123?mi=eymic2&amp;af=R&amp;access=on&amp;content=articlesChapters&amp;publication=pnas&amp;sortBy=Earliest&amp;target=default" TargetMode="External"/><Relationship Id="rId920" Type="http://schemas.openxmlformats.org/officeDocument/2006/relationships/hyperlink" Target="https://doi.org/10.1073/pnas.2530120123" TargetMode="External"/><Relationship Id="rId921" Type="http://schemas.openxmlformats.org/officeDocument/2006/relationships/hyperlink" Target="https://www.pnas.org/doi/abs/10.1073/pnas.2613082123?mi=eymic2&amp;af=R&amp;access=on&amp;content=articlesChapters&amp;publication=pnas&amp;sortBy=Earliest&amp;target=default" TargetMode="External"/><Relationship Id="rId922" Type="http://schemas.openxmlformats.org/officeDocument/2006/relationships/hyperlink" Target="https://doi.org/10.1073/pnas.2613082123" TargetMode="External"/><Relationship Id="rId923" Type="http://schemas.openxmlformats.org/officeDocument/2006/relationships/hyperlink" Target="https://www.pnas.org/doi/abs/10.1073/pnas.2621834123?mi=eymic2&amp;af=R&amp;access=on&amp;content=articlesChapters&amp;publication=pnas&amp;sortBy=Earliest&amp;target=default" TargetMode="External"/><Relationship Id="rId924" Type="http://schemas.openxmlformats.org/officeDocument/2006/relationships/hyperlink" Target="https://doi.org/10.1073/pnas.2621834123" TargetMode="External"/><Relationship Id="rId925" Type="http://schemas.openxmlformats.org/officeDocument/2006/relationships/hyperlink" Target="https://www.pnas.org/doi/abs/10.1073/pnas.2622923123?mi=eymic2&amp;af=R&amp;access=on&amp;content=articlesChapters&amp;publication=pnas&amp;sortBy=Earliest&amp;target=default" TargetMode="External"/><Relationship Id="rId926" Type="http://schemas.openxmlformats.org/officeDocument/2006/relationships/hyperlink" Target="https://doi.org/10.1073/pnas.2622923123" TargetMode="External"/><Relationship Id="rId927" Type="http://schemas.openxmlformats.org/officeDocument/2006/relationships/hyperlink" Target="https://www.pnas.org/doi/abs/10.1073/pnas.2512179123?mi=eymic2&amp;af=R&amp;access=on&amp;content=articlesChapters&amp;publication=pnas&amp;sortBy=Earliest&amp;target=default" TargetMode="External"/><Relationship Id="rId928" Type="http://schemas.openxmlformats.org/officeDocument/2006/relationships/hyperlink" Target="https://doi.org/10.1073/pnas.2512179123" TargetMode="External"/><Relationship Id="rId929" Type="http://schemas.openxmlformats.org/officeDocument/2006/relationships/hyperlink" Target="https://www.pnas.org/doi/abs/10.1073/pnas.2526041123?mi=eymic2&amp;af=R&amp;access=on&amp;content=articlesChapters&amp;publication=pnas&amp;sortBy=Earliest&amp;target=default" TargetMode="External"/><Relationship Id="rId930" Type="http://schemas.openxmlformats.org/officeDocument/2006/relationships/hyperlink" Target="https://doi.org/10.1073/pnas.2526041123" TargetMode="External"/><Relationship Id="rId931" Type="http://schemas.openxmlformats.org/officeDocument/2006/relationships/hyperlink" Target="https://www.pnas.org/doi/abs/10.1073/pnas.2537431123?mi=eymic2&amp;af=R&amp;access=on&amp;content=articlesChapters&amp;publication=pnas&amp;sortBy=Earliest&amp;target=default" TargetMode="External"/><Relationship Id="rId932" Type="http://schemas.openxmlformats.org/officeDocument/2006/relationships/hyperlink" Target="https://doi.org/10.1073/pnas.2537431123" TargetMode="External"/><Relationship Id="rId933" Type="http://schemas.openxmlformats.org/officeDocument/2006/relationships/hyperlink" Target="https://www.pnas.org/doi/abs/10.1073/pnas.2533455123?mi=eymic2&amp;af=R&amp;access=on&amp;content=articlesChapters&amp;publication=pnas&amp;sortBy=Earliest&amp;target=default" TargetMode="External"/><Relationship Id="rId934" Type="http://schemas.openxmlformats.org/officeDocument/2006/relationships/hyperlink" Target="https://doi.org/10.1073/pnas.2533455123" TargetMode="External"/><Relationship Id="rId935" Type="http://schemas.openxmlformats.org/officeDocument/2006/relationships/hyperlink" Target="https://www.pnas.org/doi/abs/10.1073/pnas.2534106123?mi=eymic2&amp;af=R&amp;access=on&amp;content=articlesChapters&amp;publication=pnas&amp;sortBy=Earliest&amp;target=default" TargetMode="External"/><Relationship Id="rId936" Type="http://schemas.openxmlformats.org/officeDocument/2006/relationships/hyperlink" Target="https://doi.org/10.1073/pnas.2534106123" TargetMode="External"/><Relationship Id="rId937" Type="http://schemas.openxmlformats.org/officeDocument/2006/relationships/hyperlink" Target="https://www.pnas.org/doi/abs/10.1073/pnas.2601044123?mi=eymic2&amp;af=R&amp;access=on&amp;content=articlesChapters&amp;publication=pnas&amp;sortBy=Earliest&amp;target=default" TargetMode="External"/><Relationship Id="rId938" Type="http://schemas.openxmlformats.org/officeDocument/2006/relationships/hyperlink" Target="https://doi.org/10.1073/pnas.2601044123" TargetMode="External"/><Relationship Id="rId939" Type="http://schemas.openxmlformats.org/officeDocument/2006/relationships/hyperlink" Target="https://www.pnas.org/doi/abs/10.1073/pnas.2602426123?mi=eymic2&amp;af=R&amp;access=on&amp;content=articlesChapters&amp;publication=pnas&amp;sortBy=Earliest&amp;target=default" TargetMode="External"/><Relationship Id="rId940" Type="http://schemas.openxmlformats.org/officeDocument/2006/relationships/hyperlink" Target="https://doi.org/10.1073/pnas.2602426123" TargetMode="External"/><Relationship Id="rId941" Type="http://schemas.openxmlformats.org/officeDocument/2006/relationships/hyperlink" Target="https://www.pnas.org/doi/abs/10.1073/pnas.2603275123?mi=eymic2&amp;af=R&amp;access=on&amp;content=articlesChapters&amp;publication=pnas&amp;sortBy=Earliest&amp;target=default" TargetMode="External"/><Relationship Id="rId942" Type="http://schemas.openxmlformats.org/officeDocument/2006/relationships/hyperlink" Target="https://doi.org/10.1073/pnas.2603275123" TargetMode="External"/><Relationship Id="rId943" Type="http://schemas.openxmlformats.org/officeDocument/2006/relationships/hyperlink" Target="https://www.pnas.org/doi/abs/10.1073/pnas.2624391123?mi=eymic2&amp;af=R&amp;access=on&amp;content=articlesChapters&amp;publication=pnas&amp;sortBy=Earliest&amp;target=default" TargetMode="External"/><Relationship Id="rId944" Type="http://schemas.openxmlformats.org/officeDocument/2006/relationships/hyperlink" Target="https://doi.org/10.1073/pnas.2624391123" TargetMode="External"/><Relationship Id="rId945" Type="http://schemas.openxmlformats.org/officeDocument/2006/relationships/hyperlink" Target="https://www.pnas.org/doi/abs/10.1073/pnas.2604429123?mi=eymic2&amp;af=R&amp;access=on&amp;content=articlesChapters&amp;publication=pnas&amp;sortBy=Earliest&amp;target=default" TargetMode="External"/><Relationship Id="rId946" Type="http://schemas.openxmlformats.org/officeDocument/2006/relationships/hyperlink" Target="https://doi.org/10.1073/pnas.2604429123" TargetMode="External"/><Relationship Id="rId947" Type="http://schemas.openxmlformats.org/officeDocument/2006/relationships/hyperlink" Target="https://www.pnas.org/doi/abs/10.1073/pnas.2530996123?mi=eymic2&amp;af=R&amp;access=on&amp;content=articlesChapters&amp;publication=pnas&amp;sortBy=Earliest&amp;target=default" TargetMode="External"/><Relationship Id="rId948" Type="http://schemas.openxmlformats.org/officeDocument/2006/relationships/hyperlink" Target="https://doi.org/10.1073/pnas.2530996123" TargetMode="External"/><Relationship Id="rId949" Type="http://schemas.openxmlformats.org/officeDocument/2006/relationships/hyperlink" Target="https://www.pnas.org/doi/abs/10.1073/pnas.2624232123?mi=eymic2&amp;af=R&amp;access=on&amp;content=articlesChapters&amp;publication=pnas&amp;sortBy=Earliest&amp;target=default" TargetMode="External"/><Relationship Id="rId950" Type="http://schemas.openxmlformats.org/officeDocument/2006/relationships/hyperlink" Target="https://doi.org/10.1073/pnas.2624232123" TargetMode="External"/><Relationship Id="rId951" Type="http://schemas.openxmlformats.org/officeDocument/2006/relationships/hyperlink" Target="https://www.pnas.org/doi/abs/10.1073/pnas.2619023123?mi=eymic2&amp;af=R&amp;access=on&amp;content=articlesChapters&amp;publication=pnas&amp;sortBy=Earliest&amp;target=default" TargetMode="External"/><Relationship Id="rId952" Type="http://schemas.openxmlformats.org/officeDocument/2006/relationships/hyperlink" Target="https://doi.org/10.1073/pnas.2619023123" TargetMode="External"/><Relationship Id="rId953" Type="http://schemas.openxmlformats.org/officeDocument/2006/relationships/hyperlink" Target="https://www.pnas.org/doi/abs/10.1073/pnas.2537114123?mi=eymic2&amp;af=R&amp;access=on&amp;content=articlesChapters&amp;publication=pnas&amp;sortBy=Earliest&amp;target=default" TargetMode="External"/><Relationship Id="rId954" Type="http://schemas.openxmlformats.org/officeDocument/2006/relationships/hyperlink" Target="https://doi.org/10.1073/pnas.2537114123" TargetMode="External"/><Relationship Id="rId955" Type="http://schemas.openxmlformats.org/officeDocument/2006/relationships/hyperlink" Target="https://www.pnas.org/doi/abs/10.1073/pnas.2604918123?mi=eymic2&amp;af=R&amp;access=on&amp;content=articlesChapters&amp;publication=pnas&amp;sortBy=Earliest&amp;target=default" TargetMode="External"/><Relationship Id="rId956" Type="http://schemas.openxmlformats.org/officeDocument/2006/relationships/hyperlink" Target="https://doi.org/10.1073/pnas.2604918123" TargetMode="External"/><Relationship Id="rId957" Type="http://schemas.openxmlformats.org/officeDocument/2006/relationships/hyperlink" Target="https://www.pnas.org/doi/abs/10.1073/pnas.2621060123?mi=eymic2&amp;af=R&amp;access=on&amp;content=articlesChapters&amp;publication=pnas&amp;sortBy=Earliest&amp;target=default" TargetMode="External"/><Relationship Id="rId958" Type="http://schemas.openxmlformats.org/officeDocument/2006/relationships/hyperlink" Target="https://doi.org/10.1073/pnas.2621060123" TargetMode="External"/><Relationship Id="rId959" Type="http://schemas.openxmlformats.org/officeDocument/2006/relationships/hyperlink" Target="https://www.pnas.org/doi/abs/10.1073/pnas.2620928123?mi=eymic2&amp;af=R&amp;access=on&amp;content=articlesChapters&amp;publication=pnas&amp;sortBy=Earliest&amp;target=default" TargetMode="External"/><Relationship Id="rId960" Type="http://schemas.openxmlformats.org/officeDocument/2006/relationships/hyperlink" Target="https://doi.org/10.1073/pnas.2620928123" TargetMode="External"/><Relationship Id="rId961" Type="http://schemas.openxmlformats.org/officeDocument/2006/relationships/hyperlink" Target="https://www.pnas.org/doi/abs/10.1073/pnas.2620764123?mi=eymic2&amp;af=R&amp;access=on&amp;content=articlesChapters&amp;publication=pnas&amp;sortBy=Earliest&amp;target=default" TargetMode="External"/><Relationship Id="rId962" Type="http://schemas.openxmlformats.org/officeDocument/2006/relationships/hyperlink" Target="https://doi.org/10.1073/pnas.2620764123" TargetMode="External"/><Relationship Id="rId963" Type="http://schemas.openxmlformats.org/officeDocument/2006/relationships/hyperlink" Target="https://www.pnas.org/doi/abs/10.1073/pnas.2619901123?mi=eymic2&amp;af=R&amp;access=on&amp;content=articlesChapters&amp;publication=pnas&amp;sortBy=Earliest&amp;target=default" TargetMode="External"/><Relationship Id="rId964" Type="http://schemas.openxmlformats.org/officeDocument/2006/relationships/hyperlink" Target="https://doi.org/10.1073/pnas.2619901123" TargetMode="External"/><Relationship Id="rId965" Type="http://schemas.openxmlformats.org/officeDocument/2006/relationships/hyperlink" Target="https://www.pnas.org/doi/abs/10.1073/pnas.2605431123?mi=eymic2&amp;af=R&amp;access=on&amp;content=articlesChapters&amp;publication=pnas&amp;sortBy=Earliest&amp;target=default" TargetMode="External"/><Relationship Id="rId966" Type="http://schemas.openxmlformats.org/officeDocument/2006/relationships/hyperlink" Target="https://doi.org/10.1073/pnas.2605431123" TargetMode="External"/><Relationship Id="rId967" Type="http://schemas.openxmlformats.org/officeDocument/2006/relationships/hyperlink" Target="https://www.pnas.org/doi/abs/10.1073/pnas.2606267123?mi=eymic2&amp;af=R&amp;access=on&amp;content=articlesChapters&amp;publication=pnas&amp;sortBy=Earliest&amp;target=default" TargetMode="External"/><Relationship Id="rId968" Type="http://schemas.openxmlformats.org/officeDocument/2006/relationships/hyperlink" Target="https://doi.org/10.1073/pnas.2606267123" TargetMode="External"/><Relationship Id="rId969" Type="http://schemas.openxmlformats.org/officeDocument/2006/relationships/hyperlink" Target="https://www.pnas.org/doi/abs/10.1073/pnas.2619019123?mi=eymic2&amp;af=R&amp;access=on&amp;content=articlesChapters&amp;publication=pnas&amp;sortBy=Earliest&amp;target=default" TargetMode="External"/><Relationship Id="rId970" Type="http://schemas.openxmlformats.org/officeDocument/2006/relationships/hyperlink" Target="https://doi.org/10.1073/pnas.2619019123" TargetMode="External"/><Relationship Id="rId971" Type="http://schemas.openxmlformats.org/officeDocument/2006/relationships/hyperlink" Target="https://www.pnas.org/doi/abs/10.1073/pnas.2618349123?mi=eymic2&amp;af=R&amp;access=on&amp;content=articlesChapters&amp;publication=pnas&amp;sortBy=Earliest&amp;target=default" TargetMode="External"/><Relationship Id="rId972" Type="http://schemas.openxmlformats.org/officeDocument/2006/relationships/hyperlink" Target="https://doi.org/10.1073/pnas.2618349123" TargetMode="External"/><Relationship Id="rId973" Type="http://schemas.openxmlformats.org/officeDocument/2006/relationships/hyperlink" Target="https://www.pnas.org/doi/abs/10.1073/pnas.2618096123?mi=eymic2&amp;af=R&amp;access=on&amp;content=articlesChapters&amp;publication=pnas&amp;sortBy=Earliest&amp;target=default" TargetMode="External"/><Relationship Id="rId974" Type="http://schemas.openxmlformats.org/officeDocument/2006/relationships/hyperlink" Target="https://doi.org/10.1073/pnas.2618096123" TargetMode="External"/><Relationship Id="rId975" Type="http://schemas.openxmlformats.org/officeDocument/2006/relationships/hyperlink" Target="https://www.pnas.org/doi/abs/10.1073/pnas.2613472123?mi=eymic2&amp;af=R&amp;access=on&amp;content=articlesChapters&amp;publication=pnas&amp;sortBy=Earliest&amp;target=default" TargetMode="External"/><Relationship Id="rId976" Type="http://schemas.openxmlformats.org/officeDocument/2006/relationships/hyperlink" Target="https://doi.org/10.1073/pnas.2613472123" TargetMode="External"/><Relationship Id="rId977" Type="http://schemas.openxmlformats.org/officeDocument/2006/relationships/hyperlink" Target="https://www.pnas.org/doi/abs/10.1073/pnas.2621064123?mi=eymic2&amp;af=R&amp;access=on&amp;content=articlesChapters&amp;publication=pnas&amp;sortBy=Earliest&amp;target=default" TargetMode="External"/><Relationship Id="rId978" Type="http://schemas.openxmlformats.org/officeDocument/2006/relationships/hyperlink" Target="https://doi.org/10.1073/pnas.2621064123" TargetMode="External"/><Relationship Id="rId979" Type="http://schemas.openxmlformats.org/officeDocument/2006/relationships/hyperlink" Target="https://www.pnas.org/doi/abs/10.1073/pnas.2610453123?mi=eymic2&amp;af=R&amp;access=on&amp;content=articlesChapters&amp;publication=pnas&amp;sortBy=Earliest&amp;target=default" TargetMode="External"/><Relationship Id="rId980" Type="http://schemas.openxmlformats.org/officeDocument/2006/relationships/hyperlink" Target="https://doi.org/10.1073/pnas.2610453123" TargetMode="External"/><Relationship Id="rId981" Type="http://schemas.openxmlformats.org/officeDocument/2006/relationships/hyperlink" Target="https://www.pnas.org/doi/abs/10.1073/pnas.2609969123?mi=eymic2&amp;af=R&amp;access=on&amp;content=articlesChapters&amp;publication=pnas&amp;sortBy=Earliest&amp;target=default" TargetMode="External"/><Relationship Id="rId982" Type="http://schemas.openxmlformats.org/officeDocument/2006/relationships/hyperlink" Target="https://doi.org/10.1073/pnas.2609969123" TargetMode="External"/><Relationship Id="rId983" Type="http://schemas.openxmlformats.org/officeDocument/2006/relationships/hyperlink" Target="https://www.pnas.org/doi/abs/10.1073/pnas.2618431123?mi=eymic2&amp;af=R&amp;access=on&amp;content=articlesChapters&amp;publication=pnas&amp;sortBy=Earliest&amp;target=default" TargetMode="External"/><Relationship Id="rId984" Type="http://schemas.openxmlformats.org/officeDocument/2006/relationships/hyperlink" Target="https://doi.org/10.1073/pnas.2618431123" TargetMode="External"/><Relationship Id="rId985" Type="http://schemas.openxmlformats.org/officeDocument/2006/relationships/hyperlink" Target="https://www.pnas.org/doi/abs/10.1073/pnas.2605226123?mi=eymic2&amp;af=R&amp;access=on&amp;content=articlesChapters&amp;publication=pnas&amp;sortBy=Earliest&amp;target=default" TargetMode="External"/><Relationship Id="rId986" Type="http://schemas.openxmlformats.org/officeDocument/2006/relationships/hyperlink" Target="https://doi.org/10.1073/pnas.2605226123" TargetMode="External"/><Relationship Id="rId987" Type="http://schemas.openxmlformats.org/officeDocument/2006/relationships/hyperlink" Target="https://advanced.onlinelibrary.wiley.com/doi/10.1002/adma.74165?af=R" TargetMode="External"/><Relationship Id="rId988" Type="http://schemas.openxmlformats.org/officeDocument/2006/relationships/hyperlink" Target="https://doi.org/10.1002/adma.74165" TargetMode="External"/><Relationship Id="rId989" Type="http://schemas.openxmlformats.org/officeDocument/2006/relationships/hyperlink" Target="https://advanced.onlinelibrary.wiley.com/doi/10.1002/adma.74328?af=R" TargetMode="External"/><Relationship Id="rId990" Type="http://schemas.openxmlformats.org/officeDocument/2006/relationships/hyperlink" Target="https://doi.org/10.1002/adma.74328" TargetMode="External"/><Relationship Id="rId991" Type="http://schemas.openxmlformats.org/officeDocument/2006/relationships/hyperlink" Target="http://link.aps.org/doi/10.1103/bdkf-3x4p" TargetMode="External"/><Relationship Id="rId992" Type="http://schemas.openxmlformats.org/officeDocument/2006/relationships/hyperlink" Target="https://doi.org/10.1103/bdkf-3x4p" TargetMode="External"/><Relationship Id="rId993" Type="http://schemas.openxmlformats.org/officeDocument/2006/relationships/hyperlink" Target="http://link.aps.org/doi/10.1103/r9jy-hrv7" TargetMode="External"/><Relationship Id="rId994" Type="http://schemas.openxmlformats.org/officeDocument/2006/relationships/hyperlink" Target="https://doi.org/10.1103/r9jy-hrv7" TargetMode="External"/><Relationship Id="rId995" Type="http://schemas.openxmlformats.org/officeDocument/2006/relationships/hyperlink" Target="http://link.aps.org/doi/10.1103/v88p-965w" TargetMode="External"/><Relationship Id="rId996" Type="http://schemas.openxmlformats.org/officeDocument/2006/relationships/hyperlink" Target="https://doi.org/10.1103/v88p-965w" TargetMode="External"/><Relationship Id="rId997" Type="http://schemas.openxmlformats.org/officeDocument/2006/relationships/hyperlink" Target="http://link.aps.org/doi/10.1103/x414-n6g9" TargetMode="External"/><Relationship Id="rId998" Type="http://schemas.openxmlformats.org/officeDocument/2006/relationships/hyperlink" Target="https://doi.org/10.1103/x414-n6g9" TargetMode="External"/><Relationship Id="rId999" Type="http://schemas.openxmlformats.org/officeDocument/2006/relationships/hyperlink" Target="http://link.aps.org/doi/10.1103/12b6-hw2h" TargetMode="External"/><Relationship Id="rId1000" Type="http://schemas.openxmlformats.org/officeDocument/2006/relationships/hyperlink" Target="https://doi.org/10.1103/12b6-hw2h" TargetMode="External"/><Relationship Id="rId1001" Type="http://schemas.openxmlformats.org/officeDocument/2006/relationships/hyperlink" Target="http://link.aps.org/doi/10.1103/xt46-rfjs" TargetMode="External"/><Relationship Id="rId1002" Type="http://schemas.openxmlformats.org/officeDocument/2006/relationships/hyperlink" Target="https://doi.org/10.1103/xt46-rfjs" TargetMode="External"/><Relationship Id="rId1003" Type="http://schemas.openxmlformats.org/officeDocument/2006/relationships/hyperlink" Target="http://link.aps.org/doi/10.1103/x1cy-w5zd" TargetMode="External"/><Relationship Id="rId1004" Type="http://schemas.openxmlformats.org/officeDocument/2006/relationships/hyperlink" Target="https://doi.org/10.1103/x1cy-w5zd" TargetMode="External"/><Relationship Id="rId1005" Type="http://schemas.openxmlformats.org/officeDocument/2006/relationships/hyperlink" Target="http://link.aps.org/doi/10.1103/b9r4-8sbf" TargetMode="External"/><Relationship Id="rId1006" Type="http://schemas.openxmlformats.org/officeDocument/2006/relationships/hyperlink" Target="https://doi.org/10.1103/b9r4-8sbf" TargetMode="External"/><Relationship Id="rId1007" Type="http://schemas.openxmlformats.org/officeDocument/2006/relationships/hyperlink" Target="http://link.aps.org/doi/10.1103/r43h-ch8r" TargetMode="External"/><Relationship Id="rId1008" Type="http://schemas.openxmlformats.org/officeDocument/2006/relationships/hyperlink" Target="https://doi.org/10.1103/r43h-ch8r" TargetMode="External"/><Relationship Id="rId1009" Type="http://schemas.openxmlformats.org/officeDocument/2006/relationships/hyperlink" Target="http://link.aps.org/doi/10.1103/qy4y-171h" TargetMode="External"/><Relationship Id="rId1010" Type="http://schemas.openxmlformats.org/officeDocument/2006/relationships/hyperlink" Target="https://doi.org/10.1103/qy4y-171h" TargetMode="External"/><Relationship Id="rId1011" Type="http://schemas.openxmlformats.org/officeDocument/2006/relationships/hyperlink" Target="http://link.aps.org/doi/10.1103/bpl2-y7ls" TargetMode="External"/><Relationship Id="rId1012" Type="http://schemas.openxmlformats.org/officeDocument/2006/relationships/hyperlink" Target="https://doi.org/10.1103/bpl2-y7ls" TargetMode="External"/><Relationship Id="rId1013" Type="http://schemas.openxmlformats.org/officeDocument/2006/relationships/hyperlink" Target="http://link.aps.org/doi/10.1103/5x7p-qk2l" TargetMode="External"/><Relationship Id="rId1014" Type="http://schemas.openxmlformats.org/officeDocument/2006/relationships/hyperlink" Target="https://doi.org/10.1103/5x7p-qk2l" TargetMode="External"/><Relationship Id="rId1015" Type="http://schemas.openxmlformats.org/officeDocument/2006/relationships/hyperlink" Target="http://link.aps.org/doi/10.1103/ms99-5qnq" TargetMode="External"/><Relationship Id="rId1016" Type="http://schemas.openxmlformats.org/officeDocument/2006/relationships/hyperlink" Target="https://doi.org/10.1103/ms99-5qnq" TargetMode="External"/><Relationship Id="rId1017" Type="http://schemas.openxmlformats.org/officeDocument/2006/relationships/hyperlink" Target="http://link.aps.org/doi/10.1103/gg8v-z7pn" TargetMode="External"/><Relationship Id="rId1018" Type="http://schemas.openxmlformats.org/officeDocument/2006/relationships/hyperlink" Target="https://doi.org/10.1103/gg8v-z7pn" TargetMode="External"/><Relationship Id="rId1019" Type="http://schemas.openxmlformats.org/officeDocument/2006/relationships/hyperlink" Target="http://link.aps.org/doi/10.1103/wvyf-b2m3" TargetMode="External"/><Relationship Id="rId1020" Type="http://schemas.openxmlformats.org/officeDocument/2006/relationships/hyperlink" Target="https://doi.org/10.1103/wvyf-b2m3" TargetMode="External"/><Relationship Id="rId1021" Type="http://schemas.openxmlformats.org/officeDocument/2006/relationships/hyperlink" Target="http://link.aps.org/doi/10.1103/n5xp-fntr" TargetMode="External"/><Relationship Id="rId1022" Type="http://schemas.openxmlformats.org/officeDocument/2006/relationships/hyperlink" Target="https://doi.org/10.1103/n5xp-fntr" TargetMode="External"/><Relationship Id="rId1023" Type="http://schemas.openxmlformats.org/officeDocument/2006/relationships/hyperlink" Target="http://link.aps.org/doi/10.1103/m1f6-pp39" TargetMode="External"/><Relationship Id="rId1024" Type="http://schemas.openxmlformats.org/officeDocument/2006/relationships/hyperlink" Target="https://doi.org/10.1103/m1f6-pp39" TargetMode="External"/><Relationship Id="rId1025" Type="http://schemas.openxmlformats.org/officeDocument/2006/relationships/hyperlink" Target="http://link.aps.org/doi/10.1103/84jt-xhtl" TargetMode="External"/><Relationship Id="rId1026" Type="http://schemas.openxmlformats.org/officeDocument/2006/relationships/hyperlink" Target="https://doi.org/10.1103/84jt-xhtl" TargetMode="External"/><Relationship Id="rId1027" Type="http://schemas.openxmlformats.org/officeDocument/2006/relationships/hyperlink" Target="http://link.aps.org/doi/10.1103/h88t-phwj" TargetMode="External"/><Relationship Id="rId1028" Type="http://schemas.openxmlformats.org/officeDocument/2006/relationships/hyperlink" Target="https://doi.org/10.1103/h88t-phwj" TargetMode="External"/><Relationship Id="rId1029" Type="http://schemas.openxmlformats.org/officeDocument/2006/relationships/hyperlink" Target="https://onlinelibrary.wiley.com/doi/10.1002/anie.6875427?af=R" TargetMode="External"/><Relationship Id="rId1030" Type="http://schemas.openxmlformats.org/officeDocument/2006/relationships/hyperlink" Target="https://doi.org/10.1002/anie.6875427" TargetMode="External"/><Relationship Id="rId1031" Type="http://schemas.openxmlformats.org/officeDocument/2006/relationships/hyperlink" Target="https://onlinelibrary.wiley.com/doi/10.1002/anie.7785903?af=R" TargetMode="External"/><Relationship Id="rId1032" Type="http://schemas.openxmlformats.org/officeDocument/2006/relationships/hyperlink" Target="https://doi.org/10.1002/anie.7785903" TargetMode="External"/><Relationship Id="rId1033" Type="http://schemas.openxmlformats.org/officeDocument/2006/relationships/hyperlink" Target="https://onlinelibrary.wiley.com/doi/10.1002/anie.7795967?af=R" TargetMode="External"/><Relationship Id="rId1034" Type="http://schemas.openxmlformats.org/officeDocument/2006/relationships/hyperlink" Target="https://doi.org/10.1002/anie.7795967" TargetMode="External"/><Relationship Id="rId1035" Type="http://schemas.openxmlformats.org/officeDocument/2006/relationships/hyperlink" Target="https://onlinelibrary.wiley.com/doi/10.1002/anie.8706793?af=R" TargetMode="External"/><Relationship Id="rId1036" Type="http://schemas.openxmlformats.org/officeDocument/2006/relationships/hyperlink" Target="https://doi.org/10.1002/anie.8706793" TargetMode="External"/><Relationship Id="rId1037" Type="http://schemas.openxmlformats.org/officeDocument/2006/relationships/hyperlink" Target="https://onlinelibrary.wiley.com/doi/10.1002/anie.2910318?af=R" TargetMode="External"/><Relationship Id="rId1038" Type="http://schemas.openxmlformats.org/officeDocument/2006/relationships/hyperlink" Target="https://doi.org/10.1002/anie.2910318" TargetMode="External"/><Relationship Id="rId1039" Type="http://schemas.openxmlformats.org/officeDocument/2006/relationships/hyperlink" Target="https://onlinelibrary.wiley.com/doi/10.1002/anie.3036478?af=R" TargetMode="External"/><Relationship Id="rId1040" Type="http://schemas.openxmlformats.org/officeDocument/2006/relationships/hyperlink" Target="https://doi.org/10.1002/anie.3036478" TargetMode="External"/><Relationship Id="rId1041" Type="http://schemas.openxmlformats.org/officeDocument/2006/relationships/hyperlink" Target="https://onlinelibrary.wiley.com/doi/10.1002/anie.3123120?af=R" TargetMode="External"/><Relationship Id="rId1042" Type="http://schemas.openxmlformats.org/officeDocument/2006/relationships/hyperlink" Target="https://doi.org/10.1002/anie.3123120" TargetMode="External"/><Relationship Id="rId1043" Type="http://schemas.openxmlformats.org/officeDocument/2006/relationships/hyperlink" Target="https://onlinelibrary.wiley.com/doi/10.1002/anie.5197516?af=R" TargetMode="External"/><Relationship Id="rId1044" Type="http://schemas.openxmlformats.org/officeDocument/2006/relationships/hyperlink" Target="https://doi.org/10.1002/anie.5197516" TargetMode="External"/><Relationship Id="rId1045" Type="http://schemas.openxmlformats.org/officeDocument/2006/relationships/hyperlink" Target="https://onlinelibrary.wiley.com/doi/10.1002/anie.7110390?af=R" TargetMode="External"/><Relationship Id="rId1046" Type="http://schemas.openxmlformats.org/officeDocument/2006/relationships/hyperlink" Target="https://doi.org/10.1002/anie.7110390" TargetMode="External"/><Relationship Id="rId1047" Type="http://schemas.openxmlformats.org/officeDocument/2006/relationships/hyperlink" Target="https://onlinelibrary.wiley.com/doi/10.1002/anie.8731921?af=R" TargetMode="External"/><Relationship Id="rId1048" Type="http://schemas.openxmlformats.org/officeDocument/2006/relationships/hyperlink" Target="https://doi.org/10.1002/anie.8731921" TargetMode="External"/><Relationship Id="rId1049" Type="http://schemas.openxmlformats.org/officeDocument/2006/relationships/hyperlink" Target="https://www.nature.com/articles/d41586-026-02104-4" TargetMode="External"/><Relationship Id="rId1050" Type="http://schemas.openxmlformats.org/officeDocument/2006/relationships/hyperlink" Target="https://doi.org/10.1038/d41586-026-02104-4" TargetMode="External"/><Relationship Id="rId1051" Type="http://schemas.openxmlformats.org/officeDocument/2006/relationships/hyperlink" Target="https://www.nature.com/articles/d41586-026-02333-7" TargetMode="External"/><Relationship Id="rId1052" Type="http://schemas.openxmlformats.org/officeDocument/2006/relationships/hyperlink" Target="https://doi.org/10.1038/d41586-026-02333-7" TargetMode="External"/><Relationship Id="rId1053" Type="http://schemas.openxmlformats.org/officeDocument/2006/relationships/hyperlink" Target="https://www.nature.com/articles/d41586-026-02348-0" TargetMode="External"/><Relationship Id="rId1054" Type="http://schemas.openxmlformats.org/officeDocument/2006/relationships/hyperlink" Target="https://doi.org/10.1038/d41586-026-02348-0" TargetMode="External"/><Relationship Id="rId1055" Type="http://schemas.openxmlformats.org/officeDocument/2006/relationships/hyperlink" Target="https://www.nature.com/articles/d41586-026-01935-5" TargetMode="External"/><Relationship Id="rId1056" Type="http://schemas.openxmlformats.org/officeDocument/2006/relationships/hyperlink" Target="https://doi.org/10.1038/d41586-026-01935-5" TargetMode="External"/><Relationship Id="rId1057" Type="http://schemas.openxmlformats.org/officeDocument/2006/relationships/hyperlink" Target="https://www.nature.com/articles/d41586-026-02287-w" TargetMode="External"/><Relationship Id="rId1058" Type="http://schemas.openxmlformats.org/officeDocument/2006/relationships/hyperlink" Target="https://doi.org/10.1038/d41586-026-02287-w" TargetMode="External"/><Relationship Id="rId1059" Type="http://schemas.openxmlformats.org/officeDocument/2006/relationships/hyperlink" Target="https://www.nature.com/articles/d41586-026-02351-5" TargetMode="External"/><Relationship Id="rId1060" Type="http://schemas.openxmlformats.org/officeDocument/2006/relationships/hyperlink" Target="https://doi.org/10.1038/d41586-026-02351-5" TargetMode="External"/><Relationship Id="rId1061" Type="http://schemas.openxmlformats.org/officeDocument/2006/relationships/hyperlink" Target="https://www.nature.com/articles/d41586-026-02278-x" TargetMode="External"/><Relationship Id="rId1062" Type="http://schemas.openxmlformats.org/officeDocument/2006/relationships/hyperlink" Target="https://doi.org/10.1038/d41586-026-02278-x" TargetMode="External"/><Relationship Id="rId1063" Type="http://schemas.openxmlformats.org/officeDocument/2006/relationships/hyperlink" Target="https://www.nature.com/articles/d41586-026-02363-1" TargetMode="External"/><Relationship Id="rId1064" Type="http://schemas.openxmlformats.org/officeDocument/2006/relationships/hyperlink" Target="https://doi.org/10.1038/d41586-026-02363-1" TargetMode="External"/><Relationship Id="rId1065" Type="http://schemas.openxmlformats.org/officeDocument/2006/relationships/hyperlink" Target="https://www.nature.com/articles/d41586-026-02347-1" TargetMode="External"/><Relationship Id="rId1066" Type="http://schemas.openxmlformats.org/officeDocument/2006/relationships/hyperlink" Target="https://doi.org/10.1038/d41586-026-02347-1" TargetMode="External"/><Relationship Id="rId1067" Type="http://schemas.openxmlformats.org/officeDocument/2006/relationships/hyperlink" Target="https://www.nature.com/articles/d41586-026-02125-z" TargetMode="External"/><Relationship Id="rId1068" Type="http://schemas.openxmlformats.org/officeDocument/2006/relationships/hyperlink" Target="https://doi.org/10.1038/d41586-026-02125-z" TargetMode="External"/><Relationship Id="rId1069" Type="http://schemas.openxmlformats.org/officeDocument/2006/relationships/hyperlink" Target="https://www.nature.com/articles/d41586-026-02311-z" TargetMode="External"/><Relationship Id="rId1070" Type="http://schemas.openxmlformats.org/officeDocument/2006/relationships/hyperlink" Target="https://doi.org/10.1038/d41586-026-02311-z" TargetMode="External"/><Relationship Id="rId1071" Type="http://schemas.openxmlformats.org/officeDocument/2006/relationships/hyperlink" Target="https://www.nature.com/articles/d41586-026-02315-9" TargetMode="External"/><Relationship Id="rId1072" Type="http://schemas.openxmlformats.org/officeDocument/2006/relationships/hyperlink" Target="https://doi.org/10.1038/d41586-026-02315-9" TargetMode="External"/><Relationship Id="rId1073" Type="http://schemas.openxmlformats.org/officeDocument/2006/relationships/hyperlink" Target="https://www.nature.com/articles/d41586-026-02300-2" TargetMode="External"/><Relationship Id="rId1074" Type="http://schemas.openxmlformats.org/officeDocument/2006/relationships/hyperlink" Target="https://doi.org/10.1038/d41586-026-02300-2" TargetMode="External"/><Relationship Id="rId1075" Type="http://schemas.openxmlformats.org/officeDocument/2006/relationships/hyperlink" Target="https://www.nature.com/articles/d41586-026-02346-2" TargetMode="External"/><Relationship Id="rId1076" Type="http://schemas.openxmlformats.org/officeDocument/2006/relationships/hyperlink" Target="https://doi.org/10.1038/d41586-026-02346-2" TargetMode="External"/><Relationship Id="rId1077" Type="http://schemas.openxmlformats.org/officeDocument/2006/relationships/hyperlink" Target="https://www.nature.com/articles/s41586-026-10931-8" TargetMode="External"/><Relationship Id="rId1078" Type="http://schemas.openxmlformats.org/officeDocument/2006/relationships/hyperlink" Target="https://doi.org/10.1038/s41586-026-10931-8" TargetMode="External"/><Relationship Id="rId1079" Type="http://schemas.openxmlformats.org/officeDocument/2006/relationships/hyperlink" Target="https://www.nature.com/articles/d41586-026-02286-x" TargetMode="External"/><Relationship Id="rId1080" Type="http://schemas.openxmlformats.org/officeDocument/2006/relationships/hyperlink" Target="https://doi.org/10.1038/d41586-026-02286-x" TargetMode="External"/><Relationship Id="rId1081" Type="http://schemas.openxmlformats.org/officeDocument/2006/relationships/hyperlink" Target="https://www.sciencedirect.com/science/article/pii/S0306261926008305?dgcid=rss_sd_all" TargetMode="External"/><Relationship Id="rId1082" Type="http://schemas.openxmlformats.org/officeDocument/2006/relationships/hyperlink" Target="https://doi.org/10.1016/j.apenergy.2026.128178" TargetMode="External"/><Relationship Id="rId1083" Type="http://schemas.openxmlformats.org/officeDocument/2006/relationships/hyperlink" Target="https://www.sciencedirect.com/science/article/pii/S0306261926011013?dgcid=rss_sd_all" TargetMode="External"/><Relationship Id="rId1084" Type="http://schemas.openxmlformats.org/officeDocument/2006/relationships/hyperlink" Target="https://doi.org/10.1016/j.apenergy.2026.128447" TargetMode="External"/><Relationship Id="rId1085" Type="http://schemas.openxmlformats.org/officeDocument/2006/relationships/hyperlink" Target="https://www.sciencedirect.com/science/article/pii/S0306261926011682?dgcid=rss_sd_all" TargetMode="External"/><Relationship Id="rId1086" Type="http://schemas.openxmlformats.org/officeDocument/2006/relationships/hyperlink" Target="https://doi.org/10.1016/j.apenergy.2026.128512" TargetMode="External"/><Relationship Id="rId1087" Type="http://schemas.openxmlformats.org/officeDocument/2006/relationships/hyperlink" Target="https://www.nature.com/articles/s41563-026-02694-4" TargetMode="External"/><Relationship Id="rId1088" Type="http://schemas.openxmlformats.org/officeDocument/2006/relationships/hyperlink" Target="https://doi.org/10.1038/s41563-026-02694-4" TargetMode="External"/><Relationship Id="rId1089" Type="http://schemas.openxmlformats.org/officeDocument/2006/relationships/hyperlink" Target="https://www.nature.com/articles/s41558-026-02722-w" TargetMode="External"/><Relationship Id="rId1090" Type="http://schemas.openxmlformats.org/officeDocument/2006/relationships/hyperlink" Target="https://doi.org/10.1038/s41558-026-02722-w" TargetMode="External"/><Relationship Id="rId1091" Type="http://schemas.openxmlformats.org/officeDocument/2006/relationships/hyperlink" Target="https://www.nature.com/articles/s41893-026-01874-z" TargetMode="External"/><Relationship Id="rId1092" Type="http://schemas.openxmlformats.org/officeDocument/2006/relationships/hyperlink" Target="https://doi.org/10.1038/s41893-026-01874-z" TargetMode="External"/><Relationship Id="rId1093" Type="http://schemas.openxmlformats.org/officeDocument/2006/relationships/hyperlink" Target="https://www.nature.com/articles/s41565-026-02253-7" TargetMode="External"/><Relationship Id="rId1094" Type="http://schemas.openxmlformats.org/officeDocument/2006/relationships/hyperlink" Target="https://doi.org/10.1038/s41565-026-02253-7" TargetMode="External"/><Relationship Id="rId1095" Type="http://schemas.openxmlformats.org/officeDocument/2006/relationships/hyperlink" Target="https://www.nature.com/articles/d41586-026-02349-z" TargetMode="External"/><Relationship Id="rId1096" Type="http://schemas.openxmlformats.org/officeDocument/2006/relationships/hyperlink" Target="https://doi.org/10.1038/d41586-026-02349-z" TargetMode="External"/><Relationship Id="rId1097" Type="http://schemas.openxmlformats.org/officeDocument/2006/relationships/hyperlink" Target="https://advanced.onlinelibrary.wiley.com/doi/10.1002/aenm.71335?af=R" TargetMode="External"/><Relationship Id="rId1098" Type="http://schemas.openxmlformats.org/officeDocument/2006/relationships/hyperlink" Target="https://doi.org/10.1002/aenm.71335" TargetMode="External"/><Relationship Id="rId1099" Type="http://schemas.openxmlformats.org/officeDocument/2006/relationships/hyperlink" Target="https://onlinelibrary.wiley.com/doi/10.1002/anie.2026-m1007033700?af=R" TargetMode="External"/><Relationship Id="rId1100" Type="http://schemas.openxmlformats.org/officeDocument/2006/relationships/hyperlink" Target="https://doi.org/10.1002/anie.2026-m1007033700" TargetMode="External"/><Relationship Id="rId1101" Type="http://schemas.openxmlformats.org/officeDocument/2006/relationships/hyperlink" Target="https://www.pnas.org/doi/abs/10.1073/pnas.2513126123?mi=eymic2&amp;af=R&amp;access=on&amp;content=articlesChapters&amp;publication=pnas&amp;sortBy=Earliest&amp;target=default" TargetMode="External"/><Relationship Id="rId1102" Type="http://schemas.openxmlformats.org/officeDocument/2006/relationships/hyperlink" Target="https://doi.org/10.1073/pnas.2513126123" TargetMode="External"/><Relationship Id="rId1103" Type="http://schemas.openxmlformats.org/officeDocument/2006/relationships/hyperlink" Target="https://www.pnas.org/doi/abs/10.1073/pnas.2625034123?mi=eymic2&amp;af=R&amp;access=on&amp;content=articlesChapters&amp;publication=pnas&amp;sortBy=Earliest&amp;target=default" TargetMode="External"/><Relationship Id="rId1104" Type="http://schemas.openxmlformats.org/officeDocument/2006/relationships/hyperlink" Target="https://doi.org/10.1073/pnas.2625034123" TargetMode="External"/><Relationship Id="rId1105" Type="http://schemas.openxmlformats.org/officeDocument/2006/relationships/hyperlink" Target="https://www.pnas.org/doi/abs/10.1073/pnas.2612999123?mi=eymic2&amp;af=R&amp;access=on&amp;content=articlesChapters&amp;publication=pnas&amp;sortBy=Earliest&amp;target=default" TargetMode="External"/><Relationship Id="rId1106" Type="http://schemas.openxmlformats.org/officeDocument/2006/relationships/hyperlink" Target="https://doi.org/10.1073/pnas.2612999123" TargetMode="External"/><Relationship Id="rId1107" Type="http://schemas.openxmlformats.org/officeDocument/2006/relationships/hyperlink" Target="https://www.pnas.org/doi/abs/10.1073/pnas.2609794123?mi=eymic2&amp;af=R&amp;access=on&amp;content=articlesChapters&amp;publication=pnas&amp;sortBy=Earliest&amp;target=default" TargetMode="External"/><Relationship Id="rId1108" Type="http://schemas.openxmlformats.org/officeDocument/2006/relationships/hyperlink" Target="https://doi.org/10.1073/pnas.2609794123" TargetMode="External"/><Relationship Id="rId1109" Type="http://schemas.openxmlformats.org/officeDocument/2006/relationships/hyperlink" Target="https://www.pnas.org/doi/abs/10.1073/pnas.2609074123?mi=eymic2&amp;af=R&amp;access=on&amp;content=articlesChapters&amp;publication=pnas&amp;sortBy=Earliest&amp;target=default" TargetMode="External"/><Relationship Id="rId1110" Type="http://schemas.openxmlformats.org/officeDocument/2006/relationships/hyperlink" Target="https://doi.org/10.1073/pnas.2609074123" TargetMode="External"/><Relationship Id="rId1111" Type="http://schemas.openxmlformats.org/officeDocument/2006/relationships/hyperlink" Target="https://www.pnas.org/doi/abs/10.1073/pnas.2608670123?mi=eymic2&amp;af=R&amp;access=on&amp;content=articlesChapters&amp;publication=pnas&amp;sortBy=Earliest&amp;target=default" TargetMode="External"/><Relationship Id="rId1112" Type="http://schemas.openxmlformats.org/officeDocument/2006/relationships/hyperlink" Target="https://doi.org/10.1073/pnas.2608670123" TargetMode="External"/><Relationship Id="rId1113" Type="http://schemas.openxmlformats.org/officeDocument/2006/relationships/hyperlink" Target="https://www.pnas.org/doi/abs/10.1073/pnas.2606876123?mi=eymic2&amp;af=R&amp;access=on&amp;content=articlesChapters&amp;publication=pnas&amp;sortBy=Earliest&amp;target=default" TargetMode="External"/><Relationship Id="rId1114" Type="http://schemas.openxmlformats.org/officeDocument/2006/relationships/hyperlink" Target="https://doi.org/10.1073/pnas.2606876123" TargetMode="External"/><Relationship Id="rId1115" Type="http://schemas.openxmlformats.org/officeDocument/2006/relationships/hyperlink" Target="https://www.pnas.org/doi/abs/10.1073/pnas.2602521123?mi=eymic2&amp;af=R&amp;access=on&amp;content=articlesChapters&amp;publication=pnas&amp;sortBy=Earliest&amp;target=default" TargetMode="External"/><Relationship Id="rId1116" Type="http://schemas.openxmlformats.org/officeDocument/2006/relationships/hyperlink" Target="https://doi.org/10.1073/pnas.2602521123" TargetMode="External"/><Relationship Id="rId1117" Type="http://schemas.openxmlformats.org/officeDocument/2006/relationships/hyperlink" Target="https://www.pnas.org/doi/abs/10.1073/pnas.2602077123?mi=eymic2&amp;af=R&amp;access=on&amp;content=articlesChapters&amp;publication=pnas&amp;sortBy=Earliest&amp;target=default" TargetMode="External"/><Relationship Id="rId1118" Type="http://schemas.openxmlformats.org/officeDocument/2006/relationships/hyperlink" Target="https://doi.org/10.1073/pnas.2602077123" TargetMode="External"/><Relationship Id="rId1119" Type="http://schemas.openxmlformats.org/officeDocument/2006/relationships/hyperlink" Target="https://www.pnas.org/doi/abs/10.1073/pnas.2616248123?mi=eymic2&amp;af=R&amp;access=on&amp;content=articlesChapters&amp;publication=pnas&amp;sortBy=Earliest&amp;target=default" TargetMode="External"/><Relationship Id="rId1120" Type="http://schemas.openxmlformats.org/officeDocument/2006/relationships/hyperlink" Target="https://doi.org/10.1073/pnas.2616248123" TargetMode="External"/><Relationship Id="rId1121" Type="http://schemas.openxmlformats.org/officeDocument/2006/relationships/hyperlink" Target="https://www.pnas.org/doi/abs/10.1073/pnas.2601690123?mi=eymic2&amp;af=R&amp;access=on&amp;content=articlesChapters&amp;publication=pnas&amp;sortBy=Earliest&amp;target=default" TargetMode="External"/><Relationship Id="rId1122" Type="http://schemas.openxmlformats.org/officeDocument/2006/relationships/hyperlink" Target="https://doi.org/10.1073/pnas.2601690123" TargetMode="External"/><Relationship Id="rId1123" Type="http://schemas.openxmlformats.org/officeDocument/2006/relationships/hyperlink" Target="https://www.pnas.org/doi/abs/10.1073/pnas.2600260123?mi=eymic2&amp;af=R&amp;access=on&amp;content=articlesChapters&amp;publication=pnas&amp;sortBy=Earliest&amp;target=default" TargetMode="External"/><Relationship Id="rId1124" Type="http://schemas.openxmlformats.org/officeDocument/2006/relationships/hyperlink" Target="https://doi.org/10.1073/pnas.2600260123" TargetMode="External"/><Relationship Id="rId1125" Type="http://schemas.openxmlformats.org/officeDocument/2006/relationships/hyperlink" Target="https://www.pnas.org/doi/abs/10.1073/pnas.2534217123?mi=eymic2&amp;af=R&amp;access=on&amp;content=articlesChapters&amp;publication=pnas&amp;sortBy=Earliest&amp;target=default" TargetMode="External"/><Relationship Id="rId1126" Type="http://schemas.openxmlformats.org/officeDocument/2006/relationships/hyperlink" Target="https://doi.org/10.1073/pnas.2534217123" TargetMode="External"/><Relationship Id="rId1127" Type="http://schemas.openxmlformats.org/officeDocument/2006/relationships/hyperlink" Target="https://www.pnas.org/doi/abs/10.1073/pnas.2528458123?mi=eymic2&amp;af=R&amp;access=on&amp;content=articlesChapters&amp;publication=pnas&amp;sortBy=Earliest&amp;target=default" TargetMode="External"/><Relationship Id="rId1128" Type="http://schemas.openxmlformats.org/officeDocument/2006/relationships/hyperlink" Target="https://doi.org/10.1073/pnas.2528458123" TargetMode="External"/><Relationship Id="rId1129" Type="http://schemas.openxmlformats.org/officeDocument/2006/relationships/hyperlink" Target="https://www.pnas.org/doi/abs/10.1073/pnas.2525603123?mi=eymic2&amp;af=R&amp;access=on&amp;content=articlesChapters&amp;publication=pnas&amp;sortBy=Earliest&amp;target=default" TargetMode="External"/><Relationship Id="rId1130" Type="http://schemas.openxmlformats.org/officeDocument/2006/relationships/hyperlink" Target="https://doi.org/10.1073/pnas.2525603123" TargetMode="External"/><Relationship Id="rId1131" Type="http://schemas.openxmlformats.org/officeDocument/2006/relationships/hyperlink" Target="https://www.pnas.org/doi/abs/10.1073/pnas.2524161123?mi=eymic2&amp;af=R&amp;access=on&amp;content=articlesChapters&amp;publication=pnas&amp;sortBy=Earliest&amp;target=default" TargetMode="External"/><Relationship Id="rId1132" Type="http://schemas.openxmlformats.org/officeDocument/2006/relationships/hyperlink" Target="https://doi.org/10.1073/pnas.2524161123" TargetMode="External"/><Relationship Id="rId1133" Type="http://schemas.openxmlformats.org/officeDocument/2006/relationships/hyperlink" Target="https://www.pnas.org/doi/abs/10.1073/pnas.2513423123?mi=eymic2&amp;af=R&amp;access=on&amp;content=articlesChapters&amp;publication=pnas&amp;sortBy=Earliest&amp;target=default" TargetMode="External"/><Relationship Id="rId1134" Type="http://schemas.openxmlformats.org/officeDocument/2006/relationships/hyperlink" Target="https://doi.org/10.1073/pnas.2513423123" TargetMode="External"/><Relationship Id="rId1135" Type="http://schemas.openxmlformats.org/officeDocument/2006/relationships/hyperlink" Target="https://www.pnas.org/doi/abs/10.1073/pnas.2603114123?mi=eymic2&amp;af=R&amp;access=on&amp;content=articlesChapters&amp;publication=pnas&amp;sortBy=Earliest&amp;target=default" TargetMode="External"/><Relationship Id="rId1136" Type="http://schemas.openxmlformats.org/officeDocument/2006/relationships/hyperlink" Target="https://doi.org/10.1073/pnas.2603114123" TargetMode="External"/><Relationship Id="rId1137" Type="http://schemas.openxmlformats.org/officeDocument/2006/relationships/hyperlink" Target="https://www.pnas.org/doi/abs/10.1073/pnas.2600565123?mi=eymic2&amp;af=R&amp;access=on&amp;content=articlesChapters&amp;publication=pnas&amp;sortBy=Earliest&amp;target=default" TargetMode="External"/><Relationship Id="rId1138" Type="http://schemas.openxmlformats.org/officeDocument/2006/relationships/hyperlink" Target="https://doi.org/10.1073/pnas.2600565123" TargetMode="External"/><Relationship Id="rId1139" Type="http://schemas.openxmlformats.org/officeDocument/2006/relationships/hyperlink" Target="https://www.pnas.org/doi/abs/10.1073/iti3026123?mi=eymic2&amp;af=R&amp;access=on&amp;content=articlesChapters&amp;publication=pnas&amp;sortBy=Earliest&amp;target=default" TargetMode="External"/><Relationship Id="rId1140" Type="http://schemas.openxmlformats.org/officeDocument/2006/relationships/hyperlink" Target="https://doi.org/10.1073/iti3026123" TargetMode="External"/><Relationship Id="rId1141" Type="http://schemas.openxmlformats.org/officeDocument/2006/relationships/hyperlink" Target="http://link.aps.org/doi/10.1103/xjpt-q14w" TargetMode="External"/><Relationship Id="rId1142" Type="http://schemas.openxmlformats.org/officeDocument/2006/relationships/hyperlink" Target="https://doi.org/10.1103/xjpt-q14w" TargetMode="External"/><Relationship Id="rId1143" Type="http://schemas.openxmlformats.org/officeDocument/2006/relationships/hyperlink" Target="http://link.aps.org/doi/10.1103/fqmh-zxlw" TargetMode="External"/><Relationship Id="rId1144" Type="http://schemas.openxmlformats.org/officeDocument/2006/relationships/hyperlink" Target="https://doi.org/10.1103/fqmh-zxlw" TargetMode="External"/><Relationship Id="rId1145" Type="http://schemas.openxmlformats.org/officeDocument/2006/relationships/hyperlink" Target="http://link.aps.org/doi/10.1103/fr7x-555s" TargetMode="External"/><Relationship Id="rId1146" Type="http://schemas.openxmlformats.org/officeDocument/2006/relationships/hyperlink" Target="https://doi.org/10.1103/fr7x-555s" TargetMode="External"/><Relationship Id="rId1147" Type="http://schemas.openxmlformats.org/officeDocument/2006/relationships/hyperlink" Target="http://link.aps.org/doi/10.1103/sytg-m4ms" TargetMode="External"/><Relationship Id="rId1148" Type="http://schemas.openxmlformats.org/officeDocument/2006/relationships/hyperlink" Target="https://doi.org/10.1103/sytg-m4ms" TargetMode="External"/><Relationship Id="rId1149" Type="http://schemas.openxmlformats.org/officeDocument/2006/relationships/hyperlink" Target="http://link.aps.org/doi/10.1103/bczk-bfy5" TargetMode="External"/><Relationship Id="rId1150" Type="http://schemas.openxmlformats.org/officeDocument/2006/relationships/hyperlink" Target="https://doi.org/10.1103/bczk-bfy5" TargetMode="External"/><Relationship Id="rId1151" Type="http://schemas.openxmlformats.org/officeDocument/2006/relationships/hyperlink" Target="http://link.aps.org/doi/10.1103/ntm6-dz86" TargetMode="External"/><Relationship Id="rId1152" Type="http://schemas.openxmlformats.org/officeDocument/2006/relationships/hyperlink" Target="https://doi.org/10.1103/ntm6-dz86" TargetMode="External"/><Relationship Id="rId1153" Type="http://schemas.openxmlformats.org/officeDocument/2006/relationships/hyperlink" Target="http://link.aps.org/doi/10.1103/6tsl-d9kn" TargetMode="External"/><Relationship Id="rId1154" Type="http://schemas.openxmlformats.org/officeDocument/2006/relationships/hyperlink" Target="https://doi.org/10.1103/6tsl-d9kn" TargetMode="External"/><Relationship Id="rId1155" Type="http://schemas.openxmlformats.org/officeDocument/2006/relationships/hyperlink" Target="http://link.aps.org/doi/10.1103/5ynb-7k4v" TargetMode="External"/><Relationship Id="rId1156" Type="http://schemas.openxmlformats.org/officeDocument/2006/relationships/hyperlink" Target="https://doi.org/10.1103/5ynb-7k4v" TargetMode="External"/><Relationship Id="rId1157" Type="http://schemas.openxmlformats.org/officeDocument/2006/relationships/hyperlink" Target="http://link.aps.org/doi/10.1103/h6h9-j83r" TargetMode="External"/><Relationship Id="rId1158" Type="http://schemas.openxmlformats.org/officeDocument/2006/relationships/hyperlink" Target="https://doi.org/10.1103/h6h9-j83r" TargetMode="External"/><Relationship Id="rId1159" Type="http://schemas.openxmlformats.org/officeDocument/2006/relationships/hyperlink" Target="http://link.aps.org/doi/10.1103/xzmk-r533" TargetMode="External"/><Relationship Id="rId1160" Type="http://schemas.openxmlformats.org/officeDocument/2006/relationships/hyperlink" Target="https://doi.org/10.1103/xzmk-r533" TargetMode="External"/><Relationship Id="rId1161" Type="http://schemas.openxmlformats.org/officeDocument/2006/relationships/hyperlink" Target="http://link.aps.org/doi/10.1103/k4lv-436c" TargetMode="External"/><Relationship Id="rId1162" Type="http://schemas.openxmlformats.org/officeDocument/2006/relationships/hyperlink" Target="https://doi.org/10.1103/k4lv-436c" TargetMode="External"/><Relationship Id="rId1163" Type="http://schemas.openxmlformats.org/officeDocument/2006/relationships/hyperlink" Target="http://link.aps.org/doi/10.1103/vzv9-hcks" TargetMode="External"/><Relationship Id="rId1164" Type="http://schemas.openxmlformats.org/officeDocument/2006/relationships/hyperlink" Target="https://doi.org/10.1103/vzv9-hcks" TargetMode="External"/><Relationship Id="rId1165" Type="http://schemas.openxmlformats.org/officeDocument/2006/relationships/hyperlink" Target="http://link.aps.org/doi/10.1103/2qck-n6mb" TargetMode="External"/><Relationship Id="rId1166" Type="http://schemas.openxmlformats.org/officeDocument/2006/relationships/hyperlink" Target="https://doi.org/10.1103/2qck-n6mb" TargetMode="External"/><Relationship Id="rId1167" Type="http://schemas.openxmlformats.org/officeDocument/2006/relationships/hyperlink" Target="http://link.aps.org/doi/10.1103/pl88-4435" TargetMode="External"/><Relationship Id="rId1168" Type="http://schemas.openxmlformats.org/officeDocument/2006/relationships/hyperlink" Target="https://doi.org/10.1103/pl88-4435" TargetMode="External"/><Relationship Id="rId1169" Type="http://schemas.openxmlformats.org/officeDocument/2006/relationships/hyperlink" Target="http://link.aps.org/doi/10.1103/cvjn-7kvp" TargetMode="External"/><Relationship Id="rId1170" Type="http://schemas.openxmlformats.org/officeDocument/2006/relationships/hyperlink" Target="https://doi.org/10.1103/cvjn-7kvp" TargetMode="External"/><Relationship Id="rId1171" Type="http://schemas.openxmlformats.org/officeDocument/2006/relationships/hyperlink" Target="http://link.aps.org/doi/10.1103/r7hw-27wv" TargetMode="External"/><Relationship Id="rId1172" Type="http://schemas.openxmlformats.org/officeDocument/2006/relationships/hyperlink" Target="https://doi.org/10.1103/r7hw-27wv" TargetMode="External"/><Relationship Id="rId1173" Type="http://schemas.openxmlformats.org/officeDocument/2006/relationships/hyperlink" Target="http://link.aps.org/doi/10.1103/wm6r-kdnk" TargetMode="External"/><Relationship Id="rId1174" Type="http://schemas.openxmlformats.org/officeDocument/2006/relationships/hyperlink" Target="https://doi.org/10.1103/wm6r-kdnk" TargetMode="External"/><Relationship Id="rId1175" Type="http://schemas.openxmlformats.org/officeDocument/2006/relationships/hyperlink" Target="http://link.aps.org/doi/10.1103/zmnz-tkq2" TargetMode="External"/><Relationship Id="rId1176" Type="http://schemas.openxmlformats.org/officeDocument/2006/relationships/hyperlink" Target="https://doi.org/10.1103/zmnz-tkq2" TargetMode="External"/><Relationship Id="rId1177" Type="http://schemas.openxmlformats.org/officeDocument/2006/relationships/hyperlink" Target="http://link.aps.org/doi/10.1103/4pp1-dxw6" TargetMode="External"/><Relationship Id="rId1178" Type="http://schemas.openxmlformats.org/officeDocument/2006/relationships/hyperlink" Target="https://doi.org/10.1103/4pp1-dxw6" TargetMode="External"/><Relationship Id="rId1179" Type="http://schemas.openxmlformats.org/officeDocument/2006/relationships/hyperlink" Target="http://link.aps.org/doi/10.1103/jvj4-hk16" TargetMode="External"/><Relationship Id="rId1180" Type="http://schemas.openxmlformats.org/officeDocument/2006/relationships/hyperlink" Target="https://doi.org/10.1103/jvj4-hk16" TargetMode="External"/><Relationship Id="rId1181" Type="http://schemas.openxmlformats.org/officeDocument/2006/relationships/hyperlink" Target="http://link.aps.org/doi/10.1103/1vyz-xdkb" TargetMode="External"/><Relationship Id="rId1182" Type="http://schemas.openxmlformats.org/officeDocument/2006/relationships/hyperlink" Target="https://doi.org/10.1103/1vyz-xdkb" TargetMode="External"/><Relationship Id="rId1183" Type="http://schemas.openxmlformats.org/officeDocument/2006/relationships/hyperlink" Target="http://link.aps.org/doi/10.1103/pd91-32q3" TargetMode="External"/><Relationship Id="rId1184" Type="http://schemas.openxmlformats.org/officeDocument/2006/relationships/hyperlink" Target="https://doi.org/10.1103/pd91-32q3" TargetMode="External"/><Relationship Id="rId1185" Type="http://schemas.openxmlformats.org/officeDocument/2006/relationships/hyperlink" Target="http://link.aps.org/doi/10.1103/syq9-z93n" TargetMode="External"/><Relationship Id="rId1186" Type="http://schemas.openxmlformats.org/officeDocument/2006/relationships/hyperlink" Target="https://doi.org/10.1103/syq9-z93n" TargetMode="External"/><Relationship Id="rId1187" Type="http://schemas.openxmlformats.org/officeDocument/2006/relationships/hyperlink" Target="http://link.aps.org/doi/10.1103/9gg2-zy3l" TargetMode="External"/><Relationship Id="rId1188" Type="http://schemas.openxmlformats.org/officeDocument/2006/relationships/hyperlink" Target="https://doi.org/10.1103/9gg2-zy3l" TargetMode="External"/><Relationship Id="rId1189" Type="http://schemas.openxmlformats.org/officeDocument/2006/relationships/hyperlink" Target="http://link.aps.org/doi/10.1103/sbk8-n8y3" TargetMode="External"/><Relationship Id="rId1190" Type="http://schemas.openxmlformats.org/officeDocument/2006/relationships/hyperlink" Target="https://doi.org/10.1103/sbk8-n8y3" TargetMode="External"/><Relationship Id="rId1191" Type="http://schemas.openxmlformats.org/officeDocument/2006/relationships/hyperlink" Target="http://link.aps.org/doi/10.1103/hrdv-qcf6" TargetMode="External"/><Relationship Id="rId1192" Type="http://schemas.openxmlformats.org/officeDocument/2006/relationships/hyperlink" Target="https://doi.org/10.1103/hrdv-qcf6" TargetMode="External"/><Relationship Id="rId1193" Type="http://schemas.openxmlformats.org/officeDocument/2006/relationships/hyperlink" Target="http://link.aps.org/doi/10.1103/r7gg-w6kg" TargetMode="External"/><Relationship Id="rId1194" Type="http://schemas.openxmlformats.org/officeDocument/2006/relationships/hyperlink" Target="https://doi.org/10.1103/r7gg-w6kg" TargetMode="External"/><Relationship Id="rId1195" Type="http://schemas.openxmlformats.org/officeDocument/2006/relationships/hyperlink" Target="http://link.aps.org/doi/10.1103/7cnz-jsg1" TargetMode="External"/><Relationship Id="rId1196" Type="http://schemas.openxmlformats.org/officeDocument/2006/relationships/hyperlink" Target="https://doi.org/10.1103/7cnz-jsg1" TargetMode="External"/><Relationship Id="rId1197" Type="http://schemas.openxmlformats.org/officeDocument/2006/relationships/hyperlink" Target="http://link.aps.org/doi/10.1103/jn4z-j1ll" TargetMode="External"/><Relationship Id="rId1198" Type="http://schemas.openxmlformats.org/officeDocument/2006/relationships/hyperlink" Target="https://doi.org/10.1103/jn4z-j1ll" TargetMode="External"/><Relationship Id="rId1199" Type="http://schemas.openxmlformats.org/officeDocument/2006/relationships/hyperlink" Target="http://link.aps.org/doi/10.1103/mpx9-b5x3" TargetMode="External"/><Relationship Id="rId1200" Type="http://schemas.openxmlformats.org/officeDocument/2006/relationships/hyperlink" Target="https://doi.org/10.1103/mpx9-b5x3" TargetMode="External"/><Relationship Id="rId1201" Type="http://schemas.openxmlformats.org/officeDocument/2006/relationships/hyperlink" Target="http://link.aps.org/doi/10.1103/jdbw-p719" TargetMode="External"/><Relationship Id="rId1202" Type="http://schemas.openxmlformats.org/officeDocument/2006/relationships/hyperlink" Target="https://doi.org/10.1103/jdbw-p719" TargetMode="External"/><Relationship Id="rId1203" Type="http://schemas.openxmlformats.org/officeDocument/2006/relationships/hyperlink" Target="http://link.aps.org/doi/10.1103/qjq1-4k8c" TargetMode="External"/><Relationship Id="rId1204" Type="http://schemas.openxmlformats.org/officeDocument/2006/relationships/hyperlink" Target="https://doi.org/10.1103/qjq1-4k8c" TargetMode="External"/><Relationship Id="rId1205" Type="http://schemas.openxmlformats.org/officeDocument/2006/relationships/hyperlink" Target="http://link.aps.org/doi/10.1103/d9xb-4vq9" TargetMode="External"/><Relationship Id="rId1206" Type="http://schemas.openxmlformats.org/officeDocument/2006/relationships/hyperlink" Target="https://doi.org/10.1103/d9xb-4vq9" TargetMode="External"/><Relationship Id="rId1207" Type="http://schemas.openxmlformats.org/officeDocument/2006/relationships/hyperlink" Target="http://link.aps.org/doi/10.1103/1d1n-cssv" TargetMode="External"/><Relationship Id="rId1208" Type="http://schemas.openxmlformats.org/officeDocument/2006/relationships/hyperlink" Target="https://doi.org/10.1103/1d1n-cssv" TargetMode="External"/><Relationship Id="rId1209" Type="http://schemas.openxmlformats.org/officeDocument/2006/relationships/hyperlink" Target="http://link.aps.org/doi/10.1103/9y69-62kf" TargetMode="External"/><Relationship Id="rId1210" Type="http://schemas.openxmlformats.org/officeDocument/2006/relationships/hyperlink" Target="https://doi.org/10.1103/9y69-62kf" TargetMode="External"/><Relationship Id="rId1211" Type="http://schemas.openxmlformats.org/officeDocument/2006/relationships/hyperlink" Target="http://link.aps.org/doi/10.1103/3vs9-4y1y" TargetMode="External"/><Relationship Id="rId1212" Type="http://schemas.openxmlformats.org/officeDocument/2006/relationships/hyperlink" Target="https://doi.org/10.1103/3vs9-4y1y" TargetMode="External"/><Relationship Id="rId1213" Type="http://schemas.openxmlformats.org/officeDocument/2006/relationships/hyperlink" Target="http://link.aps.org/doi/10.1103/p9zs-g8ky" TargetMode="External"/><Relationship Id="rId1214" Type="http://schemas.openxmlformats.org/officeDocument/2006/relationships/hyperlink" Target="https://doi.org/10.1103/p9zs-g8ky" TargetMode="External"/><Relationship Id="rId1215" Type="http://schemas.openxmlformats.org/officeDocument/2006/relationships/hyperlink" Target="http://link.aps.org/doi/10.1103/svrz-315w" TargetMode="External"/><Relationship Id="rId1216" Type="http://schemas.openxmlformats.org/officeDocument/2006/relationships/hyperlink" Target="https://doi.org/10.1103/svrz-315w" TargetMode="External"/><Relationship Id="rId1217" Type="http://schemas.openxmlformats.org/officeDocument/2006/relationships/hyperlink" Target="http://link.aps.org/doi/10.1103/7hy5-kf31" TargetMode="External"/><Relationship Id="rId1218" Type="http://schemas.openxmlformats.org/officeDocument/2006/relationships/hyperlink" Target="https://doi.org/10.1103/7hy5-kf31" TargetMode="External"/><Relationship Id="rId1219" Type="http://schemas.openxmlformats.org/officeDocument/2006/relationships/hyperlink" Target="http://link.aps.org/doi/10.1103/pg2p-h529" TargetMode="External"/><Relationship Id="rId1220" Type="http://schemas.openxmlformats.org/officeDocument/2006/relationships/hyperlink" Target="https://doi.org/10.1103/pg2p-h529" TargetMode="External"/><Relationship Id="rId1221" Type="http://schemas.openxmlformats.org/officeDocument/2006/relationships/hyperlink" Target="http://link.aps.org/doi/10.1103/js43-kq48" TargetMode="External"/><Relationship Id="rId1222" Type="http://schemas.openxmlformats.org/officeDocument/2006/relationships/hyperlink" Target="https://doi.org/10.1103/js43-kq48" TargetMode="External"/><Relationship Id="rId1223" Type="http://schemas.openxmlformats.org/officeDocument/2006/relationships/hyperlink" Target="http://link.aps.org/doi/10.1103/hj9h-3tjc" TargetMode="External"/><Relationship Id="rId1224" Type="http://schemas.openxmlformats.org/officeDocument/2006/relationships/hyperlink" Target="https://doi.org/10.1103/hj9h-3tjc" TargetMode="External"/><Relationship Id="rId1225" Type="http://schemas.openxmlformats.org/officeDocument/2006/relationships/hyperlink" Target="http://link.aps.org/doi/10.1103/9pdm-1d27" TargetMode="External"/><Relationship Id="rId1226" Type="http://schemas.openxmlformats.org/officeDocument/2006/relationships/hyperlink" Target="https://doi.org/10.1103/9pdm-1d27" TargetMode="External"/><Relationship Id="rId1227" Type="http://schemas.openxmlformats.org/officeDocument/2006/relationships/hyperlink" Target="http://link.aps.org/doi/10.1103/z3mp-5gml" TargetMode="External"/><Relationship Id="rId1228" Type="http://schemas.openxmlformats.org/officeDocument/2006/relationships/hyperlink" Target="https://doi.org/10.1103/z3mp-5gml" TargetMode="External"/><Relationship Id="rId1229" Type="http://schemas.openxmlformats.org/officeDocument/2006/relationships/hyperlink" Target="http://link.aps.org/doi/10.1103/tr8y-kcyq" TargetMode="External"/><Relationship Id="rId1230" Type="http://schemas.openxmlformats.org/officeDocument/2006/relationships/hyperlink" Target="https://doi.org/10.1103/tr8y-kcyq" TargetMode="External"/><Relationship Id="rId1231" Type="http://schemas.openxmlformats.org/officeDocument/2006/relationships/hyperlink" Target="http://link.aps.org/doi/10.1103/rbph-64rs" TargetMode="External"/><Relationship Id="rId1232" Type="http://schemas.openxmlformats.org/officeDocument/2006/relationships/hyperlink" Target="https://doi.org/10.1103/rbph-64rs" TargetMode="External"/><Relationship Id="rId1233" Type="http://schemas.openxmlformats.org/officeDocument/2006/relationships/hyperlink" Target="http://link.aps.org/doi/10.1103/jlfb-m2qd" TargetMode="External"/><Relationship Id="rId1234" Type="http://schemas.openxmlformats.org/officeDocument/2006/relationships/hyperlink" Target="https://doi.org/10.1103/jlfb-m2qd" TargetMode="External"/><Relationship Id="rId1235" Type="http://schemas.openxmlformats.org/officeDocument/2006/relationships/hyperlink" Target="http://link.aps.org/doi/10.1103/7zd8-yygd" TargetMode="External"/><Relationship Id="rId1236" Type="http://schemas.openxmlformats.org/officeDocument/2006/relationships/hyperlink" Target="https://doi.org/10.1103/7zd8-yygd" TargetMode="External"/><Relationship Id="rId1237" Type="http://schemas.openxmlformats.org/officeDocument/2006/relationships/hyperlink" Target="http://link.aps.org/doi/10.1103/qzmf-1g4j" TargetMode="External"/><Relationship Id="rId1238" Type="http://schemas.openxmlformats.org/officeDocument/2006/relationships/hyperlink" Target="https://doi.org/10.1103/qzmf-1g4j" TargetMode="External"/><Relationship Id="rId1239" Type="http://schemas.openxmlformats.org/officeDocument/2006/relationships/hyperlink" Target="http://link.aps.org/doi/10.1103/jsq7-hxsj" TargetMode="External"/><Relationship Id="rId1240" Type="http://schemas.openxmlformats.org/officeDocument/2006/relationships/hyperlink" Target="https://doi.org/10.1103/jsq7-hxsj" TargetMode="External"/><Relationship Id="rId1241" Type="http://schemas.openxmlformats.org/officeDocument/2006/relationships/hyperlink" Target="http://link.aps.org/doi/10.1103/j35s-xv5k" TargetMode="External"/><Relationship Id="rId1242" Type="http://schemas.openxmlformats.org/officeDocument/2006/relationships/hyperlink" Target="https://doi.org/10.1103/j35s-xv5k" TargetMode="External"/><Relationship Id="rId1243" Type="http://schemas.openxmlformats.org/officeDocument/2006/relationships/hyperlink" Target="http://link.aps.org/doi/10.1103/y9z2-52rl" TargetMode="External"/><Relationship Id="rId1244" Type="http://schemas.openxmlformats.org/officeDocument/2006/relationships/hyperlink" Target="https://doi.org/10.1103/y9z2-52rl" TargetMode="External"/><Relationship Id="rId1245" Type="http://schemas.openxmlformats.org/officeDocument/2006/relationships/hyperlink" Target="http://link.aps.org/doi/10.1103/hxzf-nmpx" TargetMode="External"/><Relationship Id="rId1246" Type="http://schemas.openxmlformats.org/officeDocument/2006/relationships/hyperlink" Target="https://doi.org/10.1103/hxzf-nmpx" TargetMode="External"/><Relationship Id="rId1247" Type="http://schemas.openxmlformats.org/officeDocument/2006/relationships/hyperlink" Target="http://link.aps.org/doi/10.1103/rlk2-psxm" TargetMode="External"/><Relationship Id="rId1248" Type="http://schemas.openxmlformats.org/officeDocument/2006/relationships/hyperlink" Target="https://doi.org/10.1103/rlk2-psxm" TargetMode="External"/><Relationship Id="rId1249" Type="http://schemas.openxmlformats.org/officeDocument/2006/relationships/hyperlink" Target="https://advanced.onlinelibrary.wiley.com/doi/10.1002/adma.74363?af=R" TargetMode="External"/><Relationship Id="rId1250" Type="http://schemas.openxmlformats.org/officeDocument/2006/relationships/hyperlink" Target="https://doi.org/10.1002/adma.74363" TargetMode="External"/><Relationship Id="rId1251" Type="http://schemas.openxmlformats.org/officeDocument/2006/relationships/hyperlink" Target="https://advanced.onlinelibrary.wiley.com/doi/10.1002/adma.74310?af=R" TargetMode="External"/><Relationship Id="rId1252" Type="http://schemas.openxmlformats.org/officeDocument/2006/relationships/hyperlink" Target="https://doi.org/10.1002/adma.74310" TargetMode="External"/><Relationship Id="rId1253" Type="http://schemas.openxmlformats.org/officeDocument/2006/relationships/hyperlink" Target="https://advanced.onlinelibrary.wiley.com/doi/10.1002/adma.74235?af=R" TargetMode="External"/><Relationship Id="rId1254" Type="http://schemas.openxmlformats.org/officeDocument/2006/relationships/hyperlink" Target="https://doi.org/10.1002/adma.74235" TargetMode="External"/><Relationship Id="rId1255" Type="http://schemas.openxmlformats.org/officeDocument/2006/relationships/hyperlink" Target="https://advanced.onlinelibrary.wiley.com/doi/10.1002/adma.74233?af=R" TargetMode="External"/><Relationship Id="rId1256" Type="http://schemas.openxmlformats.org/officeDocument/2006/relationships/hyperlink" Target="https://doi.org/10.1002/adma.74233" TargetMode="External"/><Relationship Id="rId1257" Type="http://schemas.openxmlformats.org/officeDocument/2006/relationships/hyperlink" Target="https://advanced.onlinelibrary.wiley.com/doi/10.1002/adma.74232?af=R" TargetMode="External"/><Relationship Id="rId1258" Type="http://schemas.openxmlformats.org/officeDocument/2006/relationships/hyperlink" Target="https://doi.org/10.1002/adma.74232" TargetMode="External"/><Relationship Id="rId1259" Type="http://schemas.openxmlformats.org/officeDocument/2006/relationships/hyperlink" Target="https://advanced.onlinelibrary.wiley.com/doi/10.1002/adma.74319?af=R" TargetMode="External"/><Relationship Id="rId1260" Type="http://schemas.openxmlformats.org/officeDocument/2006/relationships/hyperlink" Target="https://doi.org/10.1002/adma.74319" TargetMode="External"/><Relationship Id="rId1261" Type="http://schemas.openxmlformats.org/officeDocument/2006/relationships/hyperlink" Target="https://advanced.onlinelibrary.wiley.com/doi/10.1002/adma.74386?af=R" TargetMode="External"/><Relationship Id="rId1262" Type="http://schemas.openxmlformats.org/officeDocument/2006/relationships/hyperlink" Target="https://doi.org/10.1002/adma.74386" TargetMode="External"/><Relationship Id="rId1263" Type="http://schemas.openxmlformats.org/officeDocument/2006/relationships/hyperlink" Target="https://advanced.onlinelibrary.wiley.com/doi/10.1002/adma.74370?af=R" TargetMode="External"/><Relationship Id="rId1264" Type="http://schemas.openxmlformats.org/officeDocument/2006/relationships/hyperlink" Target="https://doi.org/10.1002/adma.74370" TargetMode="External"/><Relationship Id="rId1265" Type="http://schemas.openxmlformats.org/officeDocument/2006/relationships/hyperlink" Target="https://advanced.onlinelibrary.wiley.com/doi/10.1002/adma.202521853?af=R" TargetMode="External"/><Relationship Id="rId1266" Type="http://schemas.openxmlformats.org/officeDocument/2006/relationships/hyperlink" Target="https://doi.org/10.1002/adma.202521853" TargetMode="External"/><Relationship Id="rId1267" Type="http://schemas.openxmlformats.org/officeDocument/2006/relationships/hyperlink" Target="https://advanced.onlinelibrary.wiley.com/doi/10.1002/adma.74364?af=R" TargetMode="External"/><Relationship Id="rId1268" Type="http://schemas.openxmlformats.org/officeDocument/2006/relationships/hyperlink" Target="https://doi.org/10.1002/adma.74364" TargetMode="External"/><Relationship Id="rId1269" Type="http://schemas.openxmlformats.org/officeDocument/2006/relationships/hyperlink" Target="https://advanced.onlinelibrary.wiley.com/doi/10.1002/adma.74367?af=R" TargetMode="External"/><Relationship Id="rId1270" Type="http://schemas.openxmlformats.org/officeDocument/2006/relationships/hyperlink" Target="https://doi.org/10.1002/adma.74367" TargetMode="External"/><Relationship Id="rId1271" Type="http://schemas.openxmlformats.org/officeDocument/2006/relationships/hyperlink" Target="https://advanced.onlinelibrary.wiley.com/doi/10.1002/adma.74294?af=R" TargetMode="External"/><Relationship Id="rId1272" Type="http://schemas.openxmlformats.org/officeDocument/2006/relationships/hyperlink" Target="https://doi.org/10.1002/adma.74294" TargetMode="External"/><Relationship Id="rId1273" Type="http://schemas.openxmlformats.org/officeDocument/2006/relationships/hyperlink" Target="https://advanced.onlinelibrary.wiley.com/doi/10.1002/adma.74272?af=R" TargetMode="External"/><Relationship Id="rId1274" Type="http://schemas.openxmlformats.org/officeDocument/2006/relationships/hyperlink" Target="https://doi.org/10.1002/adma.74272" TargetMode="External"/><Relationship Id="rId1275" Type="http://schemas.openxmlformats.org/officeDocument/2006/relationships/hyperlink" Target="https://advanced.onlinelibrary.wiley.com/doi/10.1002/adma.74326?af=R" TargetMode="External"/><Relationship Id="rId1276" Type="http://schemas.openxmlformats.org/officeDocument/2006/relationships/hyperlink" Target="https://doi.org/10.1002/adma.74326" TargetMode="External"/><Relationship Id="rId1277" Type="http://schemas.openxmlformats.org/officeDocument/2006/relationships/hyperlink" Target="https://advanced.onlinelibrary.wiley.com/doi/10.1002/adma.74064?af=R" TargetMode="External"/><Relationship Id="rId1278" Type="http://schemas.openxmlformats.org/officeDocument/2006/relationships/hyperlink" Target="https://doi.org/10.1002/adma.74064" TargetMode="External"/><Relationship Id="rId1279" Type="http://schemas.openxmlformats.org/officeDocument/2006/relationships/hyperlink" Target="https://advanced.onlinelibrary.wiley.com/doi/10.1002/adma.74258?af=R" TargetMode="External"/><Relationship Id="rId1280" Type="http://schemas.openxmlformats.org/officeDocument/2006/relationships/hyperlink" Target="https://doi.org/10.1002/adma.74258" TargetMode="External"/><Relationship Id="rId1281" Type="http://schemas.openxmlformats.org/officeDocument/2006/relationships/hyperlink" Target="https://advanced.onlinelibrary.wiley.com/doi/10.1002/adma.74346?af=R" TargetMode="External"/><Relationship Id="rId1282" Type="http://schemas.openxmlformats.org/officeDocument/2006/relationships/hyperlink" Target="https://doi.org/10.1002/adma.74346" TargetMode="External"/><Relationship Id="rId1283" Type="http://schemas.openxmlformats.org/officeDocument/2006/relationships/hyperlink" Target="https://advanced.onlinelibrary.wiley.com/doi/10.1002/adma.74252?af=R" TargetMode="External"/><Relationship Id="rId1284" Type="http://schemas.openxmlformats.org/officeDocument/2006/relationships/hyperlink" Target="https://doi.org/10.1002/adma.74252" TargetMode="External"/><Relationship Id="rId1285" Type="http://schemas.openxmlformats.org/officeDocument/2006/relationships/hyperlink" Target="https://advanced.onlinelibrary.wiley.com/doi/10.1002/adma.74303?af=R" TargetMode="External"/><Relationship Id="rId1286" Type="http://schemas.openxmlformats.org/officeDocument/2006/relationships/hyperlink" Target="https://doi.org/10.1002/adma.74303" TargetMode="External"/><Relationship Id="rId1287" Type="http://schemas.openxmlformats.org/officeDocument/2006/relationships/hyperlink" Target="https://onlinelibrary.wiley.com/doi/10.1002/anie.4522602?af=R" TargetMode="External"/><Relationship Id="rId1288" Type="http://schemas.openxmlformats.org/officeDocument/2006/relationships/hyperlink" Target="https://doi.org/10.1002/anie.4522602" TargetMode="External"/><Relationship Id="rId1289" Type="http://schemas.openxmlformats.org/officeDocument/2006/relationships/hyperlink" Target="https://onlinelibrary.wiley.com/doi/10.1002/anie.3186961?af=R" TargetMode="External"/><Relationship Id="rId1290" Type="http://schemas.openxmlformats.org/officeDocument/2006/relationships/hyperlink" Target="https://doi.org/10.1002/anie.3186961" TargetMode="External"/><Relationship Id="rId1291" Type="http://schemas.openxmlformats.org/officeDocument/2006/relationships/hyperlink" Target="https://onlinelibrary.wiley.com/doi/10.1002/anie.1973691?af=R" TargetMode="External"/><Relationship Id="rId1292" Type="http://schemas.openxmlformats.org/officeDocument/2006/relationships/hyperlink" Target="https://doi.org/10.1002/anie.1973691" TargetMode="External"/><Relationship Id="rId1293" Type="http://schemas.openxmlformats.org/officeDocument/2006/relationships/hyperlink" Target="https://onlinelibrary.wiley.com/doi/10.1002/anie.2724882?af=R" TargetMode="External"/><Relationship Id="rId1294" Type="http://schemas.openxmlformats.org/officeDocument/2006/relationships/hyperlink" Target="https://doi.org/10.1002/anie.2724882" TargetMode="External"/><Relationship Id="rId1295" Type="http://schemas.openxmlformats.org/officeDocument/2006/relationships/hyperlink" Target="https://onlinelibrary.wiley.com/doi/10.1002/anie.2017853?af=R" TargetMode="External"/><Relationship Id="rId1296" Type="http://schemas.openxmlformats.org/officeDocument/2006/relationships/hyperlink" Target="https://doi.org/10.1002/anie.2017853" TargetMode="External"/><Relationship Id="rId1297" Type="http://schemas.openxmlformats.org/officeDocument/2006/relationships/hyperlink" Target="https://www.nature.com/articles/s41467-026-76055-9" TargetMode="External"/><Relationship Id="rId1298" Type="http://schemas.openxmlformats.org/officeDocument/2006/relationships/hyperlink" Target="https://www.nature.com/articles/s41467-026-76130-1" TargetMode="External"/><Relationship Id="rId1299" Type="http://schemas.openxmlformats.org/officeDocument/2006/relationships/hyperlink" Target="https://www.nature.com/articles/s41563-026-02708-1" TargetMode="External"/><Relationship Id="rId1300" Type="http://schemas.openxmlformats.org/officeDocument/2006/relationships/hyperlink" Target="https://doi.org/10.1038/s41563-026-02708-1" TargetMode="External"/><Relationship Id="rId1301" Type="http://schemas.openxmlformats.org/officeDocument/2006/relationships/hyperlink" Target="https://www.nature.com/articles/s41563-026-02663-x" TargetMode="External"/><Relationship Id="rId1302" Type="http://schemas.openxmlformats.org/officeDocument/2006/relationships/hyperlink" Target="https://doi.org/10.1038/s41563-026-02663-x" TargetMode="External"/><Relationship Id="rId1303" Type="http://schemas.openxmlformats.org/officeDocument/2006/relationships/hyperlink" Target="https://www.nature.com/articles/s41586-026-10841-9" TargetMode="External"/><Relationship Id="rId1304" Type="http://schemas.openxmlformats.org/officeDocument/2006/relationships/hyperlink" Target="https://doi.org/10.1038/s41586-026-10841-9" TargetMode="External"/><Relationship Id="rId1305" Type="http://schemas.openxmlformats.org/officeDocument/2006/relationships/hyperlink" Target="https://www.nature.com/articles/s41586-026-10849-1" TargetMode="External"/><Relationship Id="rId1306" Type="http://schemas.openxmlformats.org/officeDocument/2006/relationships/hyperlink" Target="https://doi.org/10.1038/s41586-026-10849-1" TargetMode="External"/><Relationship Id="rId1307" Type="http://schemas.openxmlformats.org/officeDocument/2006/relationships/hyperlink" Target="https://www.nature.com/articles/d41586-026-02325-7" TargetMode="External"/><Relationship Id="rId1308" Type="http://schemas.openxmlformats.org/officeDocument/2006/relationships/hyperlink" Target="https://doi.org/10.1038/d41586-026-02325-7" TargetMode="External"/><Relationship Id="rId1309" Type="http://schemas.openxmlformats.org/officeDocument/2006/relationships/hyperlink" Target="https://www.nature.com/articles/d41586-026-02181-5" TargetMode="External"/><Relationship Id="rId1310" Type="http://schemas.openxmlformats.org/officeDocument/2006/relationships/hyperlink" Target="https://doi.org/10.1038/d41586-026-02181-5" TargetMode="External"/><Relationship Id="rId1311" Type="http://schemas.openxmlformats.org/officeDocument/2006/relationships/hyperlink" Target="https://www.nature.com/articles/s41586-026-10754-7" TargetMode="External"/><Relationship Id="rId1312" Type="http://schemas.openxmlformats.org/officeDocument/2006/relationships/hyperlink" Target="https://doi.org/10.1038/s41586-026-10754-7" TargetMode="External"/><Relationship Id="rId1313" Type="http://schemas.openxmlformats.org/officeDocument/2006/relationships/hyperlink" Target="https://www.nature.com/articles/s41586-026-10814-y" TargetMode="External"/><Relationship Id="rId1314" Type="http://schemas.openxmlformats.org/officeDocument/2006/relationships/hyperlink" Target="https://doi.org/10.1038/s41586-026-10814-y" TargetMode="External"/><Relationship Id="rId1315" Type="http://schemas.openxmlformats.org/officeDocument/2006/relationships/hyperlink" Target="https://www.nature.com/articles/d41586-026-02254-5" TargetMode="External"/><Relationship Id="rId1316" Type="http://schemas.openxmlformats.org/officeDocument/2006/relationships/hyperlink" Target="https://doi.org/10.1038/d41586-026-02254-5" TargetMode="External"/><Relationship Id="rId1317" Type="http://schemas.openxmlformats.org/officeDocument/2006/relationships/hyperlink" Target="https://www.nature.com/articles/d41586-026-02308-8" TargetMode="External"/><Relationship Id="rId1318" Type="http://schemas.openxmlformats.org/officeDocument/2006/relationships/hyperlink" Target="https://doi.org/10.1038/d41586-026-02308-8" TargetMode="External"/><Relationship Id="rId1319" Type="http://schemas.openxmlformats.org/officeDocument/2006/relationships/hyperlink" Target="https://www.nature.com/articles/d41586-026-02183-3" TargetMode="External"/><Relationship Id="rId1320" Type="http://schemas.openxmlformats.org/officeDocument/2006/relationships/hyperlink" Target="https://doi.org/10.1038/d41586-026-02183-3" TargetMode="External"/><Relationship Id="rId1321" Type="http://schemas.openxmlformats.org/officeDocument/2006/relationships/hyperlink" Target="https://www.nature.com/articles/d41586-026-02282-1" TargetMode="External"/><Relationship Id="rId1322" Type="http://schemas.openxmlformats.org/officeDocument/2006/relationships/hyperlink" Target="https://doi.org/10.1038/d41586-026-02282-1" TargetMode="External"/><Relationship Id="rId1323" Type="http://schemas.openxmlformats.org/officeDocument/2006/relationships/hyperlink" Target="https://www.nature.com/articles/d41586-026-02310-0" TargetMode="External"/><Relationship Id="rId1324" Type="http://schemas.openxmlformats.org/officeDocument/2006/relationships/hyperlink" Target="https://doi.org/10.1038/d41586-026-02310-0" TargetMode="External"/><Relationship Id="rId1325" Type="http://schemas.openxmlformats.org/officeDocument/2006/relationships/hyperlink" Target="https://www.nature.com/articles/d41586-026-02124-0" TargetMode="External"/><Relationship Id="rId1326" Type="http://schemas.openxmlformats.org/officeDocument/2006/relationships/hyperlink" Target="https://doi.org/10.1038/d41586-026-02124-0" TargetMode="External"/><Relationship Id="rId1327" Type="http://schemas.openxmlformats.org/officeDocument/2006/relationships/hyperlink" Target="https://www.nature.com/articles/s41467-026-76241-9" TargetMode="External"/><Relationship Id="rId1328" Type="http://schemas.openxmlformats.org/officeDocument/2006/relationships/hyperlink" Target="https://www.nature.com/articles/d41586-026-02335-5" TargetMode="External"/><Relationship Id="rId1329" Type="http://schemas.openxmlformats.org/officeDocument/2006/relationships/hyperlink" Target="https://doi.org/10.1038/d41586-026-02335-5" TargetMode="External"/><Relationship Id="rId1330" Type="http://schemas.openxmlformats.org/officeDocument/2006/relationships/hyperlink" Target="https://www.nature.com/articles/d41586-026-02341-7" TargetMode="External"/><Relationship Id="rId1331" Type="http://schemas.openxmlformats.org/officeDocument/2006/relationships/hyperlink" Target="https://doi.org/10.1038/d41586-026-02341-7" TargetMode="External"/><Relationship Id="rId1332" Type="http://schemas.openxmlformats.org/officeDocument/2006/relationships/hyperlink" Target="https://www.nature.com/articles/s41467-026-76211-1" TargetMode="External"/><Relationship Id="rId1333" Type="http://schemas.openxmlformats.org/officeDocument/2006/relationships/hyperlink" Target="https://www.nature.com/articles/s41467-026-76042-0" TargetMode="External"/><Relationship Id="rId1334" Type="http://schemas.openxmlformats.org/officeDocument/2006/relationships/hyperlink" Target="https://www.nature.com/articles/s41563-026-02681-9" TargetMode="External"/><Relationship Id="rId1335" Type="http://schemas.openxmlformats.org/officeDocument/2006/relationships/hyperlink" Target="https://doi.org/10.1038/s41563-026-02681-9" TargetMode="External"/><Relationship Id="rId1336" Type="http://schemas.openxmlformats.org/officeDocument/2006/relationships/hyperlink" Target="https://www.nature.com/articles/s41467-026-75974-x" TargetMode="External"/><Relationship Id="rId1337" Type="http://schemas.openxmlformats.org/officeDocument/2006/relationships/hyperlink" Target="https://www.nature.com/articles/s41467-026-76054-w" TargetMode="External"/><Relationship Id="rId1338" Type="http://schemas.openxmlformats.org/officeDocument/2006/relationships/hyperlink" Target="https://www.nature.com/articles/s41467-026-75593-6" TargetMode="External"/><Relationship Id="rId1339" Type="http://schemas.openxmlformats.org/officeDocument/2006/relationships/hyperlink" Target="https://www.nature.com/articles/s41467-026-76240-w" TargetMode="External"/><Relationship Id="rId1340" Type="http://schemas.openxmlformats.org/officeDocument/2006/relationships/hyperlink" Target="https://www.nature.com/articles/s41467-026-76152-9" TargetMode="External"/><Relationship Id="rId1341" Type="http://schemas.openxmlformats.org/officeDocument/2006/relationships/hyperlink" Target="https://www.nature.com/articles/s41467-026-76169-0" TargetMode="External"/><Relationship Id="rId1342" Type="http://schemas.openxmlformats.org/officeDocument/2006/relationships/hyperlink" Target="https://www.nature.com/articles/s41467-026-75938-1" TargetMode="External"/><Relationship Id="rId1343" Type="http://schemas.openxmlformats.org/officeDocument/2006/relationships/hyperlink" Target="https://www.nature.com/articles/s41563-026-02688-2" TargetMode="External"/><Relationship Id="rId1344" Type="http://schemas.openxmlformats.org/officeDocument/2006/relationships/hyperlink" Target="https://doi.org/10.1038/s41563-026-02688-2" TargetMode="External"/><Relationship Id="rId1345" Type="http://schemas.openxmlformats.org/officeDocument/2006/relationships/hyperlink" Target="https://www.nature.com/articles/s41467-026-76140-z" TargetMode="External"/><Relationship Id="rId1346" Type="http://schemas.openxmlformats.org/officeDocument/2006/relationships/hyperlink" Target="https://www.nature.com/articles/s41467-026-75997-4" TargetMode="External"/><Relationship Id="rId1347" Type="http://schemas.openxmlformats.org/officeDocument/2006/relationships/hyperlink" Target="https://www.nature.com/articles/s41467-026-76030-4" TargetMode="External"/><Relationship Id="rId1348" Type="http://schemas.openxmlformats.org/officeDocument/2006/relationships/hyperlink" Target="https://www.nature.com/articles/s41586-026-10842-8" TargetMode="External"/><Relationship Id="rId1349" Type="http://schemas.openxmlformats.org/officeDocument/2006/relationships/hyperlink" Target="https://doi.org/10.1038/s41586-026-10842-8" TargetMode="External"/><Relationship Id="rId1350" Type="http://schemas.openxmlformats.org/officeDocument/2006/relationships/hyperlink" Target="https://www.nature.com/articles/s41467-026-75828-6" TargetMode="External"/><Relationship Id="rId1351" Type="http://schemas.openxmlformats.org/officeDocument/2006/relationships/hyperlink" Target="https://www.nature.com/articles/s41467-026-75783-2" TargetMode="External"/><Relationship Id="rId1352" Type="http://schemas.openxmlformats.org/officeDocument/2006/relationships/hyperlink" Target="https://www.nature.com/articles/s41467-026-75648-8" TargetMode="External"/><Relationship Id="rId1353" Type="http://schemas.openxmlformats.org/officeDocument/2006/relationships/hyperlink" Target="https://www.nature.com/articles/s41467-026-76174-3" TargetMode="External"/><Relationship Id="rId1354" Type="http://schemas.openxmlformats.org/officeDocument/2006/relationships/hyperlink" Target="https://www.nature.com/articles/s41586-026-10835-7" TargetMode="External"/><Relationship Id="rId1355" Type="http://schemas.openxmlformats.org/officeDocument/2006/relationships/hyperlink" Target="https://doi.org/10.1038/s41586-026-10835-7" TargetMode="External"/><Relationship Id="rId1356" Type="http://schemas.openxmlformats.org/officeDocument/2006/relationships/hyperlink" Target="https://www.nature.com/articles/s41586-026-10840-w" TargetMode="External"/><Relationship Id="rId1357" Type="http://schemas.openxmlformats.org/officeDocument/2006/relationships/hyperlink" Target="https://doi.org/10.1038/s41586-026-10840-w" TargetMode="External"/><Relationship Id="rId1358" Type="http://schemas.openxmlformats.org/officeDocument/2006/relationships/hyperlink" Target="https://www.nature.com/articles/s41586-026-10766-3" TargetMode="External"/><Relationship Id="rId1359" Type="http://schemas.openxmlformats.org/officeDocument/2006/relationships/hyperlink" Target="https://doi.org/10.1038/s41586-026-10766-3" TargetMode="External"/><Relationship Id="rId1360" Type="http://schemas.openxmlformats.org/officeDocument/2006/relationships/hyperlink" Target="https://www.nature.com/articles/d41586-026-02182-4" TargetMode="External"/><Relationship Id="rId1361" Type="http://schemas.openxmlformats.org/officeDocument/2006/relationships/hyperlink" Target="https://doi.org/10.1038/d41586-026-02182-4" TargetMode="External"/><Relationship Id="rId1362" Type="http://schemas.openxmlformats.org/officeDocument/2006/relationships/hyperlink" Target="https://www.nature.com/articles/s41586-026-10881-1" TargetMode="External"/><Relationship Id="rId1363" Type="http://schemas.openxmlformats.org/officeDocument/2006/relationships/hyperlink" Target="https://doi.org/10.1038/s41586-026-10881-1" TargetMode="External"/><Relationship Id="rId1364" Type="http://schemas.openxmlformats.org/officeDocument/2006/relationships/hyperlink" Target="https://www.nature.com/articles/d41586-026-02180-6" TargetMode="External"/><Relationship Id="rId1365" Type="http://schemas.openxmlformats.org/officeDocument/2006/relationships/hyperlink" Target="https://doi.org/10.1038/d41586-026-02180-6" TargetMode="External"/><Relationship Id="rId1366" Type="http://schemas.openxmlformats.org/officeDocument/2006/relationships/hyperlink" Target="https://www.nature.com/articles/d41586-026-02312-y" TargetMode="External"/><Relationship Id="rId1367" Type="http://schemas.openxmlformats.org/officeDocument/2006/relationships/hyperlink" Target="https://doi.org/10.1038/d41586-026-02312-y" TargetMode="External"/><Relationship Id="rId1368" Type="http://schemas.openxmlformats.org/officeDocument/2006/relationships/hyperlink" Target="https://www.nature.com/articles/d41586-026-02340-8" TargetMode="External"/><Relationship Id="rId1369" Type="http://schemas.openxmlformats.org/officeDocument/2006/relationships/hyperlink" Target="https://doi.org/10.1038/d41586-026-02340-8" TargetMode="External"/><Relationship Id="rId1370" Type="http://schemas.openxmlformats.org/officeDocument/2006/relationships/hyperlink" Target="https://www.nature.com/articles/d41586-026-02357-z" TargetMode="External"/><Relationship Id="rId1371" Type="http://schemas.openxmlformats.org/officeDocument/2006/relationships/hyperlink" Target="https://doi.org/10.1038/d41586-026-02357-z" TargetMode="External"/><Relationship Id="rId1372" Type="http://schemas.openxmlformats.org/officeDocument/2006/relationships/hyperlink" Target="https://www.nature.com/articles/d41586-026-02329-3" TargetMode="External"/><Relationship Id="rId1373" Type="http://schemas.openxmlformats.org/officeDocument/2006/relationships/hyperlink" Target="https://doi.org/10.1038/d41586-026-02329-3" TargetMode="External"/><Relationship Id="rId1374" Type="http://schemas.openxmlformats.org/officeDocument/2006/relationships/hyperlink" Target="https://www.nature.com/articles/d41586-026-02246-5" TargetMode="External"/><Relationship Id="rId1375" Type="http://schemas.openxmlformats.org/officeDocument/2006/relationships/hyperlink" Target="https://doi.org/10.1038/d41586-026-02246-5" TargetMode="External"/><Relationship Id="rId1376" Type="http://schemas.openxmlformats.org/officeDocument/2006/relationships/hyperlink" Target="https://www.nature.com/articles/d41586-026-02319-5" TargetMode="External"/><Relationship Id="rId1377" Type="http://schemas.openxmlformats.org/officeDocument/2006/relationships/hyperlink" Target="https://doi.org/10.1038/d41586-026-02319-5" TargetMode="External"/><Relationship Id="rId1378" Type="http://schemas.openxmlformats.org/officeDocument/2006/relationships/hyperlink" Target="https://www.nature.com/articles/d41586-026-02321-x" TargetMode="External"/><Relationship Id="rId1379" Type="http://schemas.openxmlformats.org/officeDocument/2006/relationships/hyperlink" Target="https://doi.org/10.1038/d41586-026-02321-x" TargetMode="External"/><Relationship Id="rId1380" Type="http://schemas.openxmlformats.org/officeDocument/2006/relationships/hyperlink" Target="https://www.nature.com/articles/s41586-026-10834-8" TargetMode="External"/><Relationship Id="rId1381" Type="http://schemas.openxmlformats.org/officeDocument/2006/relationships/hyperlink" Target="https://doi.org/10.1038/s41586-026-10834-8" TargetMode="External"/><Relationship Id="rId1382" Type="http://schemas.openxmlformats.org/officeDocument/2006/relationships/hyperlink" Target="https://www.sciencedirect.com/science/article/pii/S0301421526004556?dgcid=rss_sd_all" TargetMode="External"/><Relationship Id="rId1383" Type="http://schemas.openxmlformats.org/officeDocument/2006/relationships/hyperlink" Target="https://doi.org/10.1016/j.enpol.2026.115521" TargetMode="External"/><Relationship Id="rId1384" Type="http://schemas.openxmlformats.org/officeDocument/2006/relationships/hyperlink" Target="https://www.nature.com/articles/s41586-026-10791-2" TargetMode="External"/><Relationship Id="rId1385" Type="http://schemas.openxmlformats.org/officeDocument/2006/relationships/hyperlink" Target="https://doi.org/10.1038/s41586-026-10791-2" TargetMode="External"/><Relationship Id="rId1386" Type="http://schemas.openxmlformats.org/officeDocument/2006/relationships/hyperlink" Target="https://www.nature.com/articles/s41586-026-10852-6" TargetMode="External"/><Relationship Id="rId1387" Type="http://schemas.openxmlformats.org/officeDocument/2006/relationships/hyperlink" Target="https://doi.org/10.1038/s41586-026-10852-6" TargetMode="External"/><Relationship Id="rId1388" Type="http://schemas.openxmlformats.org/officeDocument/2006/relationships/hyperlink" Target="https://www.nature.com/articles/s41586-026-10850-8" TargetMode="External"/><Relationship Id="rId1389" Type="http://schemas.openxmlformats.org/officeDocument/2006/relationships/hyperlink" Target="https://doi.org/10.1038/s41586-026-10850-8" TargetMode="External"/><Relationship Id="rId1390" Type="http://schemas.openxmlformats.org/officeDocument/2006/relationships/hyperlink" Target="https://www.nature.com/articles/s41586-026-10825-9" TargetMode="External"/><Relationship Id="rId1391" Type="http://schemas.openxmlformats.org/officeDocument/2006/relationships/hyperlink" Target="https://doi.org/10.1038/s41586-026-10825-9" TargetMode="External"/><Relationship Id="rId1392" Type="http://schemas.openxmlformats.org/officeDocument/2006/relationships/hyperlink" Target="https://www.nature.com/articles/s41586-026-10845-5" TargetMode="External"/><Relationship Id="rId1393" Type="http://schemas.openxmlformats.org/officeDocument/2006/relationships/hyperlink" Target="https://doi.org/10.1038/s41586-026-10845-5" TargetMode="External"/><Relationship Id="rId1394" Type="http://schemas.openxmlformats.org/officeDocument/2006/relationships/hyperlink" Target="https://www.nature.com/articles/s41586-026-10856-2" TargetMode="External"/><Relationship Id="rId1395" Type="http://schemas.openxmlformats.org/officeDocument/2006/relationships/hyperlink" Target="https://doi.org/10.1038/s41586-026-10856-2" TargetMode="External"/><Relationship Id="rId1396" Type="http://schemas.openxmlformats.org/officeDocument/2006/relationships/hyperlink" Target="https://www.nature.com/articles/s41586-026-10861-5" TargetMode="External"/><Relationship Id="rId1397" Type="http://schemas.openxmlformats.org/officeDocument/2006/relationships/hyperlink" Target="https://doi.org/10.1038/s41586-026-10861-5" TargetMode="External"/><Relationship Id="rId1398" Type="http://schemas.openxmlformats.org/officeDocument/2006/relationships/hyperlink" Target="https://www.nature.com/articles/d41586-025-03966-w" TargetMode="External"/><Relationship Id="rId1399" Type="http://schemas.openxmlformats.org/officeDocument/2006/relationships/hyperlink" Target="https://doi.org/10.1038/d41586-025-03966-w" TargetMode="External"/><Relationship Id="rId1400" Type="http://schemas.openxmlformats.org/officeDocument/2006/relationships/hyperlink" Target="https://www.nature.com/articles/d41586-026-02128-w" TargetMode="External"/><Relationship Id="rId1401" Type="http://schemas.openxmlformats.org/officeDocument/2006/relationships/hyperlink" Target="https://doi.org/10.1038/d41586-026-02128-w" TargetMode="External"/><Relationship Id="rId1402" Type="http://schemas.openxmlformats.org/officeDocument/2006/relationships/hyperlink" Target="https://academic.oup.com/nsr/advance-article/doi/10.1093/nsr/nwag456/8746772?rss=1" TargetMode="External"/><Relationship Id="rId1403" Type="http://schemas.openxmlformats.org/officeDocument/2006/relationships/hyperlink" Target="https://doi.org/10.1093/nsr/nwag456" TargetMode="External"/><Relationship Id="rId1404" Type="http://schemas.openxmlformats.org/officeDocument/2006/relationships/hyperlink" Target="https://www.nature.com/articles/s41586-026-10868-y" TargetMode="External"/><Relationship Id="rId1405" Type="http://schemas.openxmlformats.org/officeDocument/2006/relationships/hyperlink" Target="https://doi.org/10.1038/s41586-026-10868-y" TargetMode="External"/><Relationship Id="rId1406" Type="http://schemas.openxmlformats.org/officeDocument/2006/relationships/hyperlink" Target="https://www.nature.com/articles/s41586-026-10942-5" TargetMode="External"/><Relationship Id="rId1407" Type="http://schemas.openxmlformats.org/officeDocument/2006/relationships/hyperlink" Target="https://doi.org/10.1038/s41586-026-10942-5" TargetMode="External"/><Relationship Id="rId1408" Type="http://schemas.openxmlformats.org/officeDocument/2006/relationships/hyperlink" Target="https://www.nature.com/articles/d41586-026-02179-z" TargetMode="External"/><Relationship Id="rId1409" Type="http://schemas.openxmlformats.org/officeDocument/2006/relationships/hyperlink" Target="https://doi.org/10.1038/d41586-026-02179-z" TargetMode="External"/><Relationship Id="rId1410" Type="http://schemas.openxmlformats.org/officeDocument/2006/relationships/hyperlink" Target="https://www.nature.com/articles/d41586-026-02359-x" TargetMode="External"/><Relationship Id="rId1411" Type="http://schemas.openxmlformats.org/officeDocument/2006/relationships/hyperlink" Target="https://doi.org/10.1038/d41586-026-02359-x" TargetMode="External"/><Relationship Id="rId1412" Type="http://schemas.openxmlformats.org/officeDocument/2006/relationships/hyperlink" Target="https://www.nature.com/articles/d41586-026-02367-x" TargetMode="External"/><Relationship Id="rId1413" Type="http://schemas.openxmlformats.org/officeDocument/2006/relationships/hyperlink" Target="https://doi.org/10.1038/d41586-026-02367-x" TargetMode="External"/><Relationship Id="rId1414" Type="http://schemas.openxmlformats.org/officeDocument/2006/relationships/hyperlink" Target="https://advanced.onlinelibrary.wiley.com/doi/10.1002/adma.74339?af=R" TargetMode="External"/><Relationship Id="rId1415" Type="http://schemas.openxmlformats.org/officeDocument/2006/relationships/hyperlink" Target="https://doi.org/10.1002/adma.74339" TargetMode="External"/><Relationship Id="rId1416" Type="http://schemas.openxmlformats.org/officeDocument/2006/relationships/hyperlink" Target="https://advanced.onlinelibrary.wiley.com/doi/10.1002/adma.74340?af=R" TargetMode="External"/><Relationship Id="rId1417" Type="http://schemas.openxmlformats.org/officeDocument/2006/relationships/hyperlink" Target="https://doi.org/10.1002/adma.74340" TargetMode="External"/><Relationship Id="rId1418" Type="http://schemas.openxmlformats.org/officeDocument/2006/relationships/hyperlink" Target="https://www.science.org/doi/abs/10.1126/sciadv.adz6502?af=R" TargetMode="External"/><Relationship Id="rId1419" Type="http://schemas.openxmlformats.org/officeDocument/2006/relationships/hyperlink" Target="https://doi.org/10.1126/sciadv.adz6502" TargetMode="External"/><Relationship Id="rId1420" Type="http://schemas.openxmlformats.org/officeDocument/2006/relationships/hyperlink" Target="https://www.pnas.org/doi/abs/10.1073/pnas.2613187123?mi=eymic2&amp;af=R&amp;access=on&amp;content=articlesChapters&amp;publication=pnas&amp;sortBy=Earliest&amp;target=default" TargetMode="External"/><Relationship Id="rId1421" Type="http://schemas.openxmlformats.org/officeDocument/2006/relationships/hyperlink" Target="https://doi.org/10.1073/pnas.2613187123" TargetMode="External"/><Relationship Id="rId1422" Type="http://schemas.openxmlformats.org/officeDocument/2006/relationships/hyperlink" Target="https://www.pnas.org/doi/abs/10.1073/pnas.2625005123?mi=eymic2&amp;af=R&amp;access=on&amp;content=articlesChapters&amp;publication=pnas&amp;sortBy=Earliest&amp;target=default" TargetMode="External"/><Relationship Id="rId1423" Type="http://schemas.openxmlformats.org/officeDocument/2006/relationships/hyperlink" Target="https://doi.org/10.1073/pnas.2625005123" TargetMode="External"/><Relationship Id="rId1424" Type="http://schemas.openxmlformats.org/officeDocument/2006/relationships/hyperlink" Target="https://www.science.org/doi/abs/10.1126/sciadv.aec7733?af=R" TargetMode="External"/><Relationship Id="rId1425" Type="http://schemas.openxmlformats.org/officeDocument/2006/relationships/hyperlink" Target="https://doi.org/10.1126/sciadv.aec7733" TargetMode="External"/><Relationship Id="rId1426" Type="http://schemas.openxmlformats.org/officeDocument/2006/relationships/hyperlink" Target="https://www.science.org/doi/abs/10.1126/sciadv.aec4247?af=R" TargetMode="External"/><Relationship Id="rId1427" Type="http://schemas.openxmlformats.org/officeDocument/2006/relationships/hyperlink" Target="https://doi.org/10.1126/sciadv.aec4247" TargetMode="External"/><Relationship Id="rId1428" Type="http://schemas.openxmlformats.org/officeDocument/2006/relationships/hyperlink" Target="https://www.science.org/doi/abs/10.1126/sciadv.aeb9805?af=R" TargetMode="External"/><Relationship Id="rId1429" Type="http://schemas.openxmlformats.org/officeDocument/2006/relationships/hyperlink" Target="https://doi.org/10.1126/sciadv.aeb9805" TargetMode="External"/><Relationship Id="rId1430" Type="http://schemas.openxmlformats.org/officeDocument/2006/relationships/hyperlink" Target="https://www.pnas.org/doi/abs/10.1073/pnas.2615368123?mi=eymic2&amp;af=R&amp;access=on&amp;content=articlesChapters&amp;publication=pnas&amp;sortBy=Earliest&amp;target=default" TargetMode="External"/><Relationship Id="rId1431" Type="http://schemas.openxmlformats.org/officeDocument/2006/relationships/hyperlink" Target="https://doi.org/10.1073/pnas.2615368123" TargetMode="External"/><Relationship Id="rId1432" Type="http://schemas.openxmlformats.org/officeDocument/2006/relationships/hyperlink" Target="https://www.pnas.org/doi/abs/10.1073/pnas.2624049123?mi=eymic2&amp;af=R&amp;access=on&amp;content=articlesChapters&amp;publication=pnas&amp;sortBy=Earliest&amp;target=default" TargetMode="External"/><Relationship Id="rId1433" Type="http://schemas.openxmlformats.org/officeDocument/2006/relationships/hyperlink" Target="https://doi.org/10.1073/pnas.2624049123" TargetMode="External"/><Relationship Id="rId1434" Type="http://schemas.openxmlformats.org/officeDocument/2006/relationships/hyperlink" Target="https://www.science.org/doi/abs/10.1126/sciadv.aeb2089?af=R" TargetMode="External"/><Relationship Id="rId1435" Type="http://schemas.openxmlformats.org/officeDocument/2006/relationships/hyperlink" Target="https://doi.org/10.1126/sciadv.aeb2089" TargetMode="External"/><Relationship Id="rId1436" Type="http://schemas.openxmlformats.org/officeDocument/2006/relationships/hyperlink" Target="https://www.science.org/doi/abs/10.1126/sciadv.aeb1437?af=R" TargetMode="External"/><Relationship Id="rId1437" Type="http://schemas.openxmlformats.org/officeDocument/2006/relationships/hyperlink" Target="https://doi.org/10.1126/sciadv.aeb1437" TargetMode="External"/><Relationship Id="rId1438" Type="http://schemas.openxmlformats.org/officeDocument/2006/relationships/hyperlink" Target="https://www.science.org/doi/abs/10.1126/sciadv.adx9866?af=R" TargetMode="External"/><Relationship Id="rId1439" Type="http://schemas.openxmlformats.org/officeDocument/2006/relationships/hyperlink" Target="https://doi.org/10.1126/sciadv.adx9866" TargetMode="External"/><Relationship Id="rId1440" Type="http://schemas.openxmlformats.org/officeDocument/2006/relationships/hyperlink" Target="https://www.science.org/doi/abs/10.1126/sciadv.aee1129?af=R" TargetMode="External"/><Relationship Id="rId1441" Type="http://schemas.openxmlformats.org/officeDocument/2006/relationships/hyperlink" Target="https://doi.org/10.1126/sciadv.aee1129" TargetMode="External"/><Relationship Id="rId1442" Type="http://schemas.openxmlformats.org/officeDocument/2006/relationships/hyperlink" Target="https://www.science.org/doi/abs/10.1126/sciadv.aeb3326?af=R" TargetMode="External"/><Relationship Id="rId1443" Type="http://schemas.openxmlformats.org/officeDocument/2006/relationships/hyperlink" Target="https://doi.org/10.1126/sciadv.aeb3326" TargetMode="External"/><Relationship Id="rId1444" Type="http://schemas.openxmlformats.org/officeDocument/2006/relationships/hyperlink" Target="https://www.science.org/doi/abs/10.1126/sciadv.aeb7528?af=R" TargetMode="External"/><Relationship Id="rId1445" Type="http://schemas.openxmlformats.org/officeDocument/2006/relationships/hyperlink" Target="https://doi.org/10.1126/sciadv.aeb7528" TargetMode="External"/><Relationship Id="rId1446" Type="http://schemas.openxmlformats.org/officeDocument/2006/relationships/hyperlink" Target="https://www.pnas.org/doi/abs/10.1073/pnas.2524733123?mi=eymic2&amp;af=R&amp;access=on&amp;content=articlesChapters&amp;publication=pnas&amp;sortBy=Earliest&amp;target=default" TargetMode="External"/><Relationship Id="rId1447" Type="http://schemas.openxmlformats.org/officeDocument/2006/relationships/hyperlink" Target="https://doi.org/10.1073/pnas.2524733123" TargetMode="External"/><Relationship Id="rId1448" Type="http://schemas.openxmlformats.org/officeDocument/2006/relationships/hyperlink" Target="https://www.science.org/doi/abs/10.1126/sciadv.adw5268?af=R" TargetMode="External"/><Relationship Id="rId1449" Type="http://schemas.openxmlformats.org/officeDocument/2006/relationships/hyperlink" Target="https://doi.org/10.1126/sciadv.adw5268" TargetMode="External"/><Relationship Id="rId1450" Type="http://schemas.openxmlformats.org/officeDocument/2006/relationships/hyperlink" Target="https://www.pnas.org/doi/abs/10.1073/pnas.2611142123?mi=eymic2&amp;af=R&amp;access=on&amp;content=articlesChapters&amp;publication=pnas&amp;sortBy=Earliest&amp;target=default" TargetMode="External"/><Relationship Id="rId1451" Type="http://schemas.openxmlformats.org/officeDocument/2006/relationships/hyperlink" Target="https://doi.org/10.1073/pnas.2611142123" TargetMode="External"/><Relationship Id="rId1452" Type="http://schemas.openxmlformats.org/officeDocument/2006/relationships/hyperlink" Target="https://www.science.org/doi/abs/10.1126/sciadv.aef9530?af=R" TargetMode="External"/><Relationship Id="rId1453" Type="http://schemas.openxmlformats.org/officeDocument/2006/relationships/hyperlink" Target="https://doi.org/10.1126/sciadv.aef9530" TargetMode="External"/><Relationship Id="rId1454" Type="http://schemas.openxmlformats.org/officeDocument/2006/relationships/hyperlink" Target="https://www.science.org/doi/abs/10.1126/sciadv.aeg1124?af=R" TargetMode="External"/><Relationship Id="rId1455" Type="http://schemas.openxmlformats.org/officeDocument/2006/relationships/hyperlink" Target="https://doi.org/10.1126/sciadv.aeg1124" TargetMode="External"/><Relationship Id="rId1456" Type="http://schemas.openxmlformats.org/officeDocument/2006/relationships/hyperlink" Target="https://www.science.org/doi/abs/10.1126/sciadv.aeg3548?af=R" TargetMode="External"/><Relationship Id="rId1457" Type="http://schemas.openxmlformats.org/officeDocument/2006/relationships/hyperlink" Target="https://doi.org/10.1126/sciadv.aeg3548" TargetMode="External"/><Relationship Id="rId1458" Type="http://schemas.openxmlformats.org/officeDocument/2006/relationships/hyperlink" Target="https://www.science.org/doi/abs/10.1126/sciadv.aeg4524?af=R" TargetMode="External"/><Relationship Id="rId1459" Type="http://schemas.openxmlformats.org/officeDocument/2006/relationships/hyperlink" Target="https://doi.org/10.1126/sciadv.aeg4524" TargetMode="External"/><Relationship Id="rId1460" Type="http://schemas.openxmlformats.org/officeDocument/2006/relationships/hyperlink" Target="https://www.science.org/doi/abs/10.1126/sciadv.aea1114?af=R" TargetMode="External"/><Relationship Id="rId1461" Type="http://schemas.openxmlformats.org/officeDocument/2006/relationships/hyperlink" Target="https://doi.org/10.1126/sciadv.aea1114" TargetMode="External"/><Relationship Id="rId1462" Type="http://schemas.openxmlformats.org/officeDocument/2006/relationships/hyperlink" Target="https://www.science.org/doi/abs/10.1126/sciadv.aeh9771?af=R" TargetMode="External"/><Relationship Id="rId1463" Type="http://schemas.openxmlformats.org/officeDocument/2006/relationships/hyperlink" Target="https://doi.org/10.1126/sciadv.aeh9771" TargetMode="External"/><Relationship Id="rId1464" Type="http://schemas.openxmlformats.org/officeDocument/2006/relationships/hyperlink" Target="https://www.pnas.org/doi/abs/10.1073/pnas.2612168123?mi=eymic2&amp;af=R&amp;access=on&amp;content=articlesChapters&amp;publication=pnas&amp;sortBy=Earliest&amp;target=default" TargetMode="External"/><Relationship Id="rId1465" Type="http://schemas.openxmlformats.org/officeDocument/2006/relationships/hyperlink" Target="https://doi.org/10.1073/pnas.2612168123" TargetMode="External"/><Relationship Id="rId1466" Type="http://schemas.openxmlformats.org/officeDocument/2006/relationships/hyperlink" Target="https://www.science.org/doi/abs/10.1126/sciadv.adw8744?af=R" TargetMode="External"/><Relationship Id="rId1467" Type="http://schemas.openxmlformats.org/officeDocument/2006/relationships/hyperlink" Target="https://doi.org/10.1126/sciadv.adw8744" TargetMode="External"/><Relationship Id="rId1468" Type="http://schemas.openxmlformats.org/officeDocument/2006/relationships/hyperlink" Target="https://www.science.org/doi/abs/10.1126/sciadv.aec2917?af=R" TargetMode="External"/><Relationship Id="rId1469" Type="http://schemas.openxmlformats.org/officeDocument/2006/relationships/hyperlink" Target="https://doi.org/10.1126/sciadv.aec2917" TargetMode="External"/><Relationship Id="rId1470" Type="http://schemas.openxmlformats.org/officeDocument/2006/relationships/hyperlink" Target="https://www.science.org/doi/abs/10.1126/sciadv.aed8818?af=R" TargetMode="External"/><Relationship Id="rId1471" Type="http://schemas.openxmlformats.org/officeDocument/2006/relationships/hyperlink" Target="https://doi.org/10.1126/sciadv.aed8818" TargetMode="External"/><Relationship Id="rId1472" Type="http://schemas.openxmlformats.org/officeDocument/2006/relationships/hyperlink" Target="https://www.science.org/doi/abs/10.1126/sciadv.aed9226?af=R" TargetMode="External"/><Relationship Id="rId1473" Type="http://schemas.openxmlformats.org/officeDocument/2006/relationships/hyperlink" Target="https://doi.org/10.1126/sciadv.aed9226" TargetMode="External"/><Relationship Id="rId1474" Type="http://schemas.openxmlformats.org/officeDocument/2006/relationships/hyperlink" Target="https://www.science.org/doi/abs/10.1126/sciadv.aee8014?af=R" TargetMode="External"/><Relationship Id="rId1475" Type="http://schemas.openxmlformats.org/officeDocument/2006/relationships/hyperlink" Target="https://doi.org/10.1126/sciadv.aee8014" TargetMode="External"/><Relationship Id="rId1476" Type="http://schemas.openxmlformats.org/officeDocument/2006/relationships/hyperlink" Target="https://www.science.org/doi/abs/10.1126/sciadv.aeb6714?af=R" TargetMode="External"/><Relationship Id="rId1477" Type="http://schemas.openxmlformats.org/officeDocument/2006/relationships/hyperlink" Target="https://doi.org/10.1126/sciadv.aeb6714" TargetMode="External"/><Relationship Id="rId1478" Type="http://schemas.openxmlformats.org/officeDocument/2006/relationships/hyperlink" Target="https://www.science.org/doi/abs/10.1126/sciadv.aeg5464?af=R" TargetMode="External"/><Relationship Id="rId1479" Type="http://schemas.openxmlformats.org/officeDocument/2006/relationships/hyperlink" Target="https://doi.org/10.1126/sciadv.aeg5464" TargetMode="External"/><Relationship Id="rId1480" Type="http://schemas.openxmlformats.org/officeDocument/2006/relationships/hyperlink" Target="https://www.science.org/doi/abs/10.1126/sciadv.aec8123?af=R" TargetMode="External"/><Relationship Id="rId1481" Type="http://schemas.openxmlformats.org/officeDocument/2006/relationships/hyperlink" Target="https://doi.org/10.1126/sciadv.aec8123" TargetMode="External"/><Relationship Id="rId1482" Type="http://schemas.openxmlformats.org/officeDocument/2006/relationships/hyperlink" Target="https://www.science.org/doi/abs/10.1126/sciadv.aed2732?af=R" TargetMode="External"/><Relationship Id="rId1483" Type="http://schemas.openxmlformats.org/officeDocument/2006/relationships/hyperlink" Target="https://doi.org/10.1126/sciadv.aed2732" TargetMode="External"/><Relationship Id="rId1484" Type="http://schemas.openxmlformats.org/officeDocument/2006/relationships/hyperlink" Target="https://www.pnas.org/doi/abs/10.1073/pnas.2525494123?mi=eymic2&amp;af=R&amp;access=on&amp;content=articlesChapters&amp;publication=pnas&amp;sortBy=Earliest&amp;target=default" TargetMode="External"/><Relationship Id="rId1485" Type="http://schemas.openxmlformats.org/officeDocument/2006/relationships/hyperlink" Target="https://doi.org/10.1073/pnas.2525494123" TargetMode="External"/><Relationship Id="rId1486" Type="http://schemas.openxmlformats.org/officeDocument/2006/relationships/hyperlink" Target="https://www.science.org/doi/abs/10.1126/sciadv.aed4451?af=R" TargetMode="External"/><Relationship Id="rId1487" Type="http://schemas.openxmlformats.org/officeDocument/2006/relationships/hyperlink" Target="https://doi.org/10.1126/sciadv.aed4451" TargetMode="External"/><Relationship Id="rId1488" Type="http://schemas.openxmlformats.org/officeDocument/2006/relationships/hyperlink" Target="https://www.science.org/doi/abs/10.1126/sciadv.aed1300?af=R" TargetMode="External"/><Relationship Id="rId1489" Type="http://schemas.openxmlformats.org/officeDocument/2006/relationships/hyperlink" Target="https://doi.org/10.1126/sciadv.aed1300" TargetMode="External"/><Relationship Id="rId1490" Type="http://schemas.openxmlformats.org/officeDocument/2006/relationships/hyperlink" Target="https://www.science.org/doi/abs/10.1126/sciadv.aef6777?af=R" TargetMode="External"/><Relationship Id="rId1491" Type="http://schemas.openxmlformats.org/officeDocument/2006/relationships/hyperlink" Target="https://doi.org/10.1126/sciadv.aef6777" TargetMode="External"/><Relationship Id="rId1492" Type="http://schemas.openxmlformats.org/officeDocument/2006/relationships/hyperlink" Target="https://www.science.org/doi/abs/10.1126/sciadv.aeh8480?af=R" TargetMode="External"/><Relationship Id="rId1493" Type="http://schemas.openxmlformats.org/officeDocument/2006/relationships/hyperlink" Target="https://doi.org/10.1126/sciadv.aeh8480" TargetMode="External"/><Relationship Id="rId1494" Type="http://schemas.openxmlformats.org/officeDocument/2006/relationships/hyperlink" Target="https://www.science.org/doi/abs/10.1126/sciadv.aef3518?af=R" TargetMode="External"/><Relationship Id="rId1495" Type="http://schemas.openxmlformats.org/officeDocument/2006/relationships/hyperlink" Target="https://doi.org/10.1126/sciadv.aef3518" TargetMode="External"/><Relationship Id="rId1496" Type="http://schemas.openxmlformats.org/officeDocument/2006/relationships/hyperlink" Target="https://www.pnas.org/doi/abs/10.1073/pnas.2610959123?mi=eymic2&amp;af=R&amp;access=on&amp;content=articlesChapters&amp;publication=pnas&amp;sortBy=Earliest&amp;target=default" TargetMode="External"/><Relationship Id="rId1497" Type="http://schemas.openxmlformats.org/officeDocument/2006/relationships/hyperlink" Target="https://doi.org/10.1073/pnas.2610959123" TargetMode="External"/><Relationship Id="rId1498" Type="http://schemas.openxmlformats.org/officeDocument/2006/relationships/hyperlink" Target="https://www.pnas.org/doi/abs/10.1073/pnas.2610088123?mi=eymic2&amp;af=R&amp;access=on&amp;content=articlesChapters&amp;publication=pnas&amp;sortBy=Earliest&amp;target=default" TargetMode="External"/><Relationship Id="rId1499" Type="http://schemas.openxmlformats.org/officeDocument/2006/relationships/hyperlink" Target="https://doi.org/10.1073/pnas.2610088123" TargetMode="External"/><Relationship Id="rId1500" Type="http://schemas.openxmlformats.org/officeDocument/2006/relationships/hyperlink" Target="https://www.pnas.org/doi/abs/10.1073/pnas.2608132123?mi=eymic2&amp;af=R&amp;access=on&amp;content=articlesChapters&amp;publication=pnas&amp;sortBy=Earliest&amp;target=default" TargetMode="External"/><Relationship Id="rId1501" Type="http://schemas.openxmlformats.org/officeDocument/2006/relationships/hyperlink" Target="https://doi.org/10.1073/pnas.2608132123" TargetMode="External"/><Relationship Id="rId1502" Type="http://schemas.openxmlformats.org/officeDocument/2006/relationships/hyperlink" Target="https://www.pnas.org/doi/abs/10.1073/pnas.2608102123?mi=eymic2&amp;af=R&amp;access=on&amp;content=articlesChapters&amp;publication=pnas&amp;sortBy=Earliest&amp;target=default" TargetMode="External"/><Relationship Id="rId1503" Type="http://schemas.openxmlformats.org/officeDocument/2006/relationships/hyperlink" Target="https://doi.org/10.1073/pnas.2608102123" TargetMode="External"/><Relationship Id="rId1504" Type="http://schemas.openxmlformats.org/officeDocument/2006/relationships/hyperlink" Target="https://www.pnas.org/doi/abs/10.1073/pnas.2608055123?mi=eymic2&amp;af=R&amp;access=on&amp;content=articlesChapters&amp;publication=pnas&amp;sortBy=Earliest&amp;target=default" TargetMode="External"/><Relationship Id="rId1505" Type="http://schemas.openxmlformats.org/officeDocument/2006/relationships/hyperlink" Target="https://doi.org/10.1073/pnas.2608055123" TargetMode="External"/><Relationship Id="rId1506" Type="http://schemas.openxmlformats.org/officeDocument/2006/relationships/hyperlink" Target="https://www.science.org/doi/abs/10.1126/sciadv.aef5199?af=R" TargetMode="External"/><Relationship Id="rId1507" Type="http://schemas.openxmlformats.org/officeDocument/2006/relationships/hyperlink" Target="https://doi.org/10.1126/sciadv.aef5199" TargetMode="External"/><Relationship Id="rId1508" Type="http://schemas.openxmlformats.org/officeDocument/2006/relationships/hyperlink" Target="https://www.pnas.org/doi/abs/10.1073/pnas.2603182123?mi=eymic2&amp;af=R&amp;access=on&amp;content=articlesChapters&amp;publication=pnas&amp;sortBy=Earliest&amp;target=default" TargetMode="External"/><Relationship Id="rId1509" Type="http://schemas.openxmlformats.org/officeDocument/2006/relationships/hyperlink" Target="https://doi.org/10.1073/pnas.2603182123" TargetMode="External"/><Relationship Id="rId1510" Type="http://schemas.openxmlformats.org/officeDocument/2006/relationships/hyperlink" Target="https://www.pnas.org/doi/abs/10.1073/pnas.2602775123?mi=eymic2&amp;af=R&amp;access=on&amp;content=articlesChapters&amp;publication=pnas&amp;sortBy=Earliest&amp;target=default" TargetMode="External"/><Relationship Id="rId1511" Type="http://schemas.openxmlformats.org/officeDocument/2006/relationships/hyperlink" Target="https://doi.org/10.1073/pnas.2602775123" TargetMode="External"/><Relationship Id="rId1512" Type="http://schemas.openxmlformats.org/officeDocument/2006/relationships/hyperlink" Target="https://www.pnas.org/doi/abs/10.1073/pnas.2600771123?mi=eymic2&amp;af=R&amp;access=on&amp;content=articlesChapters&amp;publication=pnas&amp;sortBy=Earliest&amp;target=default" TargetMode="External"/><Relationship Id="rId1513" Type="http://schemas.openxmlformats.org/officeDocument/2006/relationships/hyperlink" Target="https://doi.org/10.1073/pnas.2600771123" TargetMode="External"/><Relationship Id="rId1514" Type="http://schemas.openxmlformats.org/officeDocument/2006/relationships/hyperlink" Target="https://www.science.org/doi/abs/10.1126/sciadv.aed0245?af=R" TargetMode="External"/><Relationship Id="rId1515" Type="http://schemas.openxmlformats.org/officeDocument/2006/relationships/hyperlink" Target="https://doi.org/10.1126/sciadv.aed0245" TargetMode="External"/><Relationship Id="rId1516" Type="http://schemas.openxmlformats.org/officeDocument/2006/relationships/hyperlink" Target="https://www.science.org/doi/abs/10.1126/sciadv.aee9024?af=R" TargetMode="External"/><Relationship Id="rId1517" Type="http://schemas.openxmlformats.org/officeDocument/2006/relationships/hyperlink" Target="https://doi.org/10.1126/sciadv.aee9024" TargetMode="External"/><Relationship Id="rId1518" Type="http://schemas.openxmlformats.org/officeDocument/2006/relationships/hyperlink" Target="https://www.pnas.org/doi/abs/10.1073/pnas.2606606123?mi=eymic2&amp;af=R&amp;access=on&amp;content=articlesChapters&amp;publication=pnas&amp;sortBy=Earliest&amp;target=default" TargetMode="External"/><Relationship Id="rId1519" Type="http://schemas.openxmlformats.org/officeDocument/2006/relationships/hyperlink" Target="https://doi.org/10.1073/pnas.2606606123" TargetMode="External"/><Relationship Id="rId1520" Type="http://schemas.openxmlformats.org/officeDocument/2006/relationships/hyperlink" Target="https://www.science.org/doi/abs/10.1126/sciadv.aeh2948?af=R" TargetMode="External"/><Relationship Id="rId1521" Type="http://schemas.openxmlformats.org/officeDocument/2006/relationships/hyperlink" Target="https://doi.org/10.1126/sciadv.aeh2948" TargetMode="External"/><Relationship Id="rId1522" Type="http://schemas.openxmlformats.org/officeDocument/2006/relationships/hyperlink" Target="https://www.science.org/doi/abs/10.1126/sciadv.aed8038?af=R" TargetMode="External"/><Relationship Id="rId1523" Type="http://schemas.openxmlformats.org/officeDocument/2006/relationships/hyperlink" Target="https://doi.org/10.1126/sciadv.aed8038" TargetMode="External"/><Relationship Id="rId1524" Type="http://schemas.openxmlformats.org/officeDocument/2006/relationships/hyperlink" Target="https://www.science.org/doi/abs/10.1126/sciadv.aed9096?af=R" TargetMode="External"/><Relationship Id="rId1525" Type="http://schemas.openxmlformats.org/officeDocument/2006/relationships/hyperlink" Target="https://doi.org/10.1126/sciadv.aed9096" TargetMode="External"/><Relationship Id="rId1526" Type="http://schemas.openxmlformats.org/officeDocument/2006/relationships/hyperlink" Target="https://www.science.org/doi/abs/10.1126/sciadv.aed9386?af=R" TargetMode="External"/><Relationship Id="rId1527" Type="http://schemas.openxmlformats.org/officeDocument/2006/relationships/hyperlink" Target="https://doi.org/10.1126/sciadv.aed9386" TargetMode="External"/><Relationship Id="rId1528" Type="http://schemas.openxmlformats.org/officeDocument/2006/relationships/hyperlink" Target="https://www.science.org/doi/abs/10.1126/sciadv.ady2311?af=R" TargetMode="External"/><Relationship Id="rId1529" Type="http://schemas.openxmlformats.org/officeDocument/2006/relationships/hyperlink" Target="https://doi.org/10.1126/sciadv.ady2311" TargetMode="External"/><Relationship Id="rId1530" Type="http://schemas.openxmlformats.org/officeDocument/2006/relationships/hyperlink" Target="https://www.science.org/doi/abs/10.1126/sciadv.aee3217?af=R" TargetMode="External"/><Relationship Id="rId1531" Type="http://schemas.openxmlformats.org/officeDocument/2006/relationships/hyperlink" Target="https://doi.org/10.1126/sciadv.aee3217" TargetMode="External"/><Relationship Id="rId1532" Type="http://schemas.openxmlformats.org/officeDocument/2006/relationships/hyperlink" Target="https://www.science.org/doi/abs/10.1126/sciadv.aee8648?af=R" TargetMode="External"/><Relationship Id="rId1533" Type="http://schemas.openxmlformats.org/officeDocument/2006/relationships/hyperlink" Target="https://doi.org/10.1126/sciadv.aee8648" TargetMode="External"/><Relationship Id="rId1534" Type="http://schemas.openxmlformats.org/officeDocument/2006/relationships/hyperlink" Target="https://advanced.onlinelibrary.wiley.com/doi/10.1002/adma.74300?af=R" TargetMode="External"/><Relationship Id="rId1535" Type="http://schemas.openxmlformats.org/officeDocument/2006/relationships/hyperlink" Target="https://doi.org/10.1002/adma.74300" TargetMode="External"/><Relationship Id="rId1536" Type="http://schemas.openxmlformats.org/officeDocument/2006/relationships/hyperlink" Target="https://advanced.onlinelibrary.wiley.com/doi/10.1002/adma.74365?af=R" TargetMode="External"/><Relationship Id="rId1537" Type="http://schemas.openxmlformats.org/officeDocument/2006/relationships/hyperlink" Target="https://doi.org/10.1002/adma.74365" TargetMode="External"/><Relationship Id="rId1538" Type="http://schemas.openxmlformats.org/officeDocument/2006/relationships/hyperlink" Target="https://advanced.onlinelibrary.wiley.com/doi/10.1002/adma.74355?af=R" TargetMode="External"/><Relationship Id="rId1539" Type="http://schemas.openxmlformats.org/officeDocument/2006/relationships/hyperlink" Target="https://doi.org/10.1002/adma.74355" TargetMode="External"/><Relationship Id="rId1540" Type="http://schemas.openxmlformats.org/officeDocument/2006/relationships/hyperlink" Target="https://advanced.onlinelibrary.wiley.com/doi/10.1002/adma.74337?af=R" TargetMode="External"/><Relationship Id="rId1541" Type="http://schemas.openxmlformats.org/officeDocument/2006/relationships/hyperlink" Target="https://doi.org/10.1002/adma.74337" TargetMode="External"/><Relationship Id="rId1542" Type="http://schemas.openxmlformats.org/officeDocument/2006/relationships/hyperlink" Target="http://link.aps.org/doi/10.1103/1848-pwf5" TargetMode="External"/><Relationship Id="rId1543" Type="http://schemas.openxmlformats.org/officeDocument/2006/relationships/hyperlink" Target="https://doi.org/10.1103/1848-pwf5" TargetMode="External"/><Relationship Id="rId1544" Type="http://schemas.openxmlformats.org/officeDocument/2006/relationships/hyperlink" Target="http://link.aps.org/doi/10.1103/ncm8-3fmh" TargetMode="External"/><Relationship Id="rId1545" Type="http://schemas.openxmlformats.org/officeDocument/2006/relationships/hyperlink" Target="https://doi.org/10.1103/ncm8-3fmh" TargetMode="External"/><Relationship Id="rId1546" Type="http://schemas.openxmlformats.org/officeDocument/2006/relationships/hyperlink" Target="http://link.aps.org/doi/10.1103/jmwb-75m7" TargetMode="External"/><Relationship Id="rId1547" Type="http://schemas.openxmlformats.org/officeDocument/2006/relationships/hyperlink" Target="https://doi.org/10.1103/jmwb-75m7" TargetMode="External"/><Relationship Id="rId1548" Type="http://schemas.openxmlformats.org/officeDocument/2006/relationships/hyperlink" Target="http://link.aps.org/doi/10.1103/96rx-zx6l" TargetMode="External"/><Relationship Id="rId1549" Type="http://schemas.openxmlformats.org/officeDocument/2006/relationships/hyperlink" Target="https://doi.org/10.1103/96rx-zx6l" TargetMode="External"/><Relationship Id="rId1550" Type="http://schemas.openxmlformats.org/officeDocument/2006/relationships/hyperlink" Target="http://link.aps.org/doi/10.1103/b8n2-tl4n" TargetMode="External"/><Relationship Id="rId1551" Type="http://schemas.openxmlformats.org/officeDocument/2006/relationships/hyperlink" Target="https://doi.org/10.1103/b8n2-tl4n" TargetMode="External"/><Relationship Id="rId1552" Type="http://schemas.openxmlformats.org/officeDocument/2006/relationships/hyperlink" Target="http://link.aps.org/doi/10.1103/m2dl-ghbf" TargetMode="External"/><Relationship Id="rId1553" Type="http://schemas.openxmlformats.org/officeDocument/2006/relationships/hyperlink" Target="https://doi.org/10.1103/m2dl-ghbf" TargetMode="External"/><Relationship Id="rId1554" Type="http://schemas.openxmlformats.org/officeDocument/2006/relationships/hyperlink" Target="http://link.aps.org/doi/10.1103/cpzv-qc5v" TargetMode="External"/><Relationship Id="rId1555" Type="http://schemas.openxmlformats.org/officeDocument/2006/relationships/hyperlink" Target="https://doi.org/10.1103/cpzv-qc5v" TargetMode="External"/><Relationship Id="rId1556" Type="http://schemas.openxmlformats.org/officeDocument/2006/relationships/hyperlink" Target="http://link.aps.org/doi/10.1103/bt6x-bjq9" TargetMode="External"/><Relationship Id="rId1557" Type="http://schemas.openxmlformats.org/officeDocument/2006/relationships/hyperlink" Target="https://doi.org/10.1103/bt6x-bjq9" TargetMode="External"/><Relationship Id="rId1558" Type="http://schemas.openxmlformats.org/officeDocument/2006/relationships/hyperlink" Target="http://link.aps.org/doi/10.1103/5fl9-89j4" TargetMode="External"/><Relationship Id="rId1559" Type="http://schemas.openxmlformats.org/officeDocument/2006/relationships/hyperlink" Target="https://doi.org/10.1103/5fl9-89j4" TargetMode="External"/><Relationship Id="rId1560" Type="http://schemas.openxmlformats.org/officeDocument/2006/relationships/hyperlink" Target="http://link.aps.org/doi/10.1103/993r-lzzm" TargetMode="External"/><Relationship Id="rId1561" Type="http://schemas.openxmlformats.org/officeDocument/2006/relationships/hyperlink" Target="https://doi.org/10.1103/993r-lzzm" TargetMode="External"/><Relationship Id="rId1562" Type="http://schemas.openxmlformats.org/officeDocument/2006/relationships/hyperlink" Target="http://link.aps.org/doi/10.1103/3gvv-2hq6" TargetMode="External"/><Relationship Id="rId1563" Type="http://schemas.openxmlformats.org/officeDocument/2006/relationships/hyperlink" Target="https://doi.org/10.1103/3gvv-2hq6" TargetMode="External"/><Relationship Id="rId1564" Type="http://schemas.openxmlformats.org/officeDocument/2006/relationships/hyperlink" Target="http://link.aps.org/doi/10.1103/kp9j-v4ss" TargetMode="External"/><Relationship Id="rId1565" Type="http://schemas.openxmlformats.org/officeDocument/2006/relationships/hyperlink" Target="https://doi.org/10.1103/kp9j-v4ss" TargetMode="External"/><Relationship Id="rId1566" Type="http://schemas.openxmlformats.org/officeDocument/2006/relationships/hyperlink" Target="http://link.aps.org/doi/10.1103/pt2h-99by" TargetMode="External"/><Relationship Id="rId1567" Type="http://schemas.openxmlformats.org/officeDocument/2006/relationships/hyperlink" Target="https://doi.org/10.1103/pt2h-99by" TargetMode="External"/><Relationship Id="rId1568" Type="http://schemas.openxmlformats.org/officeDocument/2006/relationships/hyperlink" Target="http://link.aps.org/doi/10.1103/jcrm-953w" TargetMode="External"/><Relationship Id="rId1569" Type="http://schemas.openxmlformats.org/officeDocument/2006/relationships/hyperlink" Target="https://doi.org/10.1103/jcrm-953w" TargetMode="External"/><Relationship Id="rId1570" Type="http://schemas.openxmlformats.org/officeDocument/2006/relationships/hyperlink" Target="https://advanced.onlinelibrary.wiley.com/doi/10.1002/adma.74351?af=R" TargetMode="External"/><Relationship Id="rId1571" Type="http://schemas.openxmlformats.org/officeDocument/2006/relationships/hyperlink" Target="https://doi.org/10.1002/adma.74351" TargetMode="External"/><Relationship Id="rId1572" Type="http://schemas.openxmlformats.org/officeDocument/2006/relationships/hyperlink" Target="https://advanced.onlinelibrary.wiley.com/doi/10.1002/adma.74250?af=R" TargetMode="External"/><Relationship Id="rId1573" Type="http://schemas.openxmlformats.org/officeDocument/2006/relationships/hyperlink" Target="https://doi.org/10.1002/adma.74250" TargetMode="External"/><Relationship Id="rId1574" Type="http://schemas.openxmlformats.org/officeDocument/2006/relationships/hyperlink" Target="https://onlinelibrary.wiley.com/doi/10.1002/anie.8724182?af=R" TargetMode="External"/><Relationship Id="rId1575" Type="http://schemas.openxmlformats.org/officeDocument/2006/relationships/hyperlink" Target="https://doi.org/10.1002/anie.8724182" TargetMode="External"/><Relationship Id="rId1576" Type="http://schemas.openxmlformats.org/officeDocument/2006/relationships/hyperlink" Target="https://onlinelibrary.wiley.com/doi/10.1002/anie.3523377?af=R" TargetMode="External"/><Relationship Id="rId1577" Type="http://schemas.openxmlformats.org/officeDocument/2006/relationships/hyperlink" Target="https://doi.org/10.1002/anie.3523377" TargetMode="External"/><Relationship Id="rId1578" Type="http://schemas.openxmlformats.org/officeDocument/2006/relationships/hyperlink" Target="https://onlinelibrary.wiley.com/doi/10.1002/anie.6908076?af=R" TargetMode="External"/><Relationship Id="rId1579" Type="http://schemas.openxmlformats.org/officeDocument/2006/relationships/hyperlink" Target="https://doi.org/10.1002/anie.6908076" TargetMode="External"/><Relationship Id="rId1580" Type="http://schemas.openxmlformats.org/officeDocument/2006/relationships/hyperlink" Target="https://onlinelibrary.wiley.com/doi/10.1002/anie.5910350?af=R" TargetMode="External"/><Relationship Id="rId1581" Type="http://schemas.openxmlformats.org/officeDocument/2006/relationships/hyperlink" Target="https://doi.org/10.1002/anie.5910350" TargetMode="External"/><Relationship Id="rId1582" Type="http://schemas.openxmlformats.org/officeDocument/2006/relationships/hyperlink" Target="https://onlinelibrary.wiley.com/doi/10.1002/anie.8366566?af=R" TargetMode="External"/><Relationship Id="rId1583" Type="http://schemas.openxmlformats.org/officeDocument/2006/relationships/hyperlink" Target="https://doi.org/10.1002/anie.8366566" TargetMode="External"/><Relationship Id="rId1584" Type="http://schemas.openxmlformats.org/officeDocument/2006/relationships/hyperlink" Target="https://onlinelibrary.wiley.com/doi/10.1002/anie.3667594?af=R" TargetMode="External"/><Relationship Id="rId1585" Type="http://schemas.openxmlformats.org/officeDocument/2006/relationships/hyperlink" Target="https://doi.org/10.1002/anie.3667594" TargetMode="External"/><Relationship Id="rId1586" Type="http://schemas.openxmlformats.org/officeDocument/2006/relationships/hyperlink" Target="https://onlinelibrary.wiley.com/doi/10.1002/anie.2260330?af=R" TargetMode="External"/><Relationship Id="rId1587" Type="http://schemas.openxmlformats.org/officeDocument/2006/relationships/hyperlink" Target="https://doi.org/10.1002/anie.2260330" TargetMode="External"/><Relationship Id="rId1588" Type="http://schemas.openxmlformats.org/officeDocument/2006/relationships/hyperlink" Target="https://onlinelibrary.wiley.com/doi/10.1002/anie.4267702?af=R" TargetMode="External"/><Relationship Id="rId1589" Type="http://schemas.openxmlformats.org/officeDocument/2006/relationships/hyperlink" Target="https://doi.org/10.1002/anie.4267702" TargetMode="External"/><Relationship Id="rId1590" Type="http://schemas.openxmlformats.org/officeDocument/2006/relationships/hyperlink" Target="https://onlinelibrary.wiley.com/doi/10.1002/anie.5933955?af=R" TargetMode="External"/><Relationship Id="rId1591" Type="http://schemas.openxmlformats.org/officeDocument/2006/relationships/hyperlink" Target="https://doi.org/10.1002/anie.5933955" TargetMode="External"/><Relationship Id="rId1592" Type="http://schemas.openxmlformats.org/officeDocument/2006/relationships/hyperlink" Target="https://onlinelibrary.wiley.com/doi/10.1002/anie.5198135?af=R" TargetMode="External"/><Relationship Id="rId1593" Type="http://schemas.openxmlformats.org/officeDocument/2006/relationships/hyperlink" Target="https://doi.org/10.1002/anie.5198135" TargetMode="External"/><Relationship Id="rId1594" Type="http://schemas.openxmlformats.org/officeDocument/2006/relationships/hyperlink" Target="https://onlinelibrary.wiley.com/doi/10.1002/anie.8508304?af=R" TargetMode="External"/><Relationship Id="rId1595" Type="http://schemas.openxmlformats.org/officeDocument/2006/relationships/hyperlink" Target="https://doi.org/10.1002/anie.8508304" TargetMode="External"/><Relationship Id="rId1596" Type="http://schemas.openxmlformats.org/officeDocument/2006/relationships/hyperlink" Target="https://onlinelibrary.wiley.com/doi/10.1002/anie.3712617?af=R" TargetMode="External"/><Relationship Id="rId1597" Type="http://schemas.openxmlformats.org/officeDocument/2006/relationships/hyperlink" Target="https://doi.org/10.1002/anie.3712617" TargetMode="External"/><Relationship Id="rId1598" Type="http://schemas.openxmlformats.org/officeDocument/2006/relationships/hyperlink" Target="https://onlinelibrary.wiley.com/doi/10.1002/anie.1030078?af=R" TargetMode="External"/><Relationship Id="rId1599" Type="http://schemas.openxmlformats.org/officeDocument/2006/relationships/hyperlink" Target="https://doi.org/10.1002/anie.1030078" TargetMode="External"/><Relationship Id="rId1600" Type="http://schemas.openxmlformats.org/officeDocument/2006/relationships/hyperlink" Target="https://onlinelibrary.wiley.com/doi/10.1002/anie.6957654?af=R" TargetMode="External"/><Relationship Id="rId1601" Type="http://schemas.openxmlformats.org/officeDocument/2006/relationships/hyperlink" Target="https://doi.org/10.1002/anie.6957654" TargetMode="External"/><Relationship Id="rId1602" Type="http://schemas.openxmlformats.org/officeDocument/2006/relationships/hyperlink" Target="https://academic.oup.com/nsr/advance-article/doi/10.1093/nsr/nwag418/8747579?rss=1" TargetMode="External"/><Relationship Id="rId1603" Type="http://schemas.openxmlformats.org/officeDocument/2006/relationships/hyperlink" Target="https://doi.org/10.1093/nsr/nwag418" TargetMode="External"/><Relationship Id="rId1604" Type="http://schemas.openxmlformats.org/officeDocument/2006/relationships/hyperlink" Target="https://www.nature.com/articles/s41467-026-76177-0" TargetMode="External"/><Relationship Id="rId1605" Type="http://schemas.openxmlformats.org/officeDocument/2006/relationships/hyperlink" Target="https://www.sciencedirect.com/science/article/pii/S0306261926012183?dgcid=rss_sd_all" TargetMode="External"/><Relationship Id="rId1606" Type="http://schemas.openxmlformats.org/officeDocument/2006/relationships/hyperlink" Target="https://doi.org/10.1016/j.apenergy.2026.128562" TargetMode="External"/><Relationship Id="rId1607" Type="http://schemas.openxmlformats.org/officeDocument/2006/relationships/hyperlink" Target="https://www.nature.com/articles/s41467-026-75988-5" TargetMode="External"/><Relationship Id="rId1608" Type="http://schemas.openxmlformats.org/officeDocument/2006/relationships/hyperlink" Target="https://www.nature.com/articles/s41557-026-02215-5" TargetMode="External"/><Relationship Id="rId1609" Type="http://schemas.openxmlformats.org/officeDocument/2006/relationships/hyperlink" Target="https://doi.org/10.1038/s41557-026-02215-5" TargetMode="External"/><Relationship Id="rId1610" Type="http://schemas.openxmlformats.org/officeDocument/2006/relationships/hyperlink" Target="https://academic.oup.com/nsr/advance-article/doi/10.1093/nsr/nwag462/8747578?rss=1" TargetMode="External"/><Relationship Id="rId1611" Type="http://schemas.openxmlformats.org/officeDocument/2006/relationships/hyperlink" Target="https://doi.org/10.1093/nsr/nwag462" TargetMode="External"/><Relationship Id="rId1612" Type="http://schemas.openxmlformats.org/officeDocument/2006/relationships/hyperlink" Target="https://www.nmlett.org/index.php/nml/article/view/2609" TargetMode="External"/><Relationship Id="rId1613" Type="http://schemas.openxmlformats.org/officeDocument/2006/relationships/hyperlink" Target="https://doi.org/10.1007/s40820-026-02320-7" TargetMode="External"/><Relationship Id="rId1614" Type="http://schemas.openxmlformats.org/officeDocument/2006/relationships/hyperlink" Target="https://www.nature.com/articles/s41467-026-76188-x" TargetMode="External"/><Relationship Id="rId1615" Type="http://schemas.openxmlformats.org/officeDocument/2006/relationships/hyperlink" Target="https://www.nature.com/articles/s41467-026-76238-4" TargetMode="External"/><Relationship Id="rId1616" Type="http://schemas.openxmlformats.org/officeDocument/2006/relationships/hyperlink" Target="https://www.nature.com/articles/s41467-026-76044-y" TargetMode="External"/><Relationship Id="rId1617" Type="http://schemas.openxmlformats.org/officeDocument/2006/relationships/hyperlink" Target="https://www.nmlett.org/index.php/nml/article/view/2611" TargetMode="External"/><Relationship Id="rId1618" Type="http://schemas.openxmlformats.org/officeDocument/2006/relationships/hyperlink" Target="https://doi.org/10.1007/s40820-026-02318-1" TargetMode="External"/><Relationship Id="rId1619" Type="http://schemas.openxmlformats.org/officeDocument/2006/relationships/hyperlink" Target="https://www.nmlett.org/index.php/nml/article/view/2613" TargetMode="External"/><Relationship Id="rId1620" Type="http://schemas.openxmlformats.org/officeDocument/2006/relationships/hyperlink" Target="https://doi.org/10.1007/s40820-026-02312-7" TargetMode="External"/><Relationship Id="rId1621" Type="http://schemas.openxmlformats.org/officeDocument/2006/relationships/hyperlink" Target="https://www.sciencedirect.com/science/article/pii/S0301421526004647?dgcid=rss_sd_all" TargetMode="External"/><Relationship Id="rId1622" Type="http://schemas.openxmlformats.org/officeDocument/2006/relationships/hyperlink" Target="https://doi.org/10.1016/j.enpol.2026.115530" TargetMode="External"/><Relationship Id="rId1623" Type="http://schemas.openxmlformats.org/officeDocument/2006/relationships/hyperlink" Target="https://www.nature.com/articles/s41467-026-76066-6" TargetMode="External"/><Relationship Id="rId1624" Type="http://schemas.openxmlformats.org/officeDocument/2006/relationships/hyperlink" Target="https://www.nature.com/articles/s41558-026-02694-x" TargetMode="External"/><Relationship Id="rId1625" Type="http://schemas.openxmlformats.org/officeDocument/2006/relationships/hyperlink" Target="https://doi.org/10.1038/s41558-026-02694-x" TargetMode="External"/><Relationship Id="rId1626" Type="http://schemas.openxmlformats.org/officeDocument/2006/relationships/hyperlink" Target="https://www.nature.com/articles/s41467-026-76160-9" TargetMode="External"/><Relationship Id="rId1627" Type="http://schemas.openxmlformats.org/officeDocument/2006/relationships/hyperlink" Target="https://www.nature.com/articles/s41467-026-76049-7" TargetMode="External"/><Relationship Id="rId1628" Type="http://schemas.openxmlformats.org/officeDocument/2006/relationships/hyperlink" Target="https://www.nature.com/articles/s41467-026-76015-3" TargetMode="External"/><Relationship Id="rId1629" Type="http://schemas.openxmlformats.org/officeDocument/2006/relationships/hyperlink" Target="https://www.nature.com/articles/s41467-026-76045-x" TargetMode="External"/><Relationship Id="rId1630" Type="http://schemas.openxmlformats.org/officeDocument/2006/relationships/hyperlink" Target="https://www.nature.com/articles/s41467-026-75957-y" TargetMode="External"/><Relationship Id="rId1631" Type="http://schemas.openxmlformats.org/officeDocument/2006/relationships/hyperlink" Target="https://www.nature.com/articles/s41467-026-76103-4" TargetMode="External"/><Relationship Id="rId1632" Type="http://schemas.openxmlformats.org/officeDocument/2006/relationships/hyperlink" Target="https://www.nature.com/articles/s41467-026-75887-9" TargetMode="External"/><Relationship Id="rId1633" Type="http://schemas.openxmlformats.org/officeDocument/2006/relationships/hyperlink" Target="https://www.nature.com/articles/s41467-026-75552-1" TargetMode="External"/><Relationship Id="rId1634" Type="http://schemas.openxmlformats.org/officeDocument/2006/relationships/hyperlink" Target="https://www.nature.com/articles/s41467-026-76168-1" TargetMode="External"/><Relationship Id="rId1635" Type="http://schemas.openxmlformats.org/officeDocument/2006/relationships/hyperlink" Target="https://www.nature.com/articles/s41467-026-76182-3" TargetMode="External"/><Relationship Id="rId1636" Type="http://schemas.openxmlformats.org/officeDocument/2006/relationships/hyperlink" Target="https://www.nature.com/articles/s41467-026-76156-5" TargetMode="External"/><Relationship Id="rId1637" Type="http://schemas.openxmlformats.org/officeDocument/2006/relationships/hyperlink" Target="https://www.nature.com/articles/s41467-026-76012-6" TargetMode="External"/><Relationship Id="rId1638" Type="http://schemas.openxmlformats.org/officeDocument/2006/relationships/hyperlink" Target="https://www.nature.com/articles/s41467-026-75746-7" TargetMode="External"/><Relationship Id="rId1639" Type="http://schemas.openxmlformats.org/officeDocument/2006/relationships/hyperlink" Target="https://www.nature.com/articles/s41467-026-75674-6" TargetMode="External"/><Relationship Id="rId1640" Type="http://schemas.openxmlformats.org/officeDocument/2006/relationships/hyperlink" Target="https://www.nature.com/articles/s41467-026-76074-6" TargetMode="External"/><Relationship Id="rId1641" Type="http://schemas.openxmlformats.org/officeDocument/2006/relationships/hyperlink" Target="https://www.nature.com/articles/s41467-026-76141-y" TargetMode="External"/><Relationship Id="rId1642" Type="http://schemas.openxmlformats.org/officeDocument/2006/relationships/hyperlink" Target="https://www.nature.com/articles/s41467-026-76143-w" TargetMode="External"/><Relationship Id="rId1643" Type="http://schemas.openxmlformats.org/officeDocument/2006/relationships/hyperlink" Target="https://www.nature.com/articles/s41467-026-76161-8" TargetMode="External"/><Relationship Id="rId1644" Type="http://schemas.openxmlformats.org/officeDocument/2006/relationships/hyperlink" Target="https://www.nature.com/articles/s41467-026-76203-1" TargetMode="External"/><Relationship Id="rId1645" Type="http://schemas.openxmlformats.org/officeDocument/2006/relationships/hyperlink" Target="https://www.nature.com/articles/s41467-026-75972-z" TargetMode="External"/><Relationship Id="rId1646" Type="http://schemas.openxmlformats.org/officeDocument/2006/relationships/hyperlink" Target="https://www.nature.com/articles/s41467-026-76135-w" TargetMode="External"/><Relationship Id="rId1647" Type="http://schemas.openxmlformats.org/officeDocument/2006/relationships/hyperlink" Target="https://www.nature.com/articles/s41467-026-75440-8" TargetMode="External"/><Relationship Id="rId1648" Type="http://schemas.openxmlformats.org/officeDocument/2006/relationships/hyperlink" Target="https://www.nature.com/articles/s41467-026-75908-7" TargetMode="External"/><Relationship Id="rId1649" Type="http://schemas.openxmlformats.org/officeDocument/2006/relationships/hyperlink" Target="https://www.nature.com/articles/s41467-026-76122-1" TargetMode="External"/><Relationship Id="rId1650" Type="http://schemas.openxmlformats.org/officeDocument/2006/relationships/hyperlink" Target="https://www.nature.com/articles/s41467-026-75561-0" TargetMode="External"/><Relationship Id="rId1651" Type="http://schemas.openxmlformats.org/officeDocument/2006/relationships/hyperlink" Target="https://www.nature.com/articles/s41467-026-76093-3" TargetMode="External"/><Relationship Id="rId1652" Type="http://schemas.openxmlformats.org/officeDocument/2006/relationships/hyperlink" Target="https://www.nature.com/articles/s41467-026-76221-z" TargetMode="External"/><Relationship Id="rId1653" Type="http://schemas.openxmlformats.org/officeDocument/2006/relationships/hyperlink" Target="https://www.nature.com/articles/s41467-026-75700-7" TargetMode="External"/><Relationship Id="rId1654" Type="http://schemas.openxmlformats.org/officeDocument/2006/relationships/hyperlink" Target="https://www.science.org/doi/abs/10.1126/science.aek4288?af=R" TargetMode="External"/><Relationship Id="rId1655" Type="http://schemas.openxmlformats.org/officeDocument/2006/relationships/hyperlink" Target="https://doi.org/10.1126/science.aek4288" TargetMode="External"/><Relationship Id="rId1656" Type="http://schemas.openxmlformats.org/officeDocument/2006/relationships/hyperlink" Target="https://www.science.org/doi/abs/10.1126/science.aeh0950?af=R" TargetMode="External"/><Relationship Id="rId1657" Type="http://schemas.openxmlformats.org/officeDocument/2006/relationships/hyperlink" Target="https://doi.org/10.1126/science.aeh0950" TargetMode="External"/><Relationship Id="rId1658" Type="http://schemas.openxmlformats.org/officeDocument/2006/relationships/hyperlink" Target="https://www.science.org/doi/abs/10.1126/science.aej6290?af=R" TargetMode="External"/><Relationship Id="rId1659" Type="http://schemas.openxmlformats.org/officeDocument/2006/relationships/hyperlink" Target="https://doi.org/10.1126/science.aej6290" TargetMode="External"/><Relationship Id="rId1660" Type="http://schemas.openxmlformats.org/officeDocument/2006/relationships/hyperlink" Target="https://www.science.org/doi/abs/10.1126/science.aek2948?af=R" TargetMode="External"/><Relationship Id="rId1661" Type="http://schemas.openxmlformats.org/officeDocument/2006/relationships/hyperlink" Target="https://doi.org/10.1126/science.aek2948" TargetMode="External"/><Relationship Id="rId1662" Type="http://schemas.openxmlformats.org/officeDocument/2006/relationships/hyperlink" Target="https://www.science.org/doi/abs/10.1126/science.ael0160?af=R" TargetMode="External"/><Relationship Id="rId1663" Type="http://schemas.openxmlformats.org/officeDocument/2006/relationships/hyperlink" Target="https://doi.org/10.1126/science.ael0160" TargetMode="External"/><Relationship Id="rId1664" Type="http://schemas.openxmlformats.org/officeDocument/2006/relationships/hyperlink" Target="https://www.science.org/doi/abs/10.1126/science.ael0162?af=R" TargetMode="External"/><Relationship Id="rId1665" Type="http://schemas.openxmlformats.org/officeDocument/2006/relationships/hyperlink" Target="https://doi.org/10.1126/science.ael0162" TargetMode="External"/><Relationship Id="rId1666" Type="http://schemas.openxmlformats.org/officeDocument/2006/relationships/hyperlink" Target="https://www.science.org/doi/abs/10.1126/science.aej3543?af=R" TargetMode="External"/><Relationship Id="rId1667" Type="http://schemas.openxmlformats.org/officeDocument/2006/relationships/hyperlink" Target="https://doi.org/10.1126/science.aej3543" TargetMode="External"/><Relationship Id="rId1668" Type="http://schemas.openxmlformats.org/officeDocument/2006/relationships/hyperlink" Target="https://www.science.org/doi/abs/10.1126/science.ael0165?af=R" TargetMode="External"/><Relationship Id="rId1669" Type="http://schemas.openxmlformats.org/officeDocument/2006/relationships/hyperlink" Target="https://doi.org/10.1126/science.ael0165" TargetMode="External"/><Relationship Id="rId1670" Type="http://schemas.openxmlformats.org/officeDocument/2006/relationships/hyperlink" Target="https://www.science.org/doi/abs/10.1126/science.aek8701?af=R" TargetMode="External"/><Relationship Id="rId1671" Type="http://schemas.openxmlformats.org/officeDocument/2006/relationships/hyperlink" Target="https://doi.org/10.1126/science.aek8701" TargetMode="External"/><Relationship Id="rId1672" Type="http://schemas.openxmlformats.org/officeDocument/2006/relationships/hyperlink" Target="https://www.science.org/doi/abs/10.1126/science.ael0164?af=R" TargetMode="External"/><Relationship Id="rId1673" Type="http://schemas.openxmlformats.org/officeDocument/2006/relationships/hyperlink" Target="https://doi.org/10.1126/science.ael0164" TargetMode="External"/><Relationship Id="rId1674" Type="http://schemas.openxmlformats.org/officeDocument/2006/relationships/hyperlink" Target="https://www.science.org/doi/abs/10.1126/science.ael0166?af=R" TargetMode="External"/><Relationship Id="rId1675" Type="http://schemas.openxmlformats.org/officeDocument/2006/relationships/hyperlink" Target="https://doi.org/10.1126/science.ael0166" TargetMode="External"/><Relationship Id="rId1676" Type="http://schemas.openxmlformats.org/officeDocument/2006/relationships/hyperlink" Target="https://www.science.org/doi/abs/10.1126/science.ael0167?af=R" TargetMode="External"/><Relationship Id="rId1677" Type="http://schemas.openxmlformats.org/officeDocument/2006/relationships/hyperlink" Target="https://doi.org/10.1126/science.ael0167" TargetMode="External"/><Relationship Id="rId1678" Type="http://schemas.openxmlformats.org/officeDocument/2006/relationships/hyperlink" Target="https://www.science.org/doi/abs/10.1126/science.aek9790?af=R" TargetMode="External"/><Relationship Id="rId1679" Type="http://schemas.openxmlformats.org/officeDocument/2006/relationships/hyperlink" Target="https://doi.org/10.1126/science.aek9790" TargetMode="External"/><Relationship Id="rId1680" Type="http://schemas.openxmlformats.org/officeDocument/2006/relationships/hyperlink" Target="https://www.science.org/doi/abs/10.1126/science.ael0161?af=R" TargetMode="External"/><Relationship Id="rId1681" Type="http://schemas.openxmlformats.org/officeDocument/2006/relationships/hyperlink" Target="https://doi.org/10.1126/science.ael0161" TargetMode="External"/><Relationship Id="rId1682" Type="http://schemas.openxmlformats.org/officeDocument/2006/relationships/hyperlink" Target="https://www.science.org/doi/abs/10.1126/science.ael0163?af=R" TargetMode="External"/><Relationship Id="rId1683" Type="http://schemas.openxmlformats.org/officeDocument/2006/relationships/hyperlink" Target="https://doi.org/10.1126/science.ael0163" TargetMode="External"/><Relationship Id="rId1684" Type="http://schemas.openxmlformats.org/officeDocument/2006/relationships/hyperlink" Target="https://www.science.org/doi/abs/10.1126/science.aej5902?af=R" TargetMode="External"/><Relationship Id="rId1685" Type="http://schemas.openxmlformats.org/officeDocument/2006/relationships/hyperlink" Target="https://doi.org/10.1126/science.aej5902" TargetMode="External"/><Relationship Id="rId1686" Type="http://schemas.openxmlformats.org/officeDocument/2006/relationships/hyperlink" Target="https://www.science.org/doi/abs/10.1126/science.aec2906?af=R" TargetMode="External"/><Relationship Id="rId1687" Type="http://schemas.openxmlformats.org/officeDocument/2006/relationships/hyperlink" Target="https://doi.org/10.1126/science.aec2906" TargetMode="External"/><Relationship Id="rId1688" Type="http://schemas.openxmlformats.org/officeDocument/2006/relationships/hyperlink" Target="https://www.science.org/doi/abs/10.1126/science.aef3529?af=R" TargetMode="External"/><Relationship Id="rId1689" Type="http://schemas.openxmlformats.org/officeDocument/2006/relationships/hyperlink" Target="https://doi.org/10.1126/science.aef3529" TargetMode="External"/><Relationship Id="rId1690" Type="http://schemas.openxmlformats.org/officeDocument/2006/relationships/hyperlink" Target="https://www.science.org/doi/abs/10.1126/science.aek9788?af=R" TargetMode="External"/><Relationship Id="rId1691" Type="http://schemas.openxmlformats.org/officeDocument/2006/relationships/hyperlink" Target="https://doi.org/10.1126/science.aek9788" TargetMode="External"/><Relationship Id="rId1692" Type="http://schemas.openxmlformats.org/officeDocument/2006/relationships/hyperlink" Target="https://www.science.org/doi/abs/10.1126/science.aei5362?af=R" TargetMode="External"/><Relationship Id="rId1693" Type="http://schemas.openxmlformats.org/officeDocument/2006/relationships/hyperlink" Target="https://doi.org/10.1126/science.aei5362" TargetMode="External"/><Relationship Id="rId1694" Type="http://schemas.openxmlformats.org/officeDocument/2006/relationships/hyperlink" Target="https://www.science.org/doi/abs/10.1126/science.aej5901?af=R" TargetMode="External"/><Relationship Id="rId1695" Type="http://schemas.openxmlformats.org/officeDocument/2006/relationships/hyperlink" Target="https://doi.org/10.1126/science.aej5901" TargetMode="External"/><Relationship Id="rId1696" Type="http://schemas.openxmlformats.org/officeDocument/2006/relationships/hyperlink" Target="https://www.science.org/doi/abs/10.1126/science.adq7402?af=R" TargetMode="External"/><Relationship Id="rId1697" Type="http://schemas.openxmlformats.org/officeDocument/2006/relationships/hyperlink" Target="https://doi.org/10.1126/science.adq7402" TargetMode="External"/><Relationship Id="rId1698" Type="http://schemas.openxmlformats.org/officeDocument/2006/relationships/hyperlink" Target="https://www.science.org/doi/abs/10.1126/science.aeg0333?af=R" TargetMode="External"/><Relationship Id="rId1699" Type="http://schemas.openxmlformats.org/officeDocument/2006/relationships/hyperlink" Target="https://doi.org/10.1126/science.aeg0333" TargetMode="External"/><Relationship Id="rId1700" Type="http://schemas.openxmlformats.org/officeDocument/2006/relationships/hyperlink" Target="https://www.science.org/doi/abs/10.1126/science.aee6957?af=R" TargetMode="External"/><Relationship Id="rId1701" Type="http://schemas.openxmlformats.org/officeDocument/2006/relationships/hyperlink" Target="https://doi.org/10.1126/science.aee6957" TargetMode="External"/><Relationship Id="rId1702" Type="http://schemas.openxmlformats.org/officeDocument/2006/relationships/hyperlink" Target="https://www.science.org/doi/abs/10.1126/science.aec6298?af=R" TargetMode="External"/><Relationship Id="rId1703" Type="http://schemas.openxmlformats.org/officeDocument/2006/relationships/hyperlink" Target="https://doi.org/10.1126/science.aec6298" TargetMode="External"/><Relationship Id="rId1704" Type="http://schemas.openxmlformats.org/officeDocument/2006/relationships/hyperlink" Target="https://www.science.org/doi/abs/10.1126/science.aef2893?af=R" TargetMode="External"/><Relationship Id="rId1705" Type="http://schemas.openxmlformats.org/officeDocument/2006/relationships/hyperlink" Target="https://doi.org/10.1126/science.aef2893" TargetMode="External"/><Relationship Id="rId1706" Type="http://schemas.openxmlformats.org/officeDocument/2006/relationships/hyperlink" Target="https://www.science.org/doi/abs/10.1126/science.aed9359?af=R" TargetMode="External"/><Relationship Id="rId1707" Type="http://schemas.openxmlformats.org/officeDocument/2006/relationships/hyperlink" Target="https://doi.org/10.1126/science.aed9359" TargetMode="External"/><Relationship Id="rId1708" Type="http://schemas.openxmlformats.org/officeDocument/2006/relationships/hyperlink" Target="https://www.science.org/doi/abs/10.1126/science.aek9789?af=R" TargetMode="External"/><Relationship Id="rId1709" Type="http://schemas.openxmlformats.org/officeDocument/2006/relationships/hyperlink" Target="https://doi.org/10.1126/science.aek9789" TargetMode="External"/><Relationship Id="rId1710" Type="http://schemas.openxmlformats.org/officeDocument/2006/relationships/hyperlink" Target="https://www.science.org/doi/abs/10.1126/science.aei1519?af=R" TargetMode="External"/><Relationship Id="rId1711" Type="http://schemas.openxmlformats.org/officeDocument/2006/relationships/hyperlink" Target="https://doi.org/10.1126/science.aei1519" TargetMode="External"/><Relationship Id="rId1712" Type="http://schemas.openxmlformats.org/officeDocument/2006/relationships/hyperlink" Target="https://www.science.org/doi/abs/10.1126/science.aek0526?af=R" TargetMode="External"/><Relationship Id="rId1713" Type="http://schemas.openxmlformats.org/officeDocument/2006/relationships/hyperlink" Target="https://doi.org/10.1126/science.aek0526" TargetMode="External"/><Relationship Id="rId1714" Type="http://schemas.openxmlformats.org/officeDocument/2006/relationships/hyperlink" Target="https://www.science.org/doi/abs/10.1126/science.aej5900?af=R" TargetMode="External"/><Relationship Id="rId1715" Type="http://schemas.openxmlformats.org/officeDocument/2006/relationships/hyperlink" Target="https://doi.org/10.1126/science.aej5900" TargetMode="External"/><Relationship Id="rId1716" Type="http://schemas.openxmlformats.org/officeDocument/2006/relationships/hyperlink" Target="https://www.science.org/doi/abs/10.1126/science.adz8081?af=R" TargetMode="External"/><Relationship Id="rId1717" Type="http://schemas.openxmlformats.org/officeDocument/2006/relationships/hyperlink" Target="https://doi.org/10.1126/science.adz8081" TargetMode="External"/><Relationship Id="rId1718" Type="http://schemas.openxmlformats.org/officeDocument/2006/relationships/hyperlink" Target="https://www.science.org/doi/abs/10.1126/science.ady0832?af=R" TargetMode="External"/><Relationship Id="rId1719" Type="http://schemas.openxmlformats.org/officeDocument/2006/relationships/hyperlink" Target="https://doi.org/10.1126/science.ady0832" TargetMode="External"/><Relationship Id="rId1720" Type="http://schemas.openxmlformats.org/officeDocument/2006/relationships/hyperlink" Target="https://www.science.org/doi/abs/10.1126/science.ads5397?af=R" TargetMode="External"/><Relationship Id="rId1721" Type="http://schemas.openxmlformats.org/officeDocument/2006/relationships/hyperlink" Target="https://doi.org/10.1126/science.ads5397" TargetMode="External"/><Relationship Id="rId1722" Type="http://schemas.openxmlformats.org/officeDocument/2006/relationships/hyperlink" Target="https://www.science.org/doi/abs/10.1126/science.aef5438?af=R" TargetMode="External"/><Relationship Id="rId1723" Type="http://schemas.openxmlformats.org/officeDocument/2006/relationships/hyperlink" Target="https://doi.org/10.1126/science.aef5438" TargetMode="External"/><Relationship Id="rId1724" Type="http://schemas.openxmlformats.org/officeDocument/2006/relationships/hyperlink" Target="https://www.pnas.org/doi/abs/10.1073/pnas.2610082123?mi=eymic2&amp;af=R&amp;access=on&amp;content=articlesChapters&amp;publication=pnas&amp;sortBy=Earliest&amp;target=default" TargetMode="External"/><Relationship Id="rId1725" Type="http://schemas.openxmlformats.org/officeDocument/2006/relationships/hyperlink" Target="https://doi.org/10.1073/pnas.2610082123" TargetMode="External"/><Relationship Id="rId1726" Type="http://schemas.openxmlformats.org/officeDocument/2006/relationships/hyperlink" Target="https://www.pnas.org/doi/abs/10.1073/pnas.2606968123?mi=eymic2&amp;af=R&amp;access=on&amp;content=articlesChapters&amp;publication=pnas&amp;sortBy=Earliest&amp;target=default" TargetMode="External"/><Relationship Id="rId1727" Type="http://schemas.openxmlformats.org/officeDocument/2006/relationships/hyperlink" Target="https://doi.org/10.1073/pnas.2606968123" TargetMode="External"/><Relationship Id="rId1728" Type="http://schemas.openxmlformats.org/officeDocument/2006/relationships/hyperlink" Target="https://www.pnas.org/doi/abs/10.1073/pnas.2606741123?mi=eymic2&amp;af=R&amp;access=on&amp;content=articlesChapters&amp;publication=pnas&amp;sortBy=Earliest&amp;target=default" TargetMode="External"/><Relationship Id="rId1729" Type="http://schemas.openxmlformats.org/officeDocument/2006/relationships/hyperlink" Target="https://doi.org/10.1073/pnas.2606741123" TargetMode="External"/><Relationship Id="rId1730" Type="http://schemas.openxmlformats.org/officeDocument/2006/relationships/hyperlink" Target="https://www.pnas.org/doi/abs/10.1073/pnas.2526810123?mi=eymic2&amp;af=R&amp;access=on&amp;content=articlesChapters&amp;publication=pnas&amp;sortBy=Earliest&amp;target=default" TargetMode="External"/><Relationship Id="rId1731" Type="http://schemas.openxmlformats.org/officeDocument/2006/relationships/hyperlink" Target="https://doi.org/10.1073/pnas.2526810123" TargetMode="External"/><Relationship Id="rId1732" Type="http://schemas.openxmlformats.org/officeDocument/2006/relationships/hyperlink" Target="https://www.pnas.org/doi/abs/10.1073/pnas.2605947123?mi=eymic2&amp;af=R&amp;access=on&amp;content=articlesChapters&amp;publication=pnas&amp;sortBy=Earliest&amp;target=default" TargetMode="External"/><Relationship Id="rId1733" Type="http://schemas.openxmlformats.org/officeDocument/2006/relationships/hyperlink" Target="https://doi.org/10.1073/pnas.2605947123" TargetMode="External"/><Relationship Id="rId1734" Type="http://schemas.openxmlformats.org/officeDocument/2006/relationships/hyperlink" Target="https://www.pnas.org/doi/abs/10.1073/pnas.2536664123?mi=eymic2&amp;af=R&amp;access=on&amp;content=articlesChapters&amp;publication=pnas&amp;sortBy=Earliest&amp;target=default" TargetMode="External"/><Relationship Id="rId1735" Type="http://schemas.openxmlformats.org/officeDocument/2006/relationships/hyperlink" Target="https://doi.org/10.1073/pnas.2536664123" TargetMode="External"/><Relationship Id="rId1736" Type="http://schemas.openxmlformats.org/officeDocument/2006/relationships/hyperlink" Target="https://www.pnas.org/doi/abs/10.1073/pnas.2604434123?mi=eymic2&amp;af=R&amp;access=on&amp;content=articlesChapters&amp;publication=pnas&amp;sortBy=Earliest&amp;target=default" TargetMode="External"/><Relationship Id="rId1737" Type="http://schemas.openxmlformats.org/officeDocument/2006/relationships/hyperlink" Target="https://doi.org/10.1073/pnas.2604434123" TargetMode="External"/><Relationship Id="rId1738" Type="http://schemas.openxmlformats.org/officeDocument/2006/relationships/hyperlink" Target="https://www.science.org/doi/abs/10.1126/science.aef3178?af=R" TargetMode="External"/><Relationship Id="rId1739" Type="http://schemas.openxmlformats.org/officeDocument/2006/relationships/hyperlink" Target="https://doi.org/10.1126/science.aef3178" TargetMode="External"/><Relationship Id="rId1740" Type="http://schemas.openxmlformats.org/officeDocument/2006/relationships/hyperlink" Target="https://www.science.org/doi/abs/10.1126/science.aej7915?af=R" TargetMode="External"/><Relationship Id="rId1741" Type="http://schemas.openxmlformats.org/officeDocument/2006/relationships/hyperlink" Target="https://doi.org/10.1126/science.aej7915" TargetMode="External"/><Relationship Id="rId1742" Type="http://schemas.openxmlformats.org/officeDocument/2006/relationships/hyperlink" Target="https://www.science.org/doi/abs/10.1126/science.aeb1157?af=R" TargetMode="External"/><Relationship Id="rId1743" Type="http://schemas.openxmlformats.org/officeDocument/2006/relationships/hyperlink" Target="https://doi.org/10.1126/science.aeb1157" TargetMode="External"/><Relationship Id="rId1744" Type="http://schemas.openxmlformats.org/officeDocument/2006/relationships/hyperlink" Target="https://www.science.org/doi/abs/10.1126/science.aek6646?af=R" TargetMode="External"/><Relationship Id="rId1745" Type="http://schemas.openxmlformats.org/officeDocument/2006/relationships/hyperlink" Target="https://doi.org/10.1126/science.aek6646" TargetMode="External"/><Relationship Id="rId1746" Type="http://schemas.openxmlformats.org/officeDocument/2006/relationships/hyperlink" Target="https://www.pnas.org/doi/abs/10.1073/pnas.2605483123?mi=eymic2&amp;af=R&amp;access=on&amp;content=articlesChapters&amp;publication=pnas&amp;sortBy=Earliest&amp;target=default" TargetMode="External"/><Relationship Id="rId1747" Type="http://schemas.openxmlformats.org/officeDocument/2006/relationships/hyperlink" Target="https://doi.org/10.1073/pnas.2605483123" TargetMode="External"/><Relationship Id="rId1748" Type="http://schemas.openxmlformats.org/officeDocument/2006/relationships/hyperlink" Target="https://www.pnas.org/doi/abs/10.1073/pnas.2616501123?mi=eymic2&amp;af=R&amp;access=on&amp;content=articlesChapters&amp;publication=pnas&amp;sortBy=Earliest&amp;target=default" TargetMode="External"/><Relationship Id="rId1749" Type="http://schemas.openxmlformats.org/officeDocument/2006/relationships/hyperlink" Target="https://doi.org/10.1073/pnas.2616501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